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7A5251">
      <w:pPr>
        <w:jc w:val="center"/>
        <w:rPr>
          <w:rFonts w:hint="default" w:ascii="Times New Roman" w:hAnsi="Times New Roman" w:eastAsia="宋体" w:cs="Times New Roman"/>
          <w:b/>
          <w:color w:val="auto"/>
          <w:sz w:val="24"/>
          <w:szCs w:val="24"/>
          <w:highlight w:val="none"/>
        </w:rPr>
      </w:pPr>
      <w:bookmarkStart w:id="0" w:name="_Toc20238"/>
      <w:r>
        <w:rPr>
          <w:rFonts w:hint="default" w:ascii="Times New Roman" w:hAnsi="Times New Roman" w:eastAsia="宋体" w:cs="Times New Roman"/>
          <w:b/>
          <w:color w:val="auto"/>
          <w:sz w:val="24"/>
          <w:szCs w:val="24"/>
          <w:highlight w:val="none"/>
        </w:rPr>
        <w:drawing>
          <wp:inline distT="0" distB="0" distL="114300" distR="114300">
            <wp:extent cx="5264785" cy="7443470"/>
            <wp:effectExtent l="0" t="0" r="8255" b="8890"/>
            <wp:docPr id="8" name="图片 8" descr="封面资质（安圣）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封面资质（安圣）_01"/>
                    <pic:cNvPicPr>
                      <a:picLocks noChangeAspect="1"/>
                    </pic:cNvPicPr>
                  </pic:nvPicPr>
                  <pic:blipFill>
                    <a:blip r:embed="rId14"/>
                    <a:stretch>
                      <a:fillRect/>
                    </a:stretch>
                  </pic:blipFill>
                  <pic:spPr>
                    <a:xfrm>
                      <a:off x="0" y="0"/>
                      <a:ext cx="5264785" cy="7443470"/>
                    </a:xfrm>
                    <a:prstGeom prst="rect">
                      <a:avLst/>
                    </a:prstGeom>
                  </pic:spPr>
                </pic:pic>
              </a:graphicData>
            </a:graphic>
          </wp:inline>
        </w:drawing>
      </w:r>
      <w:r>
        <w:rPr>
          <w:rFonts w:hint="default" w:ascii="Times New Roman" w:hAnsi="Times New Roman" w:eastAsia="宋体" w:cs="Times New Roman"/>
          <w:b/>
          <w:color w:val="auto"/>
          <w:sz w:val="24"/>
          <w:szCs w:val="24"/>
          <w:highlight w:val="none"/>
        </w:rPr>
        <w:drawing>
          <wp:inline distT="0" distB="0" distL="114300" distR="114300">
            <wp:extent cx="5240020" cy="7435215"/>
            <wp:effectExtent l="0" t="0" r="2540" b="1905"/>
            <wp:docPr id="13" name="图片 13" descr="封面资质（安圣）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封面资质（安圣）_02"/>
                    <pic:cNvPicPr>
                      <a:picLocks noChangeAspect="1"/>
                    </pic:cNvPicPr>
                  </pic:nvPicPr>
                  <pic:blipFill>
                    <a:blip r:embed="rId15"/>
                    <a:stretch>
                      <a:fillRect/>
                    </a:stretch>
                  </pic:blipFill>
                  <pic:spPr>
                    <a:xfrm>
                      <a:off x="0" y="0"/>
                      <a:ext cx="5240020" cy="7435215"/>
                    </a:xfrm>
                    <a:prstGeom prst="rect">
                      <a:avLst/>
                    </a:prstGeom>
                  </pic:spPr>
                </pic:pic>
              </a:graphicData>
            </a:graphic>
          </wp:inline>
        </w:drawing>
      </w:r>
      <w:r>
        <w:rPr>
          <w:rFonts w:hint="default" w:ascii="Times New Roman" w:hAnsi="Times New Roman" w:eastAsia="宋体" w:cs="Times New Roman"/>
          <w:b/>
          <w:color w:val="auto"/>
          <w:sz w:val="24"/>
          <w:szCs w:val="24"/>
          <w:highlight w:val="none"/>
        </w:rPr>
        <w:br w:type="textWrapping"/>
      </w:r>
      <w:r>
        <w:rPr>
          <w:rFonts w:hint="default" w:ascii="Times New Roman" w:hAnsi="Times New Roman" w:eastAsia="宋体" w:cs="Times New Roman"/>
          <w:b/>
          <w:color w:val="auto"/>
          <w:sz w:val="24"/>
          <w:szCs w:val="24"/>
          <w:highlight w:val="none"/>
        </w:rPr>
        <w:br w:type="textWrapping"/>
      </w:r>
      <w:r>
        <w:rPr>
          <w:rFonts w:hint="default" w:ascii="Times New Roman" w:hAnsi="Times New Roman" w:eastAsia="宋体" w:cs="Times New Roman"/>
          <w:b/>
          <w:color w:val="auto"/>
          <w:sz w:val="24"/>
          <w:szCs w:val="24"/>
          <w:highlight w:val="none"/>
        </w:rPr>
        <w:br w:type="textWrapping"/>
      </w:r>
      <w:r>
        <w:rPr>
          <w:rFonts w:hint="default" w:ascii="Times New Roman" w:hAnsi="Times New Roman" w:eastAsia="宋体" w:cs="Times New Roman"/>
          <w:b/>
          <w:color w:val="auto"/>
          <w:sz w:val="24"/>
          <w:szCs w:val="24"/>
          <w:highlight w:val="none"/>
        </w:rPr>
        <w:br w:type="textWrapping"/>
      </w:r>
      <w:r>
        <w:rPr>
          <w:rFonts w:hint="default" w:ascii="Times New Roman" w:hAnsi="Times New Roman" w:eastAsia="宋体" w:cs="Times New Roman"/>
          <w:b/>
          <w:color w:val="auto"/>
          <w:sz w:val="24"/>
          <w:szCs w:val="24"/>
          <w:highlight w:val="none"/>
        </w:rPr>
        <w:br w:type="textWrapping"/>
      </w:r>
      <w:r>
        <w:rPr>
          <w:rFonts w:hint="default" w:ascii="Times New Roman" w:hAnsi="Times New Roman" w:eastAsia="宋体" w:cs="Times New Roman"/>
          <w:b/>
          <w:color w:val="auto"/>
          <w:sz w:val="24"/>
          <w:szCs w:val="24"/>
          <w:highlight w:val="none"/>
        </w:rPr>
        <w:br w:type="textWrapping"/>
      </w:r>
      <w:r>
        <w:rPr>
          <w:rFonts w:hint="default" w:ascii="Times New Roman" w:hAnsi="Times New Roman" w:eastAsia="宋体" w:cs="Times New Roman"/>
          <w:b/>
          <w:color w:val="auto"/>
          <w:sz w:val="24"/>
          <w:szCs w:val="24"/>
          <w:highlight w:val="none"/>
        </w:rPr>
        <w:br w:type="textWrapping"/>
      </w:r>
      <w:r>
        <w:rPr>
          <w:rFonts w:hint="default" w:ascii="Times New Roman" w:hAnsi="Times New Roman" w:eastAsia="宋体" w:cs="Times New Roman"/>
          <w:b/>
          <w:color w:val="auto"/>
          <w:sz w:val="24"/>
          <w:szCs w:val="24"/>
          <w:highlight w:val="none"/>
        </w:rPr>
        <w:br w:type="textWrapping"/>
      </w:r>
      <w:r>
        <w:rPr>
          <w:rFonts w:hint="default" w:ascii="Times New Roman" w:hAnsi="Times New Roman" w:eastAsia="宋体" w:cs="Times New Roman"/>
          <w:b/>
          <w:color w:val="auto"/>
          <w:sz w:val="24"/>
          <w:szCs w:val="24"/>
          <w:highlight w:val="none"/>
        </w:rPr>
        <w:t>目录</w:t>
      </w:r>
    </w:p>
    <w:p w14:paraId="5B0866F8">
      <w:pPr>
        <w:pStyle w:val="20"/>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highlight w:val="none"/>
        </w:rPr>
        <w:fldChar w:fldCharType="begin"/>
      </w:r>
      <w:r>
        <w:rPr>
          <w:rFonts w:hint="eastAsia" w:ascii="宋体" w:hAnsi="宋体" w:eastAsia="宋体" w:cs="宋体"/>
          <w:b w:val="0"/>
          <w:bCs w:val="0"/>
          <w:color w:val="auto"/>
          <w:sz w:val="21"/>
          <w:szCs w:val="21"/>
          <w:highlight w:val="none"/>
        </w:rPr>
        <w:instrText xml:space="preserve"> TOC \o "1-3" \h \z \u </w:instrText>
      </w:r>
      <w:r>
        <w:rPr>
          <w:rFonts w:hint="eastAsia" w:ascii="宋体" w:hAnsi="宋体" w:eastAsia="宋体" w:cs="宋体"/>
          <w:b w:val="0"/>
          <w:bCs w:val="0"/>
          <w:color w:val="auto"/>
          <w:sz w:val="21"/>
          <w:szCs w:val="21"/>
          <w:highlight w:val="none"/>
        </w:rPr>
        <w:fldChar w:fldCharType="separate"/>
      </w:r>
      <w:r>
        <w:rPr>
          <w:rFonts w:hint="eastAsia" w:ascii="宋体" w:hAnsi="宋体" w:eastAsia="宋体" w:cs="宋体"/>
          <w:b w:val="0"/>
          <w:bCs w:val="0"/>
          <w:color w:val="auto"/>
          <w:sz w:val="21"/>
          <w:szCs w:val="21"/>
          <w:highlight w:val="none"/>
        </w:rPr>
        <w:fldChar w:fldCharType="begin"/>
      </w:r>
      <w:r>
        <w:rPr>
          <w:rFonts w:hint="eastAsia" w:ascii="宋体" w:hAnsi="宋体" w:eastAsia="宋体" w:cs="宋体"/>
          <w:b w:val="0"/>
          <w:bCs w:val="0"/>
          <w:color w:val="auto"/>
          <w:sz w:val="21"/>
          <w:szCs w:val="21"/>
          <w:highlight w:val="none"/>
        </w:rPr>
        <w:instrText xml:space="preserve"> HYPERLINK \l _Toc7853 </w:instrText>
      </w:r>
      <w:r>
        <w:rPr>
          <w:rFonts w:hint="eastAsia" w:ascii="宋体" w:hAnsi="宋体" w:eastAsia="宋体" w:cs="宋体"/>
          <w:b w:val="0"/>
          <w:bCs w:val="0"/>
          <w:color w:val="auto"/>
          <w:sz w:val="21"/>
          <w:szCs w:val="21"/>
          <w:highlight w:val="none"/>
        </w:rPr>
        <w:fldChar w:fldCharType="separate"/>
      </w:r>
      <w:r>
        <w:rPr>
          <w:rFonts w:hint="eastAsia" w:ascii="宋体" w:hAnsi="宋体" w:eastAsia="宋体" w:cs="宋体"/>
          <w:b w:val="0"/>
          <w:bCs w:val="0"/>
          <w:snapToGrid w:val="0"/>
          <w:color w:val="auto"/>
          <w:sz w:val="21"/>
          <w:szCs w:val="21"/>
        </w:rPr>
        <w:t>一、建设项目基本情况</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_Toc7853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1</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sz w:val="21"/>
          <w:szCs w:val="21"/>
          <w:highlight w:val="none"/>
        </w:rPr>
        <w:fldChar w:fldCharType="end"/>
      </w:r>
    </w:p>
    <w:p w14:paraId="1F2C5730">
      <w:pPr>
        <w:pStyle w:val="20"/>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highlight w:val="none"/>
        </w:rPr>
        <w:fldChar w:fldCharType="begin"/>
      </w:r>
      <w:r>
        <w:rPr>
          <w:rFonts w:hint="eastAsia" w:ascii="宋体" w:hAnsi="宋体" w:eastAsia="宋体" w:cs="宋体"/>
          <w:b w:val="0"/>
          <w:bCs w:val="0"/>
          <w:color w:val="auto"/>
          <w:sz w:val="21"/>
          <w:szCs w:val="21"/>
          <w:highlight w:val="none"/>
        </w:rPr>
        <w:instrText xml:space="preserve"> HYPERLINK \l _Toc10921 </w:instrText>
      </w:r>
      <w:r>
        <w:rPr>
          <w:rFonts w:hint="eastAsia" w:ascii="宋体" w:hAnsi="宋体" w:eastAsia="宋体" w:cs="宋体"/>
          <w:b w:val="0"/>
          <w:bCs w:val="0"/>
          <w:color w:val="auto"/>
          <w:sz w:val="21"/>
          <w:szCs w:val="21"/>
          <w:highlight w:val="none"/>
        </w:rPr>
        <w:fldChar w:fldCharType="separate"/>
      </w:r>
      <w:r>
        <w:rPr>
          <w:rFonts w:hint="eastAsia" w:ascii="宋体" w:hAnsi="宋体" w:eastAsia="宋体" w:cs="宋体"/>
          <w:b w:val="0"/>
          <w:bCs w:val="0"/>
          <w:snapToGrid w:val="0"/>
          <w:color w:val="auto"/>
          <w:sz w:val="21"/>
          <w:szCs w:val="21"/>
        </w:rPr>
        <w:t>二、建设项目工程分析</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_Toc10921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18</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sz w:val="21"/>
          <w:szCs w:val="21"/>
          <w:highlight w:val="none"/>
        </w:rPr>
        <w:fldChar w:fldCharType="end"/>
      </w:r>
    </w:p>
    <w:p w14:paraId="2FE7CD87">
      <w:pPr>
        <w:pStyle w:val="20"/>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highlight w:val="none"/>
        </w:rPr>
        <w:fldChar w:fldCharType="begin"/>
      </w:r>
      <w:r>
        <w:rPr>
          <w:rFonts w:hint="eastAsia" w:ascii="宋体" w:hAnsi="宋体" w:eastAsia="宋体" w:cs="宋体"/>
          <w:b w:val="0"/>
          <w:bCs w:val="0"/>
          <w:color w:val="auto"/>
          <w:sz w:val="21"/>
          <w:szCs w:val="21"/>
          <w:highlight w:val="none"/>
        </w:rPr>
        <w:instrText xml:space="preserve"> HYPERLINK \l _Toc12048 </w:instrText>
      </w:r>
      <w:r>
        <w:rPr>
          <w:rFonts w:hint="eastAsia" w:ascii="宋体" w:hAnsi="宋体" w:eastAsia="宋体" w:cs="宋体"/>
          <w:b w:val="0"/>
          <w:bCs w:val="0"/>
          <w:color w:val="auto"/>
          <w:sz w:val="21"/>
          <w:szCs w:val="21"/>
          <w:highlight w:val="none"/>
        </w:rPr>
        <w:fldChar w:fldCharType="separate"/>
      </w:r>
      <w:r>
        <w:rPr>
          <w:rFonts w:hint="eastAsia" w:ascii="宋体" w:hAnsi="宋体" w:eastAsia="宋体" w:cs="宋体"/>
          <w:b w:val="0"/>
          <w:bCs w:val="0"/>
          <w:snapToGrid w:val="0"/>
          <w:color w:val="auto"/>
          <w:sz w:val="21"/>
          <w:szCs w:val="21"/>
        </w:rPr>
        <w:t>三、区域环境质量现状、环境保护目标及评价标准</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_Toc12048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35</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sz w:val="21"/>
          <w:szCs w:val="21"/>
          <w:highlight w:val="none"/>
        </w:rPr>
        <w:fldChar w:fldCharType="end"/>
      </w:r>
    </w:p>
    <w:p w14:paraId="4D751578">
      <w:pPr>
        <w:pStyle w:val="20"/>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highlight w:val="none"/>
        </w:rPr>
        <w:fldChar w:fldCharType="begin"/>
      </w:r>
      <w:r>
        <w:rPr>
          <w:rFonts w:hint="eastAsia" w:ascii="宋体" w:hAnsi="宋体" w:eastAsia="宋体" w:cs="宋体"/>
          <w:b w:val="0"/>
          <w:bCs w:val="0"/>
          <w:color w:val="auto"/>
          <w:sz w:val="21"/>
          <w:szCs w:val="21"/>
          <w:highlight w:val="none"/>
        </w:rPr>
        <w:instrText xml:space="preserve"> HYPERLINK \l _Toc6576 </w:instrText>
      </w:r>
      <w:r>
        <w:rPr>
          <w:rFonts w:hint="eastAsia" w:ascii="宋体" w:hAnsi="宋体" w:eastAsia="宋体" w:cs="宋体"/>
          <w:b w:val="0"/>
          <w:bCs w:val="0"/>
          <w:color w:val="auto"/>
          <w:sz w:val="21"/>
          <w:szCs w:val="21"/>
          <w:highlight w:val="none"/>
        </w:rPr>
        <w:fldChar w:fldCharType="separate"/>
      </w:r>
      <w:r>
        <w:rPr>
          <w:rFonts w:hint="eastAsia" w:ascii="宋体" w:hAnsi="宋体" w:eastAsia="宋体" w:cs="宋体"/>
          <w:b w:val="0"/>
          <w:bCs w:val="0"/>
          <w:snapToGrid w:val="0"/>
          <w:color w:val="auto"/>
          <w:sz w:val="21"/>
          <w:szCs w:val="21"/>
        </w:rPr>
        <w:t>四、主要环境影响和保护措施</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_Toc6576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43</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sz w:val="21"/>
          <w:szCs w:val="21"/>
          <w:highlight w:val="none"/>
        </w:rPr>
        <w:fldChar w:fldCharType="end"/>
      </w:r>
    </w:p>
    <w:p w14:paraId="0164263F">
      <w:pPr>
        <w:pStyle w:val="20"/>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highlight w:val="none"/>
        </w:rPr>
        <w:fldChar w:fldCharType="begin"/>
      </w:r>
      <w:r>
        <w:rPr>
          <w:rFonts w:hint="eastAsia" w:ascii="宋体" w:hAnsi="宋体" w:eastAsia="宋体" w:cs="宋体"/>
          <w:b w:val="0"/>
          <w:bCs w:val="0"/>
          <w:color w:val="auto"/>
          <w:sz w:val="21"/>
          <w:szCs w:val="21"/>
          <w:highlight w:val="none"/>
        </w:rPr>
        <w:instrText xml:space="preserve"> HYPERLINK \l _Toc9753 </w:instrText>
      </w:r>
      <w:r>
        <w:rPr>
          <w:rFonts w:hint="eastAsia" w:ascii="宋体" w:hAnsi="宋体" w:eastAsia="宋体" w:cs="宋体"/>
          <w:b w:val="0"/>
          <w:bCs w:val="0"/>
          <w:color w:val="auto"/>
          <w:sz w:val="21"/>
          <w:szCs w:val="21"/>
          <w:highlight w:val="none"/>
        </w:rPr>
        <w:fldChar w:fldCharType="separate"/>
      </w:r>
      <w:r>
        <w:rPr>
          <w:rFonts w:hint="eastAsia" w:ascii="宋体" w:hAnsi="宋体" w:eastAsia="宋体" w:cs="宋体"/>
          <w:b w:val="0"/>
          <w:bCs w:val="0"/>
          <w:snapToGrid w:val="0"/>
          <w:color w:val="auto"/>
          <w:sz w:val="21"/>
          <w:szCs w:val="21"/>
        </w:rPr>
        <w:t>五、环境保护措施监督检查清单</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_Toc9753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67</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sz w:val="21"/>
          <w:szCs w:val="21"/>
          <w:highlight w:val="none"/>
        </w:rPr>
        <w:fldChar w:fldCharType="end"/>
      </w:r>
    </w:p>
    <w:p w14:paraId="5CFB874C">
      <w:pPr>
        <w:pStyle w:val="20"/>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highlight w:val="none"/>
        </w:rPr>
        <w:fldChar w:fldCharType="begin"/>
      </w:r>
      <w:r>
        <w:rPr>
          <w:rFonts w:hint="eastAsia" w:ascii="宋体" w:hAnsi="宋体" w:eastAsia="宋体" w:cs="宋体"/>
          <w:b w:val="0"/>
          <w:bCs w:val="0"/>
          <w:color w:val="auto"/>
          <w:sz w:val="21"/>
          <w:szCs w:val="21"/>
          <w:highlight w:val="none"/>
        </w:rPr>
        <w:instrText xml:space="preserve"> HYPERLINK \l _Toc25396 </w:instrText>
      </w:r>
      <w:r>
        <w:rPr>
          <w:rFonts w:hint="eastAsia" w:ascii="宋体" w:hAnsi="宋体" w:eastAsia="宋体" w:cs="宋体"/>
          <w:b w:val="0"/>
          <w:bCs w:val="0"/>
          <w:color w:val="auto"/>
          <w:sz w:val="21"/>
          <w:szCs w:val="21"/>
          <w:highlight w:val="none"/>
        </w:rPr>
        <w:fldChar w:fldCharType="separate"/>
      </w:r>
      <w:r>
        <w:rPr>
          <w:rFonts w:hint="eastAsia" w:ascii="宋体" w:hAnsi="宋体" w:eastAsia="宋体" w:cs="宋体"/>
          <w:b w:val="0"/>
          <w:bCs w:val="0"/>
          <w:snapToGrid w:val="0"/>
          <w:color w:val="auto"/>
          <w:sz w:val="21"/>
          <w:szCs w:val="21"/>
        </w:rPr>
        <w:t>六、结论</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_Toc25396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68</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sz w:val="21"/>
          <w:szCs w:val="21"/>
          <w:highlight w:val="none"/>
        </w:rPr>
        <w:fldChar w:fldCharType="end"/>
      </w:r>
    </w:p>
    <w:p w14:paraId="057A465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highlight w:val="none"/>
        </w:rPr>
      </w:pPr>
      <w:r>
        <w:rPr>
          <w:rFonts w:hint="eastAsia" w:ascii="宋体" w:hAnsi="宋体" w:eastAsia="宋体" w:cs="宋体"/>
          <w:b w:val="0"/>
          <w:bCs w:val="0"/>
          <w:color w:val="auto"/>
          <w:sz w:val="21"/>
          <w:szCs w:val="21"/>
          <w:highlight w:val="none"/>
        </w:rPr>
        <w:fldChar w:fldCharType="end"/>
      </w:r>
    </w:p>
    <w:p w14:paraId="20836E7C">
      <w:pPr>
        <w:adjustRightInd w:val="0"/>
        <w:snapToGrid w:val="0"/>
        <w:spacing w:line="288" w:lineRule="auto"/>
        <w:jc w:val="center"/>
        <w:rPr>
          <w:rFonts w:hint="default" w:ascii="Times New Roman" w:hAnsi="Times New Roman" w:eastAsia="宋体" w:cs="Times New Roman"/>
          <w:color w:val="auto"/>
          <w:sz w:val="21"/>
          <w:szCs w:val="21"/>
          <w:highlight w:val="none"/>
        </w:rPr>
      </w:pPr>
    </w:p>
    <w:p w14:paraId="0931D083">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附图</w:t>
      </w:r>
    </w:p>
    <w:p w14:paraId="54743D71">
      <w:pPr>
        <w:adjustRightInd w:val="0"/>
        <w:snapToGrid w:val="0"/>
        <w:spacing w:line="360" w:lineRule="auto"/>
        <w:rPr>
          <w:color w:val="auto"/>
          <w:szCs w:val="21"/>
        </w:rPr>
      </w:pPr>
      <w:r>
        <w:rPr>
          <w:color w:val="auto"/>
          <w:szCs w:val="21"/>
        </w:rPr>
        <w:t>附图</w:t>
      </w:r>
      <w:r>
        <w:rPr>
          <w:rFonts w:hint="eastAsia"/>
          <w:color w:val="auto"/>
          <w:szCs w:val="21"/>
        </w:rPr>
        <w:t>1</w:t>
      </w:r>
      <w:r>
        <w:rPr>
          <w:color w:val="auto"/>
          <w:szCs w:val="21"/>
        </w:rPr>
        <w:t xml:space="preserve">  项目地理位置图</w:t>
      </w:r>
    </w:p>
    <w:p w14:paraId="146EDA4F">
      <w:pPr>
        <w:adjustRightInd w:val="0"/>
        <w:snapToGrid w:val="0"/>
        <w:spacing w:line="360" w:lineRule="auto"/>
        <w:rPr>
          <w:color w:val="auto"/>
          <w:szCs w:val="21"/>
        </w:rPr>
      </w:pPr>
      <w:r>
        <w:rPr>
          <w:color w:val="auto"/>
          <w:szCs w:val="21"/>
        </w:rPr>
        <w:t>附图</w:t>
      </w:r>
      <w:r>
        <w:rPr>
          <w:rFonts w:hint="eastAsia"/>
          <w:color w:val="auto"/>
          <w:szCs w:val="21"/>
        </w:rPr>
        <w:t>2</w:t>
      </w:r>
      <w:r>
        <w:rPr>
          <w:color w:val="auto"/>
          <w:szCs w:val="21"/>
        </w:rPr>
        <w:t xml:space="preserve">  项目周</w:t>
      </w:r>
      <w:r>
        <w:rPr>
          <w:rFonts w:hint="eastAsia"/>
          <w:color w:val="auto"/>
          <w:szCs w:val="21"/>
        </w:rPr>
        <w:t>边</w:t>
      </w:r>
      <w:r>
        <w:rPr>
          <w:color w:val="auto"/>
          <w:szCs w:val="21"/>
        </w:rPr>
        <w:t>环境概况图</w:t>
      </w:r>
    </w:p>
    <w:p w14:paraId="41B4E1D4">
      <w:pPr>
        <w:adjustRightInd w:val="0"/>
        <w:snapToGrid w:val="0"/>
        <w:spacing w:line="360" w:lineRule="auto"/>
        <w:rPr>
          <w:rFonts w:hint="eastAsia"/>
          <w:color w:val="auto"/>
          <w:szCs w:val="21"/>
        </w:rPr>
      </w:pPr>
      <w:r>
        <w:rPr>
          <w:color w:val="auto"/>
          <w:szCs w:val="21"/>
        </w:rPr>
        <w:t>附图</w:t>
      </w:r>
      <w:r>
        <w:rPr>
          <w:rFonts w:hint="eastAsia"/>
          <w:color w:val="auto"/>
          <w:szCs w:val="21"/>
        </w:rPr>
        <w:t>3</w:t>
      </w:r>
      <w:r>
        <w:rPr>
          <w:color w:val="auto"/>
          <w:szCs w:val="21"/>
        </w:rPr>
        <w:t xml:space="preserve">  </w:t>
      </w:r>
      <w:r>
        <w:rPr>
          <w:rFonts w:hint="eastAsia"/>
          <w:color w:val="auto"/>
          <w:szCs w:val="21"/>
        </w:rPr>
        <w:t>厂区平面布置</w:t>
      </w:r>
    </w:p>
    <w:p w14:paraId="03D2D219">
      <w:pPr>
        <w:adjustRightInd w:val="0"/>
        <w:snapToGrid w:val="0"/>
        <w:spacing w:line="360" w:lineRule="auto"/>
        <w:rPr>
          <w:rFonts w:hint="eastAsia"/>
          <w:color w:val="auto"/>
          <w:szCs w:val="21"/>
        </w:rPr>
      </w:pPr>
      <w:r>
        <w:rPr>
          <w:color w:val="auto"/>
          <w:szCs w:val="21"/>
        </w:rPr>
        <w:t>附图</w:t>
      </w:r>
      <w:r>
        <w:rPr>
          <w:rFonts w:hint="eastAsia"/>
          <w:color w:val="auto"/>
          <w:szCs w:val="21"/>
        </w:rPr>
        <w:t>4  金坛区朱林工业园土地利用规划图</w:t>
      </w:r>
    </w:p>
    <w:p w14:paraId="6C2EBCB6">
      <w:pPr>
        <w:adjustRightInd w:val="0"/>
        <w:snapToGrid w:val="0"/>
        <w:spacing w:line="360" w:lineRule="auto"/>
        <w:rPr>
          <w:color w:val="auto"/>
          <w:szCs w:val="21"/>
        </w:rPr>
      </w:pPr>
      <w:r>
        <w:rPr>
          <w:color w:val="auto"/>
          <w:szCs w:val="21"/>
        </w:rPr>
        <w:t>附图</w:t>
      </w:r>
      <w:r>
        <w:rPr>
          <w:rFonts w:hint="eastAsia"/>
          <w:color w:val="auto"/>
          <w:szCs w:val="21"/>
          <w:lang w:val="en-US" w:eastAsia="zh-CN"/>
        </w:rPr>
        <w:t>5</w:t>
      </w:r>
      <w:r>
        <w:rPr>
          <w:color w:val="auto"/>
          <w:szCs w:val="21"/>
        </w:rPr>
        <w:t xml:space="preserve">  </w:t>
      </w:r>
      <w:r>
        <w:rPr>
          <w:rFonts w:hint="eastAsia"/>
          <w:color w:val="auto"/>
          <w:szCs w:val="21"/>
        </w:rPr>
        <w:t>区域水系图</w:t>
      </w:r>
    </w:p>
    <w:p w14:paraId="748C3143">
      <w:pPr>
        <w:adjustRightInd w:val="0"/>
        <w:snapToGrid w:val="0"/>
        <w:spacing w:line="360" w:lineRule="auto"/>
        <w:rPr>
          <w:color w:val="auto"/>
          <w:szCs w:val="21"/>
        </w:rPr>
      </w:pPr>
      <w:r>
        <w:rPr>
          <w:rFonts w:hint="eastAsia"/>
          <w:color w:val="auto"/>
          <w:szCs w:val="21"/>
        </w:rPr>
        <w:t>附图</w:t>
      </w:r>
      <w:r>
        <w:rPr>
          <w:rFonts w:hint="eastAsia"/>
          <w:color w:val="auto"/>
          <w:szCs w:val="21"/>
          <w:lang w:val="en-US" w:eastAsia="zh-CN"/>
        </w:rPr>
        <w:t>6</w:t>
      </w:r>
      <w:r>
        <w:rPr>
          <w:rFonts w:hint="eastAsia"/>
          <w:color w:val="auto"/>
          <w:szCs w:val="21"/>
        </w:rPr>
        <w:t xml:space="preserve">  项目附近生态红线区域分布图</w:t>
      </w:r>
    </w:p>
    <w:p w14:paraId="0A1E19BB">
      <w:pPr>
        <w:adjustRightInd w:val="0"/>
        <w:snapToGrid w:val="0"/>
        <w:spacing w:line="360" w:lineRule="auto"/>
        <w:rPr>
          <w:rFonts w:hint="eastAsia"/>
          <w:color w:val="auto"/>
          <w:szCs w:val="21"/>
        </w:rPr>
      </w:pPr>
      <w:r>
        <w:rPr>
          <w:rFonts w:hint="eastAsia"/>
          <w:color w:val="auto"/>
          <w:szCs w:val="21"/>
        </w:rPr>
        <w:t>附图7  常州市“三线一单”生态环境分区管控分布图</w:t>
      </w:r>
    </w:p>
    <w:p w14:paraId="5409FF58">
      <w:pPr>
        <w:adjustRightInd w:val="0"/>
        <w:snapToGrid w:val="0"/>
        <w:spacing w:line="360" w:lineRule="auto"/>
        <w:rPr>
          <w:rFonts w:hint="default" w:eastAsia="宋体"/>
          <w:color w:val="auto"/>
          <w:szCs w:val="21"/>
          <w:lang w:val="en-US" w:eastAsia="zh-CN"/>
        </w:rPr>
      </w:pPr>
      <w:r>
        <w:rPr>
          <w:color w:val="auto"/>
          <w:szCs w:val="21"/>
        </w:rPr>
        <w:t>附图</w:t>
      </w:r>
      <w:r>
        <w:rPr>
          <w:rFonts w:hint="eastAsia"/>
          <w:color w:val="auto"/>
          <w:szCs w:val="21"/>
          <w:lang w:val="en-US" w:eastAsia="zh-CN"/>
        </w:rPr>
        <w:t>8</w:t>
      </w:r>
      <w:r>
        <w:rPr>
          <w:rFonts w:hint="eastAsia"/>
          <w:color w:val="auto"/>
          <w:szCs w:val="21"/>
        </w:rPr>
        <w:t xml:space="preserve">  常州市环境管控单元图</w:t>
      </w:r>
    </w:p>
    <w:p w14:paraId="3DBC1D71">
      <w:pPr>
        <w:adjustRightInd w:val="0"/>
        <w:snapToGrid w:val="0"/>
        <w:spacing w:line="360" w:lineRule="auto"/>
        <w:rPr>
          <w:color w:val="auto"/>
          <w:szCs w:val="21"/>
        </w:rPr>
      </w:pPr>
      <w:r>
        <w:rPr>
          <w:color w:val="auto"/>
          <w:szCs w:val="21"/>
        </w:rPr>
        <w:t>附图</w:t>
      </w:r>
      <w:r>
        <w:rPr>
          <w:rFonts w:hint="eastAsia"/>
          <w:color w:val="auto"/>
          <w:szCs w:val="21"/>
          <w:lang w:val="en-US" w:eastAsia="zh-CN"/>
        </w:rPr>
        <w:t>9</w:t>
      </w:r>
      <w:r>
        <w:rPr>
          <w:color w:val="auto"/>
          <w:szCs w:val="21"/>
        </w:rPr>
        <w:t xml:space="preserve">  </w:t>
      </w:r>
      <w:r>
        <w:rPr>
          <w:rFonts w:hint="eastAsia"/>
          <w:color w:val="auto"/>
          <w:szCs w:val="21"/>
        </w:rPr>
        <w:t>常州市</w:t>
      </w:r>
      <w:r>
        <w:rPr>
          <w:rFonts w:hint="eastAsia" w:ascii="Times New Roman" w:hAnsi="Times New Roman" w:eastAsia="宋体" w:cs="Times New Roman"/>
          <w:color w:val="auto"/>
          <w:szCs w:val="21"/>
          <w:lang w:val="en-US" w:eastAsia="zh-CN"/>
        </w:rPr>
        <w:t>国土空间规划图</w:t>
      </w:r>
    </w:p>
    <w:p w14:paraId="2E136D26">
      <w:pPr>
        <w:rPr>
          <w:rFonts w:hint="default"/>
          <w:color w:val="auto"/>
          <w:highlight w:val="none"/>
          <w:lang w:val="en-US" w:eastAsia="zh-CN"/>
        </w:rPr>
      </w:pPr>
    </w:p>
    <w:p w14:paraId="77F149D3">
      <w:pPr>
        <w:pStyle w:val="7"/>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z w:val="21"/>
          <w:szCs w:val="21"/>
          <w:highlight w:val="none"/>
        </w:rPr>
      </w:pPr>
    </w:p>
    <w:p w14:paraId="6BB32987">
      <w:pPr>
        <w:adjustRightInd w:val="0"/>
        <w:snapToGrid w:val="0"/>
        <w:spacing w:line="360" w:lineRule="auto"/>
        <w:rPr>
          <w:rFonts w:hint="default" w:ascii="Times New Roman" w:hAnsi="Times New Roman" w:eastAsia="宋体" w:cs="Times New Roman"/>
          <w:b/>
          <w:bCs/>
          <w:color w:val="auto"/>
          <w:sz w:val="21"/>
          <w:szCs w:val="21"/>
          <w:highlight w:val="none"/>
        </w:rPr>
      </w:pPr>
    </w:p>
    <w:p w14:paraId="103E4B58">
      <w:pPr>
        <w:adjustRightInd w:val="0"/>
        <w:snapToGrid w:val="0"/>
        <w:spacing w:line="360" w:lineRule="auto"/>
        <w:rPr>
          <w:rFonts w:hint="default" w:ascii="Times New Roman" w:hAnsi="Times New Roman" w:eastAsia="宋体" w:cs="Times New Roman"/>
          <w:b/>
          <w:bCs/>
          <w:color w:val="auto"/>
          <w:sz w:val="21"/>
          <w:szCs w:val="21"/>
          <w:highlight w:val="none"/>
        </w:rPr>
        <w:sectPr>
          <w:footerReference r:id="rId3" w:type="default"/>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p>
    <w:p w14:paraId="42E8742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附件</w:t>
      </w:r>
    </w:p>
    <w:p w14:paraId="6A678623">
      <w:pPr>
        <w:adjustRightInd w:val="0"/>
        <w:snapToGrid w:val="0"/>
        <w:spacing w:line="360" w:lineRule="auto"/>
        <w:rPr>
          <w:rFonts w:hint="default" w:eastAsia="宋体"/>
          <w:color w:val="auto"/>
          <w:szCs w:val="21"/>
          <w:lang w:val="en-US" w:eastAsia="zh-CN"/>
        </w:rPr>
      </w:pPr>
      <w:r>
        <w:rPr>
          <w:color w:val="auto"/>
          <w:szCs w:val="21"/>
        </w:rPr>
        <w:t>附件1  环评技术合同</w:t>
      </w:r>
      <w:r>
        <w:rPr>
          <w:rFonts w:hint="eastAsia"/>
          <w:color w:val="auto"/>
          <w:szCs w:val="21"/>
          <w:lang w:val="en-US" w:eastAsia="zh-CN"/>
        </w:rPr>
        <w:t>及委托书</w:t>
      </w:r>
    </w:p>
    <w:p w14:paraId="059BF7D9">
      <w:pPr>
        <w:adjustRightInd w:val="0"/>
        <w:snapToGrid w:val="0"/>
        <w:spacing w:line="360" w:lineRule="auto"/>
        <w:rPr>
          <w:rFonts w:hint="eastAsia"/>
          <w:color w:val="auto"/>
          <w:szCs w:val="21"/>
        </w:rPr>
      </w:pPr>
      <w:r>
        <w:rPr>
          <w:color w:val="auto"/>
          <w:szCs w:val="21"/>
        </w:rPr>
        <w:t xml:space="preserve">附件2  </w:t>
      </w:r>
      <w:r>
        <w:rPr>
          <w:rFonts w:hint="eastAsia"/>
          <w:color w:val="auto"/>
          <w:szCs w:val="21"/>
        </w:rPr>
        <w:t>备案证</w:t>
      </w:r>
    </w:p>
    <w:p w14:paraId="499E77AA">
      <w:pPr>
        <w:adjustRightInd w:val="0"/>
        <w:snapToGrid w:val="0"/>
        <w:spacing w:line="360" w:lineRule="auto"/>
        <w:rPr>
          <w:color w:val="auto"/>
          <w:szCs w:val="21"/>
        </w:rPr>
      </w:pPr>
      <w:r>
        <w:rPr>
          <w:color w:val="auto"/>
          <w:szCs w:val="21"/>
        </w:rPr>
        <w:t>附件3  营业执照</w:t>
      </w:r>
    </w:p>
    <w:p w14:paraId="0810C854">
      <w:pPr>
        <w:adjustRightInd w:val="0"/>
        <w:snapToGrid w:val="0"/>
        <w:spacing w:line="360" w:lineRule="auto"/>
        <w:rPr>
          <w:color w:val="auto"/>
          <w:szCs w:val="21"/>
        </w:rPr>
      </w:pPr>
      <w:r>
        <w:rPr>
          <w:color w:val="auto"/>
          <w:szCs w:val="21"/>
        </w:rPr>
        <w:t>附件4  法人身份证</w:t>
      </w:r>
    </w:p>
    <w:p w14:paraId="25837CEE">
      <w:pPr>
        <w:adjustRightInd w:val="0"/>
        <w:snapToGrid w:val="0"/>
        <w:spacing w:line="360" w:lineRule="auto"/>
        <w:rPr>
          <w:rFonts w:hint="eastAsia"/>
          <w:color w:val="auto"/>
          <w:szCs w:val="21"/>
        </w:rPr>
      </w:pPr>
      <w:r>
        <w:rPr>
          <w:color w:val="auto"/>
          <w:szCs w:val="21"/>
        </w:rPr>
        <w:t xml:space="preserve">附件5  </w:t>
      </w:r>
      <w:r>
        <w:rPr>
          <w:rFonts w:hint="eastAsia"/>
          <w:color w:val="auto"/>
          <w:szCs w:val="21"/>
        </w:rPr>
        <w:t>厂房产权证</w:t>
      </w:r>
    </w:p>
    <w:p w14:paraId="5A3D03BB">
      <w:pPr>
        <w:adjustRightInd w:val="0"/>
        <w:snapToGrid w:val="0"/>
        <w:spacing w:line="360" w:lineRule="auto"/>
        <w:rPr>
          <w:rFonts w:hint="default"/>
          <w:color w:val="auto"/>
          <w:szCs w:val="21"/>
          <w:lang w:val="en-US"/>
        </w:rPr>
      </w:pPr>
      <w:r>
        <w:rPr>
          <w:rFonts w:hint="eastAsia"/>
          <w:color w:val="auto"/>
          <w:szCs w:val="21"/>
        </w:rPr>
        <w:t xml:space="preserve">附件6  </w:t>
      </w:r>
      <w:r>
        <w:rPr>
          <w:rFonts w:hint="eastAsia"/>
          <w:color w:val="auto"/>
          <w:szCs w:val="21"/>
          <w:lang w:val="en-US" w:eastAsia="zh-CN"/>
        </w:rPr>
        <w:t>租赁协议</w:t>
      </w:r>
    </w:p>
    <w:p w14:paraId="73401945">
      <w:pPr>
        <w:adjustRightInd w:val="0"/>
        <w:snapToGrid w:val="0"/>
        <w:spacing w:line="360" w:lineRule="auto"/>
        <w:rPr>
          <w:color w:val="auto"/>
          <w:szCs w:val="21"/>
        </w:rPr>
      </w:pPr>
      <w:r>
        <w:rPr>
          <w:rFonts w:hint="eastAsia"/>
          <w:color w:val="auto"/>
          <w:szCs w:val="21"/>
        </w:rPr>
        <w:t>附图</w:t>
      </w:r>
      <w:r>
        <w:rPr>
          <w:rFonts w:hint="eastAsia"/>
          <w:color w:val="auto"/>
          <w:szCs w:val="21"/>
          <w:lang w:val="en-US" w:eastAsia="zh-CN"/>
        </w:rPr>
        <w:t>7</w:t>
      </w:r>
      <w:r>
        <w:rPr>
          <w:rFonts w:hint="eastAsia"/>
          <w:color w:val="auto"/>
          <w:szCs w:val="21"/>
        </w:rPr>
        <w:t xml:space="preserve">  </w:t>
      </w:r>
      <w:r>
        <w:rPr>
          <w:color w:val="auto"/>
          <w:szCs w:val="21"/>
        </w:rPr>
        <w:t>监测报告</w:t>
      </w:r>
      <w:r>
        <w:rPr>
          <w:rFonts w:hint="eastAsia"/>
          <w:color w:val="auto"/>
          <w:szCs w:val="21"/>
        </w:rPr>
        <w:t>及引用说明</w:t>
      </w:r>
    </w:p>
    <w:p w14:paraId="0E62716F">
      <w:pPr>
        <w:adjustRightInd w:val="0"/>
        <w:snapToGrid w:val="0"/>
        <w:spacing w:line="360" w:lineRule="auto"/>
        <w:rPr>
          <w:rFonts w:hint="default"/>
          <w:color w:val="auto"/>
          <w:szCs w:val="21"/>
          <w:lang w:val="en-US"/>
        </w:rPr>
      </w:pPr>
      <w:r>
        <w:rPr>
          <w:rFonts w:hint="eastAsia"/>
          <w:color w:val="auto"/>
          <w:szCs w:val="21"/>
        </w:rPr>
        <w:t>附件</w:t>
      </w:r>
      <w:r>
        <w:rPr>
          <w:rFonts w:hint="eastAsia"/>
          <w:color w:val="auto"/>
          <w:szCs w:val="21"/>
          <w:lang w:val="en-US" w:eastAsia="zh-CN"/>
        </w:rPr>
        <w:t>8</w:t>
      </w:r>
      <w:r>
        <w:rPr>
          <w:rFonts w:hint="eastAsia"/>
          <w:color w:val="auto"/>
          <w:szCs w:val="21"/>
        </w:rPr>
        <w:t xml:space="preserve"> </w:t>
      </w:r>
      <w:r>
        <w:rPr>
          <w:rFonts w:hint="eastAsia"/>
          <w:color w:val="auto"/>
          <w:szCs w:val="21"/>
          <w:lang w:val="en-US" w:eastAsia="zh-CN"/>
        </w:rPr>
        <w:t xml:space="preserve"> 原有项目环评手续</w:t>
      </w:r>
    </w:p>
    <w:p w14:paraId="17915935">
      <w:pPr>
        <w:adjustRightInd w:val="0"/>
        <w:snapToGrid w:val="0"/>
        <w:spacing w:line="360" w:lineRule="auto"/>
        <w:rPr>
          <w:color w:val="auto"/>
          <w:szCs w:val="21"/>
        </w:rPr>
      </w:pPr>
      <w:r>
        <w:rPr>
          <w:rFonts w:hint="eastAsia"/>
          <w:color w:val="auto"/>
          <w:szCs w:val="21"/>
        </w:rPr>
        <w:t>附件</w:t>
      </w:r>
      <w:r>
        <w:rPr>
          <w:rFonts w:hint="eastAsia"/>
          <w:color w:val="auto"/>
          <w:szCs w:val="21"/>
          <w:lang w:val="en-US" w:eastAsia="zh-CN"/>
        </w:rPr>
        <w:t>9</w:t>
      </w:r>
      <w:r>
        <w:rPr>
          <w:rFonts w:hint="eastAsia"/>
          <w:color w:val="auto"/>
          <w:szCs w:val="21"/>
        </w:rPr>
        <w:t xml:space="preserve"> </w:t>
      </w:r>
      <w:r>
        <w:rPr>
          <w:rFonts w:hint="eastAsia"/>
          <w:color w:val="auto"/>
          <w:szCs w:val="21"/>
          <w:lang w:val="en-US" w:eastAsia="zh-CN"/>
        </w:rPr>
        <w:t xml:space="preserve"> </w:t>
      </w:r>
      <w:r>
        <w:rPr>
          <w:color w:val="auto"/>
          <w:szCs w:val="21"/>
        </w:rPr>
        <w:t>建设单位承诺函</w:t>
      </w:r>
    </w:p>
    <w:p w14:paraId="5B62C318">
      <w:pPr>
        <w:adjustRightInd w:val="0"/>
        <w:snapToGrid w:val="0"/>
        <w:spacing w:line="360" w:lineRule="auto"/>
        <w:rPr>
          <w:rFonts w:hint="eastAsia"/>
          <w:color w:val="auto"/>
          <w:szCs w:val="21"/>
        </w:rPr>
      </w:pPr>
      <w:r>
        <w:rPr>
          <w:color w:val="auto"/>
          <w:szCs w:val="21"/>
        </w:rPr>
        <w:t>附件</w:t>
      </w:r>
      <w:r>
        <w:rPr>
          <w:rFonts w:hint="eastAsia"/>
          <w:color w:val="auto"/>
          <w:szCs w:val="21"/>
        </w:rPr>
        <w:t>1</w:t>
      </w:r>
      <w:r>
        <w:rPr>
          <w:rFonts w:hint="eastAsia"/>
          <w:color w:val="auto"/>
          <w:szCs w:val="21"/>
          <w:lang w:val="en-US" w:eastAsia="zh-CN"/>
        </w:rPr>
        <w:t>0</w:t>
      </w:r>
      <w:r>
        <w:rPr>
          <w:color w:val="auto"/>
          <w:szCs w:val="21"/>
        </w:rPr>
        <w:t xml:space="preserve"> </w:t>
      </w:r>
      <w:r>
        <w:rPr>
          <w:rFonts w:hint="eastAsia"/>
          <w:color w:val="auto"/>
          <w:szCs w:val="21"/>
        </w:rPr>
        <w:t>危废</w:t>
      </w:r>
      <w:r>
        <w:rPr>
          <w:rFonts w:hint="eastAsia"/>
          <w:color w:val="auto"/>
          <w:szCs w:val="21"/>
          <w:lang w:val="en-US" w:eastAsia="zh-CN"/>
        </w:rPr>
        <w:t>处理</w:t>
      </w:r>
      <w:r>
        <w:rPr>
          <w:rFonts w:hint="eastAsia"/>
          <w:color w:val="auto"/>
          <w:szCs w:val="21"/>
        </w:rPr>
        <w:t>承诺书</w:t>
      </w:r>
    </w:p>
    <w:p w14:paraId="4BC606A6">
      <w:pPr>
        <w:adjustRightInd w:val="0"/>
        <w:snapToGrid w:val="0"/>
        <w:spacing w:line="360" w:lineRule="auto"/>
        <w:rPr>
          <w:color w:val="auto"/>
          <w:szCs w:val="21"/>
        </w:rPr>
      </w:pPr>
      <w:r>
        <w:rPr>
          <w:rFonts w:hint="eastAsia"/>
          <w:color w:val="auto"/>
          <w:szCs w:val="21"/>
        </w:rPr>
        <w:t>附件</w:t>
      </w:r>
      <w:r>
        <w:rPr>
          <w:rFonts w:hint="eastAsia"/>
          <w:color w:val="auto"/>
          <w:szCs w:val="21"/>
          <w:lang w:val="en-US" w:eastAsia="zh-CN"/>
        </w:rPr>
        <w:t>11</w:t>
      </w:r>
      <w:r>
        <w:rPr>
          <w:rFonts w:hint="eastAsia"/>
          <w:color w:val="auto"/>
          <w:szCs w:val="21"/>
        </w:rPr>
        <w:t xml:space="preserve"> 建设单位环评单位公示承诺</w:t>
      </w:r>
    </w:p>
    <w:p w14:paraId="6BC083D7">
      <w:pPr>
        <w:adjustRightInd w:val="0"/>
        <w:snapToGrid w:val="0"/>
        <w:spacing w:line="360" w:lineRule="auto"/>
        <w:rPr>
          <w:rFonts w:hint="eastAsia"/>
          <w:color w:val="auto"/>
          <w:szCs w:val="21"/>
        </w:rPr>
      </w:pPr>
      <w:r>
        <w:rPr>
          <w:rFonts w:hint="eastAsia"/>
          <w:color w:val="auto"/>
          <w:szCs w:val="21"/>
        </w:rPr>
        <w:t>附件1</w:t>
      </w:r>
      <w:r>
        <w:rPr>
          <w:rFonts w:hint="eastAsia"/>
          <w:color w:val="auto"/>
          <w:szCs w:val="21"/>
          <w:lang w:val="en-US" w:eastAsia="zh-CN"/>
        </w:rPr>
        <w:t>2</w:t>
      </w:r>
      <w:r>
        <w:rPr>
          <w:rFonts w:hint="eastAsia"/>
          <w:color w:val="auto"/>
          <w:szCs w:val="21"/>
        </w:rPr>
        <w:t xml:space="preserve"> 金坛区环评报批申请</w:t>
      </w:r>
    </w:p>
    <w:p w14:paraId="2CFCBF1B">
      <w:pPr>
        <w:adjustRightInd w:val="0"/>
        <w:snapToGrid w:val="0"/>
        <w:spacing w:line="360" w:lineRule="auto"/>
        <w:rPr>
          <w:color w:val="auto"/>
          <w:szCs w:val="21"/>
        </w:rPr>
      </w:pPr>
      <w:r>
        <w:rPr>
          <w:rFonts w:hint="eastAsia"/>
          <w:color w:val="auto"/>
          <w:szCs w:val="21"/>
        </w:rPr>
        <w:t>附件1</w:t>
      </w:r>
      <w:r>
        <w:rPr>
          <w:rFonts w:hint="eastAsia"/>
          <w:color w:val="auto"/>
          <w:szCs w:val="21"/>
          <w:lang w:val="en-US" w:eastAsia="zh-CN"/>
        </w:rPr>
        <w:t>3</w:t>
      </w:r>
      <w:r>
        <w:rPr>
          <w:rFonts w:hint="eastAsia"/>
          <w:color w:val="auto"/>
          <w:szCs w:val="21"/>
        </w:rPr>
        <w:t xml:space="preserve"> 关于江苏省金坛经济开发区朱林现代产业园规划环境影响评价报告书的审查意见</w:t>
      </w:r>
    </w:p>
    <w:p w14:paraId="28E6D41B">
      <w:pPr>
        <w:adjustRightInd w:val="0"/>
        <w:snapToGrid w:val="0"/>
        <w:spacing w:line="360" w:lineRule="auto"/>
        <w:rPr>
          <w:color w:val="auto"/>
          <w:szCs w:val="21"/>
        </w:rPr>
      </w:pPr>
      <w:r>
        <w:rPr>
          <w:rFonts w:hint="eastAsia"/>
          <w:color w:val="auto"/>
          <w:szCs w:val="21"/>
        </w:rPr>
        <w:t>附件</w:t>
      </w:r>
      <w:r>
        <w:rPr>
          <w:rFonts w:hint="eastAsia"/>
          <w:color w:val="auto"/>
          <w:szCs w:val="21"/>
          <w:lang w:val="en-US" w:eastAsia="zh-CN"/>
        </w:rPr>
        <w:t>14</w:t>
      </w:r>
      <w:r>
        <w:rPr>
          <w:rFonts w:hint="eastAsia"/>
          <w:color w:val="auto"/>
          <w:szCs w:val="21"/>
        </w:rPr>
        <w:t xml:space="preserve"> 安圣印务生态环境分区管控综合查询报告书</w:t>
      </w:r>
    </w:p>
    <w:p w14:paraId="22CB87A7">
      <w:pPr>
        <w:adjustRightInd w:val="0"/>
        <w:snapToGrid w:val="0"/>
        <w:spacing w:line="360" w:lineRule="auto"/>
        <w:rPr>
          <w:rFonts w:hint="eastAsia"/>
          <w:color w:val="auto"/>
          <w:szCs w:val="21"/>
        </w:rPr>
      </w:pPr>
      <w:r>
        <w:rPr>
          <w:color w:val="auto"/>
          <w:szCs w:val="21"/>
        </w:rPr>
        <w:t>附件</w:t>
      </w:r>
      <w:r>
        <w:rPr>
          <w:rFonts w:hint="eastAsia"/>
          <w:color w:val="auto"/>
          <w:szCs w:val="21"/>
        </w:rPr>
        <w:t>1</w:t>
      </w:r>
      <w:r>
        <w:rPr>
          <w:rFonts w:hint="eastAsia"/>
          <w:color w:val="auto"/>
          <w:szCs w:val="21"/>
          <w:lang w:val="en-US" w:eastAsia="zh-CN"/>
        </w:rPr>
        <w:t>5</w:t>
      </w:r>
      <w:r>
        <w:rPr>
          <w:color w:val="auto"/>
          <w:szCs w:val="21"/>
        </w:rPr>
        <w:t xml:space="preserve"> </w:t>
      </w:r>
      <w:r>
        <w:rPr>
          <w:rFonts w:hint="eastAsia"/>
          <w:color w:val="auto"/>
          <w:szCs w:val="21"/>
        </w:rPr>
        <w:t>污水接管合同</w:t>
      </w:r>
    </w:p>
    <w:p w14:paraId="5BA2F73A">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1"/>
          <w:szCs w:val="21"/>
          <w:highlight w:val="none"/>
        </w:rPr>
      </w:pPr>
    </w:p>
    <w:p w14:paraId="69FE9361">
      <w:pPr>
        <w:pStyle w:val="14"/>
        <w:rPr>
          <w:rFonts w:hint="default" w:ascii="Times New Roman" w:hAnsi="Times New Roman" w:eastAsia="宋体" w:cs="Times New Roman"/>
          <w:color w:val="auto"/>
          <w:sz w:val="21"/>
          <w:szCs w:val="21"/>
          <w:highlight w:val="none"/>
        </w:rPr>
        <w:sectPr>
          <w:footerReference r:id="rId4" w:type="default"/>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p>
    <w:p w14:paraId="2C994EEA">
      <w:pPr>
        <w:pStyle w:val="25"/>
        <w:keepNext w:val="0"/>
        <w:keepLines w:val="0"/>
        <w:pageBreakBefore/>
        <w:widowControl/>
        <w:kinsoku/>
        <w:wordWrap/>
        <w:overflowPunct/>
        <w:topLinePunct w:val="0"/>
        <w:autoSpaceDE/>
        <w:autoSpaceDN/>
        <w:bidi w:val="0"/>
        <w:adjustRightInd/>
        <w:snapToGrid/>
        <w:spacing w:before="0" w:beforeAutospacing="0" w:after="0" w:afterAutospacing="0"/>
        <w:contextualSpacing/>
        <w:jc w:val="center"/>
        <w:textAlignment w:val="auto"/>
        <w:outlineLvl w:val="0"/>
        <w:rPr>
          <w:rFonts w:hint="default" w:ascii="Times New Roman" w:hAnsi="Times New Roman" w:eastAsia="黑体" w:cs="Times New Roman"/>
          <w:snapToGrid w:val="0"/>
          <w:color w:val="auto"/>
          <w:sz w:val="30"/>
          <w:szCs w:val="30"/>
        </w:rPr>
      </w:pPr>
      <w:bookmarkStart w:id="1" w:name="_Toc7853"/>
      <w:r>
        <w:rPr>
          <w:rFonts w:hint="default" w:ascii="Times New Roman" w:hAnsi="Times New Roman" w:eastAsia="黑体" w:cs="Times New Roman"/>
          <w:snapToGrid w:val="0"/>
          <w:color w:val="auto"/>
          <w:sz w:val="30"/>
          <w:szCs w:val="30"/>
        </w:rPr>
        <w:t>一、建设项目基本情况</w:t>
      </w:r>
      <w:bookmarkEnd w:id="0"/>
      <w:bookmarkEnd w:id="1"/>
    </w:p>
    <w:tbl>
      <w:tblPr>
        <w:tblStyle w:val="31"/>
        <w:tblW w:w="8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9"/>
        <w:gridCol w:w="1115"/>
        <w:gridCol w:w="1913"/>
        <w:gridCol w:w="1932"/>
        <w:gridCol w:w="3325"/>
      </w:tblGrid>
      <w:tr w14:paraId="75EF9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08CFF32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建设项目名称</w:t>
            </w:r>
          </w:p>
        </w:tc>
        <w:tc>
          <w:tcPr>
            <w:tcW w:w="7170" w:type="dxa"/>
            <w:gridSpan w:val="3"/>
            <w:vAlign w:val="center"/>
          </w:tcPr>
          <w:p w14:paraId="19D260D1">
            <w:pPr>
              <w:adjustRightInd w:val="0"/>
              <w:snapToGrid w:val="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新建年产复合膜300吨、复合包装袋(厚度大于0.025毫米)200吨项目</w:t>
            </w:r>
          </w:p>
        </w:tc>
      </w:tr>
      <w:tr w14:paraId="3F24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58834B8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项目代码</w:t>
            </w:r>
          </w:p>
        </w:tc>
        <w:tc>
          <w:tcPr>
            <w:tcW w:w="7170" w:type="dxa"/>
            <w:gridSpan w:val="3"/>
            <w:vAlign w:val="center"/>
          </w:tcPr>
          <w:p w14:paraId="22FBB4A1">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2602-320413-04-01-643920</w:t>
            </w:r>
          </w:p>
        </w:tc>
      </w:tr>
      <w:tr w14:paraId="48142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588FEDF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建设单位联系人</w:t>
            </w:r>
          </w:p>
        </w:tc>
        <w:tc>
          <w:tcPr>
            <w:tcW w:w="1913" w:type="dxa"/>
            <w:vAlign w:val="center"/>
          </w:tcPr>
          <w:p w14:paraId="42EF07CA">
            <w:pPr>
              <w:adjustRightInd w:val="0"/>
              <w:snapToGrid w:val="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景璟</w:t>
            </w:r>
          </w:p>
        </w:tc>
        <w:tc>
          <w:tcPr>
            <w:tcW w:w="1932" w:type="dxa"/>
            <w:vAlign w:val="center"/>
          </w:tcPr>
          <w:p w14:paraId="5CDA0FF5">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联系方式</w:t>
            </w:r>
          </w:p>
        </w:tc>
        <w:tc>
          <w:tcPr>
            <w:tcW w:w="3325" w:type="dxa"/>
            <w:vAlign w:val="center"/>
          </w:tcPr>
          <w:p w14:paraId="2879F8F3">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13961269900</w:t>
            </w:r>
          </w:p>
        </w:tc>
      </w:tr>
      <w:tr w14:paraId="01849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702767C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建设地点</w:t>
            </w:r>
          </w:p>
        </w:tc>
        <w:tc>
          <w:tcPr>
            <w:tcW w:w="7170" w:type="dxa"/>
            <w:gridSpan w:val="3"/>
            <w:vAlign w:val="center"/>
          </w:tcPr>
          <w:p w14:paraId="5F50EBC1">
            <w:pPr>
              <w:adjustRightInd w:val="0"/>
              <w:snapToGrid w:val="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常州市金坛区朱林镇创业路101号</w:t>
            </w:r>
          </w:p>
        </w:tc>
      </w:tr>
      <w:tr w14:paraId="32E57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0D3F295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地理坐标</w:t>
            </w:r>
          </w:p>
        </w:tc>
        <w:tc>
          <w:tcPr>
            <w:tcW w:w="7170" w:type="dxa"/>
            <w:gridSpan w:val="3"/>
            <w:vAlign w:val="center"/>
          </w:tcPr>
          <w:p w14:paraId="5B5B7DA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u w:val="single"/>
              </w:rPr>
              <w:t>119</w:t>
            </w:r>
            <w:r>
              <w:rPr>
                <w:rFonts w:hint="default" w:ascii="Times New Roman" w:hAnsi="Times New Roman" w:eastAsia="宋体" w:cs="Times New Roman"/>
                <w:color w:val="auto"/>
                <w:sz w:val="21"/>
                <w:szCs w:val="21"/>
                <w:highlight w:val="none"/>
              </w:rPr>
              <w:t>度</w:t>
            </w:r>
            <w:r>
              <w:rPr>
                <w:rFonts w:hint="eastAsia" w:cs="Times New Roman"/>
                <w:color w:val="auto"/>
                <w:sz w:val="21"/>
                <w:szCs w:val="21"/>
                <w:highlight w:val="none"/>
                <w:u w:val="single"/>
                <w:lang w:val="en-US" w:eastAsia="zh-CN"/>
              </w:rPr>
              <w:t>26</w:t>
            </w:r>
            <w:r>
              <w:rPr>
                <w:rFonts w:hint="default" w:ascii="Times New Roman" w:hAnsi="Times New Roman" w:eastAsia="宋体" w:cs="Times New Roman"/>
                <w:color w:val="auto"/>
                <w:sz w:val="21"/>
                <w:szCs w:val="21"/>
                <w:highlight w:val="none"/>
              </w:rPr>
              <w:t>分</w:t>
            </w:r>
            <w:r>
              <w:rPr>
                <w:rFonts w:hint="eastAsia" w:cs="Times New Roman"/>
                <w:color w:val="auto"/>
                <w:sz w:val="21"/>
                <w:szCs w:val="21"/>
                <w:highlight w:val="none"/>
                <w:u w:val="single"/>
                <w:lang w:val="en-US" w:eastAsia="zh-CN"/>
              </w:rPr>
              <w:t>14.981</w:t>
            </w:r>
            <w:r>
              <w:rPr>
                <w:rFonts w:hint="default" w:ascii="Times New Roman" w:hAnsi="Times New Roman" w:eastAsia="宋体" w:cs="Times New Roman"/>
                <w:color w:val="auto"/>
                <w:sz w:val="21"/>
                <w:szCs w:val="21"/>
                <w:highlight w:val="none"/>
              </w:rPr>
              <w:t>秒，</w:t>
            </w:r>
            <w:r>
              <w:rPr>
                <w:rFonts w:hint="default" w:ascii="Times New Roman" w:hAnsi="Times New Roman" w:eastAsia="宋体" w:cs="Times New Roman"/>
                <w:color w:val="auto"/>
                <w:sz w:val="21"/>
                <w:szCs w:val="21"/>
                <w:highlight w:val="none"/>
                <w:u w:val="single"/>
              </w:rPr>
              <w:t>31</w:t>
            </w:r>
            <w:r>
              <w:rPr>
                <w:rFonts w:hint="default" w:ascii="Times New Roman" w:hAnsi="Times New Roman" w:eastAsia="宋体" w:cs="Times New Roman"/>
                <w:color w:val="auto"/>
                <w:sz w:val="21"/>
                <w:szCs w:val="21"/>
                <w:highlight w:val="none"/>
              </w:rPr>
              <w:t>度</w:t>
            </w:r>
            <w:r>
              <w:rPr>
                <w:rFonts w:hint="default" w:ascii="Times New Roman" w:hAnsi="Times New Roman" w:eastAsia="宋体" w:cs="Times New Roman"/>
                <w:color w:val="auto"/>
                <w:sz w:val="21"/>
                <w:szCs w:val="21"/>
                <w:highlight w:val="none"/>
                <w:u w:val="single"/>
              </w:rPr>
              <w:t>4</w:t>
            </w:r>
            <w:r>
              <w:rPr>
                <w:rFonts w:hint="eastAsia" w:cs="Times New Roman"/>
                <w:color w:val="auto"/>
                <w:sz w:val="21"/>
                <w:szCs w:val="21"/>
                <w:highlight w:val="none"/>
                <w:u w:val="single"/>
                <w:lang w:val="en-US" w:eastAsia="zh-CN"/>
              </w:rPr>
              <w:t>4</w:t>
            </w:r>
            <w:r>
              <w:rPr>
                <w:rFonts w:hint="default" w:ascii="Times New Roman" w:hAnsi="Times New Roman" w:eastAsia="宋体" w:cs="Times New Roman"/>
                <w:color w:val="auto"/>
                <w:sz w:val="21"/>
                <w:szCs w:val="21"/>
                <w:highlight w:val="none"/>
              </w:rPr>
              <w:t>分</w:t>
            </w:r>
            <w:r>
              <w:rPr>
                <w:rFonts w:hint="eastAsia" w:cs="Times New Roman"/>
                <w:color w:val="auto"/>
                <w:sz w:val="21"/>
                <w:szCs w:val="21"/>
                <w:highlight w:val="none"/>
                <w:u w:val="single"/>
                <w:lang w:val="en-US" w:eastAsia="zh-CN"/>
              </w:rPr>
              <w:t>10.359</w:t>
            </w:r>
            <w:r>
              <w:rPr>
                <w:rFonts w:hint="default" w:ascii="Times New Roman" w:hAnsi="Times New Roman" w:eastAsia="宋体" w:cs="Times New Roman"/>
                <w:color w:val="auto"/>
                <w:sz w:val="21"/>
                <w:szCs w:val="21"/>
                <w:highlight w:val="none"/>
              </w:rPr>
              <w:t>秒）</w:t>
            </w:r>
          </w:p>
        </w:tc>
      </w:tr>
      <w:tr w14:paraId="0715A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34" w:type="dxa"/>
            <w:gridSpan w:val="2"/>
            <w:tcMar>
              <w:top w:w="16" w:type="dxa"/>
              <w:left w:w="16" w:type="dxa"/>
              <w:right w:w="16" w:type="dxa"/>
            </w:tcMar>
            <w:vAlign w:val="center"/>
          </w:tcPr>
          <w:p w14:paraId="03297A7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国民经济</w:t>
            </w:r>
          </w:p>
          <w:p w14:paraId="772FF35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行业类别</w:t>
            </w:r>
          </w:p>
        </w:tc>
        <w:tc>
          <w:tcPr>
            <w:tcW w:w="1913" w:type="dxa"/>
            <w:vAlign w:val="center"/>
          </w:tcPr>
          <w:p w14:paraId="3E1DA1E2">
            <w:pPr>
              <w:pStyle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C2921塑料薄膜制造</w:t>
            </w:r>
            <w:r>
              <w:rPr>
                <w:rFonts w:hint="eastAsia" w:ascii="Times New Roman" w:hAnsi="Times New Roman" w:eastAsia="宋体" w:cs="Times New Roman"/>
                <w:color w:val="auto"/>
                <w:sz w:val="21"/>
                <w:szCs w:val="21"/>
                <w:lang w:val="en-US" w:eastAsia="zh-CN"/>
              </w:rPr>
              <w:t>C2923塑料丝、绳及编织品制造</w:t>
            </w:r>
          </w:p>
        </w:tc>
        <w:tc>
          <w:tcPr>
            <w:tcW w:w="1932" w:type="dxa"/>
            <w:vAlign w:val="center"/>
          </w:tcPr>
          <w:p w14:paraId="6E05A24B">
            <w:pPr>
              <w:jc w:val="center"/>
              <w:rPr>
                <w:rFonts w:hint="default" w:ascii="Times New Roman" w:hAnsi="Times New Roman" w:eastAsia="宋体" w:cs="Times New Roman"/>
                <w:color w:val="auto"/>
                <w:sz w:val="21"/>
                <w:szCs w:val="21"/>
              </w:rPr>
            </w:pPr>
            <w:bookmarkStart w:id="2" w:name="_Hlk49843745"/>
            <w:r>
              <w:rPr>
                <w:rFonts w:hint="default" w:ascii="Times New Roman" w:hAnsi="Times New Roman" w:eastAsia="宋体" w:cs="Times New Roman"/>
                <w:color w:val="auto"/>
                <w:sz w:val="21"/>
                <w:szCs w:val="21"/>
              </w:rPr>
              <w:t>建设项目</w:t>
            </w:r>
          </w:p>
          <w:p w14:paraId="2F43913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行业类别</w:t>
            </w:r>
            <w:bookmarkEnd w:id="2"/>
          </w:p>
        </w:tc>
        <w:tc>
          <w:tcPr>
            <w:tcW w:w="3325" w:type="dxa"/>
            <w:vAlign w:val="center"/>
          </w:tcPr>
          <w:p w14:paraId="4070056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二十六、橡胶和塑料制品业-053塑料制品业292</w:t>
            </w:r>
          </w:p>
        </w:tc>
      </w:tr>
      <w:tr w14:paraId="1190E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34" w:type="dxa"/>
            <w:gridSpan w:val="2"/>
            <w:tcMar>
              <w:top w:w="16" w:type="dxa"/>
              <w:left w:w="16" w:type="dxa"/>
              <w:right w:w="16" w:type="dxa"/>
            </w:tcMar>
            <w:vAlign w:val="center"/>
          </w:tcPr>
          <w:p w14:paraId="68354E8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建设性质</w:t>
            </w:r>
          </w:p>
        </w:tc>
        <w:tc>
          <w:tcPr>
            <w:tcW w:w="1913" w:type="dxa"/>
            <w:vAlign w:val="center"/>
          </w:tcPr>
          <w:p w14:paraId="7ED6CD8F">
            <w:pPr>
              <w:jc w:val="left"/>
              <w:rPr>
                <w:rFonts w:hint="eastAsia" w:ascii="Times New Roman" w:hAnsi="Times New Roman" w:eastAsia="宋体" w:cs="Times New Roman"/>
                <w:color w:val="auto"/>
                <w:sz w:val="21"/>
                <w:szCs w:val="21"/>
                <w:lang w:eastAsia="zh-CN"/>
              </w:rPr>
            </w:pPr>
            <w:r>
              <w:rPr>
                <w:rFonts w:hint="default" w:ascii="Arial" w:hAnsi="Arial" w:eastAsia="宋体" w:cs="Arial"/>
                <w:color w:val="auto"/>
                <w:sz w:val="21"/>
                <w:szCs w:val="21"/>
              </w:rPr>
              <w:t>√</w:t>
            </w:r>
            <w:r>
              <w:rPr>
                <w:rFonts w:hint="default" w:ascii="Times New Roman" w:hAnsi="Times New Roman" w:eastAsia="宋体" w:cs="Times New Roman"/>
                <w:color w:val="auto"/>
                <w:sz w:val="21"/>
                <w:szCs w:val="21"/>
              </w:rPr>
              <w:t>新建</w:t>
            </w:r>
            <w:r>
              <w:rPr>
                <w:rFonts w:hint="eastAsia" w:cs="Times New Roman"/>
                <w:color w:val="auto"/>
                <w:sz w:val="21"/>
                <w:szCs w:val="21"/>
                <w:lang w:eastAsia="zh-CN"/>
              </w:rPr>
              <w:t>（</w:t>
            </w:r>
            <w:r>
              <w:rPr>
                <w:rFonts w:hint="eastAsia" w:cs="Times New Roman"/>
                <w:color w:val="auto"/>
                <w:sz w:val="21"/>
                <w:szCs w:val="21"/>
                <w:lang w:val="en-US" w:eastAsia="zh-CN"/>
              </w:rPr>
              <w:t>迁建</w:t>
            </w:r>
            <w:r>
              <w:rPr>
                <w:rFonts w:hint="eastAsia" w:cs="Times New Roman"/>
                <w:color w:val="auto"/>
                <w:sz w:val="21"/>
                <w:szCs w:val="21"/>
                <w:lang w:eastAsia="zh-CN"/>
              </w:rPr>
              <w:t>）</w:t>
            </w:r>
          </w:p>
          <w:p w14:paraId="51134518">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改建</w:t>
            </w:r>
          </w:p>
          <w:p w14:paraId="692C84BB">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扩建</w:t>
            </w:r>
          </w:p>
          <w:p w14:paraId="40BD3F92">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技术改造</w:t>
            </w:r>
          </w:p>
        </w:tc>
        <w:tc>
          <w:tcPr>
            <w:tcW w:w="1932" w:type="dxa"/>
            <w:vAlign w:val="center"/>
          </w:tcPr>
          <w:p w14:paraId="4A214C4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w:t>
            </w:r>
          </w:p>
          <w:p w14:paraId="190CA62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申报情形</w:t>
            </w:r>
          </w:p>
        </w:tc>
        <w:tc>
          <w:tcPr>
            <w:tcW w:w="3325" w:type="dxa"/>
            <w:vAlign w:val="center"/>
          </w:tcPr>
          <w:p w14:paraId="316C1BDA">
            <w:pPr>
              <w:jc w:val="left"/>
              <w:rPr>
                <w:rFonts w:hint="default" w:ascii="Times New Roman" w:hAnsi="Times New Roman" w:eastAsia="宋体" w:cs="Times New Roman"/>
                <w:color w:val="auto"/>
                <w:sz w:val="21"/>
                <w:szCs w:val="21"/>
              </w:rPr>
            </w:pPr>
            <w:r>
              <w:rPr>
                <w:rFonts w:hint="default" w:ascii="Arial" w:hAnsi="Arial" w:eastAsia="宋体" w:cs="Arial"/>
                <w:color w:val="auto"/>
                <w:sz w:val="21"/>
                <w:szCs w:val="21"/>
              </w:rPr>
              <w:t>√</w:t>
            </w:r>
            <w:r>
              <w:rPr>
                <w:rFonts w:hint="default" w:ascii="Times New Roman" w:hAnsi="Times New Roman" w:eastAsia="宋体" w:cs="Times New Roman"/>
                <w:color w:val="auto"/>
                <w:sz w:val="21"/>
                <w:szCs w:val="21"/>
              </w:rPr>
              <w:t>首次申报项目</w:t>
            </w:r>
          </w:p>
          <w:p w14:paraId="75A5C3AC">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不予批准后再次申报项目</w:t>
            </w:r>
          </w:p>
          <w:p w14:paraId="7D667DB8">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超五年重新审核项目</w:t>
            </w:r>
          </w:p>
          <w:p w14:paraId="66941BCD">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重大变动重新报批项目</w:t>
            </w:r>
          </w:p>
        </w:tc>
      </w:tr>
      <w:tr w14:paraId="40713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34" w:type="dxa"/>
            <w:gridSpan w:val="2"/>
            <w:tcMar>
              <w:top w:w="16" w:type="dxa"/>
              <w:left w:w="16" w:type="dxa"/>
              <w:right w:w="16" w:type="dxa"/>
            </w:tcMar>
            <w:vAlign w:val="center"/>
          </w:tcPr>
          <w:p w14:paraId="57F7B12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项目审批部门</w:t>
            </w:r>
          </w:p>
        </w:tc>
        <w:tc>
          <w:tcPr>
            <w:tcW w:w="1913" w:type="dxa"/>
            <w:vAlign w:val="center"/>
          </w:tcPr>
          <w:p w14:paraId="13D4A2AD">
            <w:pPr>
              <w:adjustRightInd w:val="0"/>
              <w:snapToGrid w:val="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常州市金坛区发展和改革局</w:t>
            </w:r>
          </w:p>
        </w:tc>
        <w:tc>
          <w:tcPr>
            <w:tcW w:w="1932" w:type="dxa"/>
            <w:vAlign w:val="center"/>
          </w:tcPr>
          <w:p w14:paraId="1CC95F8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项目审批文号</w:t>
            </w:r>
          </w:p>
        </w:tc>
        <w:tc>
          <w:tcPr>
            <w:tcW w:w="3325" w:type="dxa"/>
            <w:vAlign w:val="center"/>
          </w:tcPr>
          <w:p w14:paraId="754AFEEA">
            <w:pPr>
              <w:adjustRightInd w:val="0"/>
              <w:snapToGrid w:val="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坛发改备〔2026〕126号</w:t>
            </w:r>
          </w:p>
        </w:tc>
      </w:tr>
      <w:tr w14:paraId="5778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069744E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总投资（万元）</w:t>
            </w:r>
          </w:p>
        </w:tc>
        <w:tc>
          <w:tcPr>
            <w:tcW w:w="1913" w:type="dxa"/>
            <w:vAlign w:val="center"/>
          </w:tcPr>
          <w:p w14:paraId="74A87DF8">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500</w:t>
            </w:r>
          </w:p>
        </w:tc>
        <w:tc>
          <w:tcPr>
            <w:tcW w:w="1932" w:type="dxa"/>
            <w:tcMar>
              <w:top w:w="16" w:type="dxa"/>
              <w:left w:w="16" w:type="dxa"/>
              <w:right w:w="16" w:type="dxa"/>
            </w:tcMar>
            <w:vAlign w:val="center"/>
          </w:tcPr>
          <w:p w14:paraId="2D27B43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环保投资（万元）</w:t>
            </w:r>
          </w:p>
        </w:tc>
        <w:tc>
          <w:tcPr>
            <w:tcW w:w="3325" w:type="dxa"/>
            <w:vAlign w:val="center"/>
          </w:tcPr>
          <w:p w14:paraId="71D570F8">
            <w:pPr>
              <w:adjustRightInd w:val="0"/>
              <w:snapToGrid w:val="0"/>
              <w:jc w:val="center"/>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50</w:t>
            </w:r>
          </w:p>
        </w:tc>
      </w:tr>
      <w:tr w14:paraId="6CB16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72A1038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环保投资占比（%）</w:t>
            </w:r>
          </w:p>
        </w:tc>
        <w:tc>
          <w:tcPr>
            <w:tcW w:w="1913" w:type="dxa"/>
            <w:vAlign w:val="center"/>
          </w:tcPr>
          <w:p w14:paraId="7DF5DDEC">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c>
          <w:tcPr>
            <w:tcW w:w="1932" w:type="dxa"/>
            <w:tcMar>
              <w:top w:w="16" w:type="dxa"/>
              <w:left w:w="16" w:type="dxa"/>
              <w:right w:w="16" w:type="dxa"/>
            </w:tcMar>
            <w:vAlign w:val="center"/>
          </w:tcPr>
          <w:p w14:paraId="0D2118B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施工工期</w:t>
            </w:r>
          </w:p>
        </w:tc>
        <w:tc>
          <w:tcPr>
            <w:tcW w:w="3325" w:type="dxa"/>
            <w:vAlign w:val="center"/>
          </w:tcPr>
          <w:p w14:paraId="06A4F1ED">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个月</w:t>
            </w:r>
          </w:p>
        </w:tc>
      </w:tr>
      <w:tr w14:paraId="526C3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3DCE4DD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是否开工建设</w:t>
            </w:r>
          </w:p>
        </w:tc>
        <w:tc>
          <w:tcPr>
            <w:tcW w:w="1913" w:type="dxa"/>
            <w:vAlign w:val="center"/>
          </w:tcPr>
          <w:p w14:paraId="6043B63A">
            <w:pPr>
              <w:adjustRightInd w:val="0"/>
              <w:snapToGrid w:val="0"/>
              <w:rPr>
                <w:rFonts w:hint="default" w:ascii="Times New Roman" w:hAnsi="Times New Roman" w:eastAsia="宋体" w:cs="Times New Roman"/>
                <w:color w:val="auto"/>
                <w:sz w:val="21"/>
                <w:szCs w:val="21"/>
              </w:rPr>
            </w:pPr>
            <w:r>
              <w:rPr>
                <w:rFonts w:hint="default" w:ascii="Arial" w:hAnsi="Arial" w:eastAsia="宋体" w:cs="Arial"/>
                <w:color w:val="auto"/>
                <w:sz w:val="21"/>
                <w:szCs w:val="21"/>
              </w:rPr>
              <w:t>√</w:t>
            </w:r>
            <w:r>
              <w:rPr>
                <w:rFonts w:hint="default" w:ascii="Times New Roman" w:hAnsi="Times New Roman" w:eastAsia="宋体" w:cs="Times New Roman"/>
                <w:color w:val="auto"/>
                <w:sz w:val="21"/>
                <w:szCs w:val="21"/>
              </w:rPr>
              <w:t>否</w:t>
            </w:r>
          </w:p>
          <w:p w14:paraId="7B3AB251">
            <w:pPr>
              <w:adjustRightInd w:val="0"/>
              <w:snapToGrid w:val="0"/>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是：</w:t>
            </w:r>
          </w:p>
        </w:tc>
        <w:tc>
          <w:tcPr>
            <w:tcW w:w="1932" w:type="dxa"/>
            <w:tcMar>
              <w:top w:w="16" w:type="dxa"/>
              <w:left w:w="16" w:type="dxa"/>
              <w:right w:w="16" w:type="dxa"/>
            </w:tcMar>
            <w:vAlign w:val="center"/>
          </w:tcPr>
          <w:p w14:paraId="0C09A1D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用地面积（m</w:t>
            </w:r>
            <w:r>
              <w:rPr>
                <w:rFonts w:hint="default" w:ascii="Times New Roman" w:hAnsi="Times New Roman" w:eastAsia="宋体" w:cs="Times New Roman"/>
                <w:color w:val="auto"/>
                <w:spacing w:val="-6"/>
                <w:sz w:val="21"/>
                <w:szCs w:val="21"/>
                <w:vertAlign w:val="superscript"/>
              </w:rPr>
              <w:t>2</w:t>
            </w:r>
            <w:r>
              <w:rPr>
                <w:rFonts w:hint="default" w:ascii="Times New Roman" w:hAnsi="Times New Roman" w:eastAsia="宋体" w:cs="Times New Roman"/>
                <w:color w:val="auto"/>
                <w:spacing w:val="-6"/>
                <w:sz w:val="21"/>
                <w:szCs w:val="21"/>
              </w:rPr>
              <w:t>）</w:t>
            </w:r>
          </w:p>
        </w:tc>
        <w:tc>
          <w:tcPr>
            <w:tcW w:w="3325" w:type="dxa"/>
            <w:vAlign w:val="center"/>
          </w:tcPr>
          <w:p w14:paraId="46EC4C13">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2181.44（租用）</w:t>
            </w:r>
          </w:p>
        </w:tc>
      </w:tr>
      <w:tr w14:paraId="4EFFD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734" w:type="dxa"/>
            <w:gridSpan w:val="2"/>
            <w:vAlign w:val="center"/>
          </w:tcPr>
          <w:p w14:paraId="66E051C0">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专项评价设置情况</w:t>
            </w:r>
          </w:p>
        </w:tc>
        <w:tc>
          <w:tcPr>
            <w:tcW w:w="7170" w:type="dxa"/>
            <w:gridSpan w:val="3"/>
            <w:vAlign w:val="center"/>
          </w:tcPr>
          <w:tbl>
            <w:tblPr>
              <w:tblStyle w:val="31"/>
              <w:tblW w:w="5000" w:type="pct"/>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96"/>
              <w:gridCol w:w="2904"/>
              <w:gridCol w:w="2628"/>
              <w:gridCol w:w="726"/>
            </w:tblGrid>
            <w:tr w14:paraId="11A94EC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noWrap w:val="0"/>
                  <w:vAlign w:val="center"/>
                </w:tcPr>
                <w:p w14:paraId="4078AD35">
                  <w:pPr>
                    <w:autoSpaceDE w:val="0"/>
                    <w:autoSpaceDN w:val="0"/>
                    <w:adjustRightInd w:val="0"/>
                    <w:snapToGrid w:val="0"/>
                    <w:jc w:val="center"/>
                    <w:rPr>
                      <w:rFonts w:hint="default" w:ascii="Times New Roman" w:hAnsi="Times New Roman" w:eastAsia="宋体" w:cs="Times New Roman"/>
                      <w:b w:val="0"/>
                      <w:bCs/>
                      <w:color w:val="auto"/>
                      <w:sz w:val="21"/>
                      <w:szCs w:val="21"/>
                    </w:rPr>
                  </w:pPr>
                  <w:r>
                    <w:rPr>
                      <w:b/>
                      <w:bCs/>
                      <w:color w:val="auto"/>
                      <w:kern w:val="21"/>
                      <w:sz w:val="21"/>
                      <w:szCs w:val="21"/>
                      <w:highlight w:val="none"/>
                    </w:rPr>
                    <w:t>专项评价类别</w:t>
                  </w:r>
                </w:p>
              </w:tc>
              <w:tc>
                <w:tcPr>
                  <w:tcW w:w="2088" w:type="pct"/>
                  <w:noWrap w:val="0"/>
                  <w:vAlign w:val="center"/>
                </w:tcPr>
                <w:p w14:paraId="3CBAC89F">
                  <w:pPr>
                    <w:autoSpaceDE w:val="0"/>
                    <w:autoSpaceDN w:val="0"/>
                    <w:adjustRightInd w:val="0"/>
                    <w:snapToGrid w:val="0"/>
                    <w:jc w:val="center"/>
                    <w:rPr>
                      <w:rFonts w:hint="default" w:ascii="Times New Roman" w:hAnsi="Times New Roman" w:eastAsia="宋体" w:cs="Times New Roman"/>
                      <w:b w:val="0"/>
                      <w:bCs/>
                      <w:color w:val="auto"/>
                      <w:sz w:val="21"/>
                      <w:szCs w:val="21"/>
                    </w:rPr>
                  </w:pPr>
                  <w:r>
                    <w:rPr>
                      <w:b/>
                      <w:bCs/>
                      <w:color w:val="auto"/>
                      <w:kern w:val="21"/>
                      <w:sz w:val="21"/>
                      <w:szCs w:val="21"/>
                      <w:highlight w:val="none"/>
                    </w:rPr>
                    <w:t>设置原则</w:t>
                  </w:r>
                </w:p>
              </w:tc>
              <w:tc>
                <w:tcPr>
                  <w:tcW w:w="1889" w:type="pct"/>
                  <w:noWrap w:val="0"/>
                  <w:vAlign w:val="center"/>
                </w:tcPr>
                <w:p w14:paraId="51B51587">
                  <w:pPr>
                    <w:autoSpaceDE w:val="0"/>
                    <w:autoSpaceDN w:val="0"/>
                    <w:adjustRightInd w:val="0"/>
                    <w:snapToGrid w:val="0"/>
                    <w:jc w:val="center"/>
                    <w:rPr>
                      <w:rFonts w:hint="default" w:ascii="Times New Roman" w:hAnsi="Times New Roman" w:eastAsia="宋体" w:cs="Times New Roman"/>
                      <w:b w:val="0"/>
                      <w:bCs/>
                      <w:color w:val="auto"/>
                      <w:sz w:val="21"/>
                      <w:szCs w:val="21"/>
                    </w:rPr>
                  </w:pPr>
                  <w:r>
                    <w:rPr>
                      <w:b/>
                      <w:bCs/>
                      <w:color w:val="auto"/>
                      <w:kern w:val="21"/>
                      <w:sz w:val="21"/>
                      <w:szCs w:val="21"/>
                      <w:highlight w:val="none"/>
                    </w:rPr>
                    <w:t>项目情况</w:t>
                  </w:r>
                </w:p>
              </w:tc>
              <w:tc>
                <w:tcPr>
                  <w:tcW w:w="522" w:type="pct"/>
                  <w:noWrap w:val="0"/>
                  <w:vAlign w:val="center"/>
                </w:tcPr>
                <w:p w14:paraId="36675D99">
                  <w:pPr>
                    <w:autoSpaceDE w:val="0"/>
                    <w:autoSpaceDN w:val="0"/>
                    <w:adjustRightInd w:val="0"/>
                    <w:snapToGrid w:val="0"/>
                    <w:jc w:val="center"/>
                    <w:rPr>
                      <w:rFonts w:hint="default" w:ascii="Times New Roman" w:hAnsi="Times New Roman" w:eastAsia="宋体" w:cs="Times New Roman"/>
                      <w:b w:val="0"/>
                      <w:bCs/>
                      <w:color w:val="auto"/>
                      <w:sz w:val="21"/>
                      <w:szCs w:val="21"/>
                    </w:rPr>
                  </w:pPr>
                  <w:r>
                    <w:rPr>
                      <w:b/>
                      <w:bCs/>
                      <w:color w:val="auto"/>
                      <w:kern w:val="21"/>
                      <w:sz w:val="21"/>
                      <w:szCs w:val="21"/>
                      <w:highlight w:val="none"/>
                    </w:rPr>
                    <w:t>设置情况</w:t>
                  </w:r>
                </w:p>
              </w:tc>
            </w:tr>
            <w:tr w14:paraId="11DAF8D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noWrap w:val="0"/>
                  <w:vAlign w:val="center"/>
                </w:tcPr>
                <w:p w14:paraId="5314718A">
                  <w:pPr>
                    <w:autoSpaceDE w:val="0"/>
                    <w:autoSpaceDN w:val="0"/>
                    <w:adjustRightInd w:val="0"/>
                    <w:snapToGrid w:val="0"/>
                    <w:jc w:val="center"/>
                    <w:rPr>
                      <w:rFonts w:hint="default" w:ascii="Times New Roman" w:hAnsi="Times New Roman" w:eastAsia="宋体" w:cs="Times New Roman"/>
                      <w:b w:val="0"/>
                      <w:bCs/>
                      <w:color w:val="auto"/>
                      <w:kern w:val="44"/>
                      <w:sz w:val="21"/>
                      <w:szCs w:val="21"/>
                    </w:rPr>
                  </w:pPr>
                  <w:r>
                    <w:rPr>
                      <w:color w:val="auto"/>
                      <w:kern w:val="21"/>
                      <w:sz w:val="21"/>
                      <w:szCs w:val="21"/>
                      <w:highlight w:val="none"/>
                    </w:rPr>
                    <w:t>大气</w:t>
                  </w:r>
                </w:p>
              </w:tc>
              <w:tc>
                <w:tcPr>
                  <w:tcW w:w="2088" w:type="pct"/>
                  <w:noWrap w:val="0"/>
                  <w:vAlign w:val="center"/>
                </w:tcPr>
                <w:p w14:paraId="3FED8F78">
                  <w:pPr>
                    <w:autoSpaceDE w:val="0"/>
                    <w:autoSpaceDN w:val="0"/>
                    <w:adjustRightInd w:val="0"/>
                    <w:snapToGrid w:val="0"/>
                    <w:jc w:val="center"/>
                    <w:rPr>
                      <w:rFonts w:hint="default" w:ascii="Times New Roman" w:hAnsi="Times New Roman" w:eastAsia="宋体" w:cs="Times New Roman"/>
                      <w:b w:val="0"/>
                      <w:bCs/>
                      <w:color w:val="auto"/>
                      <w:sz w:val="21"/>
                      <w:szCs w:val="21"/>
                    </w:rPr>
                  </w:pPr>
                  <w:r>
                    <w:rPr>
                      <w:color w:val="auto"/>
                      <w:kern w:val="21"/>
                      <w:sz w:val="21"/>
                      <w:szCs w:val="21"/>
                      <w:highlight w:val="none"/>
                    </w:rPr>
                    <w:t>排放废气含有毒有害污染物</w:t>
                  </w:r>
                  <w:r>
                    <w:rPr>
                      <w:color w:val="auto"/>
                      <w:kern w:val="21"/>
                      <w:sz w:val="21"/>
                      <w:szCs w:val="21"/>
                      <w:highlight w:val="none"/>
                      <w:vertAlign w:val="superscript"/>
                    </w:rPr>
                    <w:t>1</w:t>
                  </w:r>
                  <w:r>
                    <w:rPr>
                      <w:color w:val="auto"/>
                      <w:kern w:val="21"/>
                      <w:sz w:val="21"/>
                      <w:szCs w:val="21"/>
                      <w:highlight w:val="none"/>
                    </w:rPr>
                    <w:t>、二噁英、苯并[a]芘、氰化物、氯气且厂界外500米范围内有环境空气保护目标</w:t>
                  </w:r>
                  <w:r>
                    <w:rPr>
                      <w:color w:val="auto"/>
                      <w:kern w:val="21"/>
                      <w:sz w:val="21"/>
                      <w:szCs w:val="21"/>
                      <w:highlight w:val="none"/>
                      <w:vertAlign w:val="superscript"/>
                    </w:rPr>
                    <w:t>2</w:t>
                  </w:r>
                  <w:r>
                    <w:rPr>
                      <w:color w:val="auto"/>
                      <w:kern w:val="21"/>
                      <w:sz w:val="21"/>
                      <w:szCs w:val="21"/>
                      <w:highlight w:val="none"/>
                    </w:rPr>
                    <w:t>的建设项目</w:t>
                  </w:r>
                </w:p>
              </w:tc>
              <w:tc>
                <w:tcPr>
                  <w:tcW w:w="1889" w:type="pct"/>
                  <w:noWrap w:val="0"/>
                  <w:vAlign w:val="center"/>
                </w:tcPr>
                <w:p w14:paraId="286B9105">
                  <w:pPr>
                    <w:autoSpaceDE w:val="0"/>
                    <w:autoSpaceDN w:val="0"/>
                    <w:adjustRightInd w:val="0"/>
                    <w:snapToGrid w:val="0"/>
                    <w:jc w:val="center"/>
                    <w:rPr>
                      <w:rFonts w:hint="default" w:ascii="Times New Roman" w:hAnsi="Times New Roman" w:eastAsia="宋体" w:cs="Times New Roman"/>
                      <w:b w:val="0"/>
                      <w:bCs/>
                      <w:color w:val="auto"/>
                      <w:sz w:val="21"/>
                      <w:szCs w:val="21"/>
                    </w:rPr>
                  </w:pPr>
                  <w:r>
                    <w:rPr>
                      <w:color w:val="auto"/>
                      <w:kern w:val="21"/>
                      <w:sz w:val="21"/>
                      <w:szCs w:val="21"/>
                      <w:highlight w:val="none"/>
                    </w:rPr>
                    <w:t>项目</w:t>
                  </w:r>
                  <w:r>
                    <w:rPr>
                      <w:rFonts w:hint="eastAsia"/>
                      <w:color w:val="auto"/>
                      <w:kern w:val="21"/>
                      <w:sz w:val="21"/>
                      <w:szCs w:val="21"/>
                      <w:highlight w:val="none"/>
                      <w:lang w:val="en-US" w:eastAsia="zh-CN"/>
                    </w:rPr>
                    <w:t>不涉及</w:t>
                  </w:r>
                  <w:r>
                    <w:rPr>
                      <w:color w:val="auto"/>
                      <w:kern w:val="21"/>
                      <w:sz w:val="21"/>
                      <w:szCs w:val="21"/>
                      <w:highlight w:val="none"/>
                    </w:rPr>
                    <w:t>有毒有害污染物</w:t>
                  </w:r>
                  <w:r>
                    <w:rPr>
                      <w:color w:val="auto"/>
                      <w:kern w:val="21"/>
                      <w:sz w:val="21"/>
                      <w:szCs w:val="21"/>
                      <w:highlight w:val="none"/>
                      <w:vertAlign w:val="superscript"/>
                    </w:rPr>
                    <w:t>1</w:t>
                  </w:r>
                  <w:r>
                    <w:rPr>
                      <w:color w:val="auto"/>
                      <w:kern w:val="21"/>
                      <w:sz w:val="21"/>
                      <w:szCs w:val="21"/>
                      <w:highlight w:val="none"/>
                    </w:rPr>
                    <w:t>、二噁英、苯并[a]芘、氰化物、氯气，因此无需设置大气专项评价</w:t>
                  </w:r>
                </w:p>
              </w:tc>
              <w:tc>
                <w:tcPr>
                  <w:tcW w:w="522" w:type="pct"/>
                  <w:noWrap w:val="0"/>
                  <w:vAlign w:val="center"/>
                </w:tcPr>
                <w:p w14:paraId="05C67183">
                  <w:pPr>
                    <w:autoSpaceDE w:val="0"/>
                    <w:autoSpaceDN w:val="0"/>
                    <w:adjustRightInd w:val="0"/>
                    <w:snapToGrid w:val="0"/>
                    <w:jc w:val="center"/>
                    <w:rPr>
                      <w:rFonts w:hint="default" w:ascii="Times New Roman" w:hAnsi="Times New Roman" w:eastAsia="宋体" w:cs="Times New Roman"/>
                      <w:b w:val="0"/>
                      <w:bCs/>
                      <w:color w:val="auto"/>
                      <w:sz w:val="21"/>
                      <w:szCs w:val="21"/>
                    </w:rPr>
                  </w:pPr>
                  <w:r>
                    <w:rPr>
                      <w:color w:val="auto"/>
                      <w:kern w:val="21"/>
                      <w:sz w:val="21"/>
                      <w:szCs w:val="21"/>
                      <w:highlight w:val="none"/>
                    </w:rPr>
                    <w:t>无</w:t>
                  </w:r>
                </w:p>
              </w:tc>
            </w:tr>
            <w:tr w14:paraId="0F40B28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noWrap w:val="0"/>
                  <w:vAlign w:val="center"/>
                </w:tcPr>
                <w:p w14:paraId="155C2AF6">
                  <w:pPr>
                    <w:autoSpaceDE w:val="0"/>
                    <w:autoSpaceDN w:val="0"/>
                    <w:adjustRightInd w:val="0"/>
                    <w:snapToGrid w:val="0"/>
                    <w:jc w:val="center"/>
                    <w:rPr>
                      <w:rFonts w:hint="default" w:ascii="Times New Roman" w:hAnsi="Times New Roman" w:eastAsia="宋体" w:cs="Times New Roman"/>
                      <w:b w:val="0"/>
                      <w:bCs/>
                      <w:color w:val="auto"/>
                      <w:sz w:val="21"/>
                      <w:szCs w:val="21"/>
                      <w:lang w:val="en-US" w:eastAsia="zh-CN"/>
                    </w:rPr>
                  </w:pPr>
                  <w:r>
                    <w:rPr>
                      <w:color w:val="auto"/>
                      <w:kern w:val="21"/>
                      <w:sz w:val="21"/>
                      <w:szCs w:val="21"/>
                      <w:highlight w:val="none"/>
                    </w:rPr>
                    <w:t>地表水</w:t>
                  </w:r>
                </w:p>
              </w:tc>
              <w:tc>
                <w:tcPr>
                  <w:tcW w:w="2088" w:type="pct"/>
                  <w:noWrap w:val="0"/>
                  <w:vAlign w:val="center"/>
                </w:tcPr>
                <w:p w14:paraId="1A1DB34E">
                  <w:pPr>
                    <w:autoSpaceDE w:val="0"/>
                    <w:autoSpaceDN w:val="0"/>
                    <w:adjustRightInd w:val="0"/>
                    <w:snapToGrid w:val="0"/>
                    <w:jc w:val="center"/>
                    <w:rPr>
                      <w:rFonts w:hint="default" w:ascii="Times New Roman" w:hAnsi="Times New Roman" w:eastAsia="宋体" w:cs="Times New Roman"/>
                      <w:b w:val="0"/>
                      <w:bCs/>
                      <w:color w:val="auto"/>
                      <w:sz w:val="21"/>
                      <w:szCs w:val="21"/>
                      <w:lang w:val="en-US" w:eastAsia="zh-CN"/>
                    </w:rPr>
                  </w:pPr>
                  <w:r>
                    <w:rPr>
                      <w:color w:val="auto"/>
                      <w:kern w:val="21"/>
                      <w:sz w:val="21"/>
                      <w:szCs w:val="21"/>
                      <w:highlight w:val="none"/>
                    </w:rPr>
                    <w:t>新增工业废水直排建设项目（槽罐车外送污水处理厂的除外）；新增废水直排的污水集中处理厂</w:t>
                  </w:r>
                </w:p>
              </w:tc>
              <w:tc>
                <w:tcPr>
                  <w:tcW w:w="1889" w:type="pct"/>
                  <w:noWrap w:val="0"/>
                  <w:vAlign w:val="center"/>
                </w:tcPr>
                <w:p w14:paraId="0D73612D">
                  <w:pPr>
                    <w:autoSpaceDE w:val="0"/>
                    <w:autoSpaceDN w:val="0"/>
                    <w:adjustRightInd w:val="0"/>
                    <w:snapToGrid w:val="0"/>
                    <w:jc w:val="center"/>
                    <w:rPr>
                      <w:rFonts w:hint="default" w:ascii="Times New Roman" w:hAnsi="Times New Roman" w:eastAsia="宋体" w:cs="Times New Roman"/>
                      <w:b w:val="0"/>
                      <w:bCs/>
                      <w:color w:val="auto"/>
                      <w:sz w:val="21"/>
                      <w:szCs w:val="21"/>
                      <w:lang w:val="en-US" w:eastAsia="zh-CN"/>
                    </w:rPr>
                  </w:pPr>
                  <w:r>
                    <w:rPr>
                      <w:color w:val="auto"/>
                      <w:kern w:val="21"/>
                      <w:sz w:val="21"/>
                      <w:szCs w:val="21"/>
                      <w:highlight w:val="none"/>
                    </w:rPr>
                    <w:t>项目生活污水接管</w:t>
                  </w:r>
                  <w:r>
                    <w:rPr>
                      <w:rFonts w:hint="eastAsia"/>
                      <w:color w:val="auto"/>
                      <w:kern w:val="21"/>
                      <w:sz w:val="21"/>
                      <w:szCs w:val="21"/>
                      <w:highlight w:val="none"/>
                      <w:lang w:val="en-US" w:eastAsia="zh-CN"/>
                    </w:rPr>
                    <w:t>处理</w:t>
                  </w:r>
                  <w:r>
                    <w:rPr>
                      <w:color w:val="auto"/>
                      <w:kern w:val="21"/>
                      <w:sz w:val="21"/>
                      <w:szCs w:val="21"/>
                      <w:highlight w:val="none"/>
                    </w:rPr>
                    <w:t>，</w:t>
                  </w:r>
                  <w:r>
                    <w:rPr>
                      <w:rFonts w:hint="eastAsia"/>
                      <w:color w:val="auto"/>
                      <w:kern w:val="21"/>
                      <w:sz w:val="21"/>
                      <w:szCs w:val="21"/>
                      <w:highlight w:val="none"/>
                      <w:lang w:val="en-US" w:eastAsia="zh-CN"/>
                    </w:rPr>
                    <w:t>无生产废水外排，</w:t>
                  </w:r>
                  <w:r>
                    <w:rPr>
                      <w:color w:val="auto"/>
                      <w:kern w:val="21"/>
                      <w:sz w:val="21"/>
                      <w:szCs w:val="21"/>
                      <w:highlight w:val="none"/>
                    </w:rPr>
                    <w:t>因此</w:t>
                  </w:r>
                  <w:r>
                    <w:rPr>
                      <w:rFonts w:hint="eastAsia"/>
                      <w:color w:val="auto"/>
                      <w:kern w:val="21"/>
                      <w:sz w:val="21"/>
                      <w:szCs w:val="21"/>
                      <w:highlight w:val="none"/>
                      <w:lang w:eastAsia="zh-CN"/>
                    </w:rPr>
                    <w:t>无须设置</w:t>
                  </w:r>
                  <w:r>
                    <w:rPr>
                      <w:color w:val="auto"/>
                      <w:kern w:val="21"/>
                      <w:sz w:val="21"/>
                      <w:szCs w:val="21"/>
                      <w:highlight w:val="none"/>
                    </w:rPr>
                    <w:t>地表水专项评价</w:t>
                  </w:r>
                </w:p>
              </w:tc>
              <w:tc>
                <w:tcPr>
                  <w:tcW w:w="522" w:type="pct"/>
                  <w:noWrap w:val="0"/>
                  <w:vAlign w:val="center"/>
                </w:tcPr>
                <w:p w14:paraId="4348AA31">
                  <w:pPr>
                    <w:autoSpaceDE w:val="0"/>
                    <w:autoSpaceDN w:val="0"/>
                    <w:adjustRightInd w:val="0"/>
                    <w:snapToGrid w:val="0"/>
                    <w:jc w:val="center"/>
                    <w:rPr>
                      <w:rFonts w:hint="default" w:ascii="Times New Roman" w:hAnsi="Times New Roman" w:eastAsia="宋体" w:cs="Times New Roman"/>
                      <w:b w:val="0"/>
                      <w:bCs/>
                      <w:color w:val="auto"/>
                      <w:sz w:val="21"/>
                      <w:szCs w:val="21"/>
                    </w:rPr>
                  </w:pPr>
                  <w:r>
                    <w:rPr>
                      <w:color w:val="auto"/>
                      <w:kern w:val="21"/>
                      <w:sz w:val="21"/>
                      <w:szCs w:val="21"/>
                      <w:highlight w:val="none"/>
                    </w:rPr>
                    <w:t>无</w:t>
                  </w:r>
                </w:p>
              </w:tc>
            </w:tr>
            <w:tr w14:paraId="30DC235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noWrap w:val="0"/>
                  <w:vAlign w:val="center"/>
                </w:tcPr>
                <w:p w14:paraId="4FCE60A2">
                  <w:pPr>
                    <w:autoSpaceDE w:val="0"/>
                    <w:autoSpaceDN w:val="0"/>
                    <w:adjustRightInd w:val="0"/>
                    <w:snapToGrid w:val="0"/>
                    <w:jc w:val="center"/>
                    <w:rPr>
                      <w:rFonts w:hint="default" w:ascii="Times New Roman" w:hAnsi="Times New Roman" w:eastAsia="宋体" w:cs="Times New Roman"/>
                      <w:b w:val="0"/>
                      <w:bCs/>
                      <w:color w:val="auto"/>
                      <w:sz w:val="21"/>
                      <w:szCs w:val="21"/>
                    </w:rPr>
                  </w:pPr>
                  <w:r>
                    <w:rPr>
                      <w:color w:val="auto"/>
                      <w:kern w:val="21"/>
                      <w:sz w:val="21"/>
                      <w:szCs w:val="21"/>
                      <w:highlight w:val="none"/>
                    </w:rPr>
                    <w:t>环境风险</w:t>
                  </w:r>
                </w:p>
              </w:tc>
              <w:tc>
                <w:tcPr>
                  <w:tcW w:w="2088" w:type="pct"/>
                  <w:noWrap w:val="0"/>
                  <w:vAlign w:val="center"/>
                </w:tcPr>
                <w:p w14:paraId="1C23F652">
                  <w:pPr>
                    <w:autoSpaceDE w:val="0"/>
                    <w:autoSpaceDN w:val="0"/>
                    <w:adjustRightInd w:val="0"/>
                    <w:snapToGrid w:val="0"/>
                    <w:jc w:val="center"/>
                    <w:rPr>
                      <w:rFonts w:hint="default" w:ascii="Times New Roman" w:hAnsi="Times New Roman" w:eastAsia="宋体" w:cs="Times New Roman"/>
                      <w:b w:val="0"/>
                      <w:bCs/>
                      <w:color w:val="auto"/>
                      <w:sz w:val="21"/>
                      <w:szCs w:val="21"/>
                      <w:lang w:val="en-US" w:eastAsia="zh-CN"/>
                    </w:rPr>
                  </w:pPr>
                  <w:r>
                    <w:rPr>
                      <w:color w:val="auto"/>
                      <w:kern w:val="21"/>
                      <w:sz w:val="21"/>
                      <w:szCs w:val="21"/>
                      <w:highlight w:val="none"/>
                    </w:rPr>
                    <w:t>有毒有害和易燃易爆危险物质存储量超过临界量</w:t>
                  </w:r>
                  <w:r>
                    <w:rPr>
                      <w:color w:val="auto"/>
                      <w:kern w:val="21"/>
                      <w:sz w:val="21"/>
                      <w:szCs w:val="21"/>
                      <w:highlight w:val="none"/>
                      <w:vertAlign w:val="superscript"/>
                    </w:rPr>
                    <w:t>3</w:t>
                  </w:r>
                  <w:r>
                    <w:rPr>
                      <w:color w:val="auto"/>
                      <w:kern w:val="21"/>
                      <w:sz w:val="21"/>
                      <w:szCs w:val="21"/>
                      <w:highlight w:val="none"/>
                    </w:rPr>
                    <w:t>的建设项目</w:t>
                  </w:r>
                </w:p>
              </w:tc>
              <w:tc>
                <w:tcPr>
                  <w:tcW w:w="1889" w:type="pct"/>
                  <w:noWrap w:val="0"/>
                  <w:vAlign w:val="center"/>
                </w:tcPr>
                <w:p w14:paraId="57DE8964">
                  <w:pPr>
                    <w:autoSpaceDE w:val="0"/>
                    <w:autoSpaceDN w:val="0"/>
                    <w:adjustRightInd w:val="0"/>
                    <w:snapToGrid w:val="0"/>
                    <w:jc w:val="center"/>
                    <w:rPr>
                      <w:rFonts w:hint="default" w:ascii="Times New Roman" w:hAnsi="Times New Roman" w:eastAsia="宋体" w:cs="Times New Roman"/>
                      <w:b w:val="0"/>
                      <w:bCs/>
                      <w:color w:val="auto"/>
                      <w:sz w:val="21"/>
                      <w:szCs w:val="21"/>
                      <w:lang w:val="en-US" w:eastAsia="zh-CN"/>
                    </w:rPr>
                  </w:pPr>
                  <w:r>
                    <w:rPr>
                      <w:color w:val="auto"/>
                      <w:kern w:val="21"/>
                      <w:sz w:val="21"/>
                      <w:szCs w:val="21"/>
                      <w:highlight w:val="none"/>
                    </w:rPr>
                    <w:t>项目有毒有害和易燃易爆危险物质存储量</w:t>
                  </w:r>
                  <w:r>
                    <w:rPr>
                      <w:rFonts w:hint="eastAsia"/>
                      <w:color w:val="auto"/>
                      <w:kern w:val="21"/>
                      <w:sz w:val="21"/>
                      <w:szCs w:val="21"/>
                      <w:highlight w:val="none"/>
                    </w:rPr>
                    <w:t>未</w:t>
                  </w:r>
                  <w:r>
                    <w:rPr>
                      <w:color w:val="auto"/>
                      <w:kern w:val="21"/>
                      <w:sz w:val="21"/>
                      <w:szCs w:val="21"/>
                      <w:highlight w:val="none"/>
                    </w:rPr>
                    <w:t>超过临界量，因此</w:t>
                  </w:r>
                  <w:r>
                    <w:rPr>
                      <w:rFonts w:hint="eastAsia"/>
                      <w:color w:val="auto"/>
                      <w:kern w:val="21"/>
                      <w:sz w:val="21"/>
                      <w:szCs w:val="21"/>
                      <w:highlight w:val="none"/>
                      <w:lang w:eastAsia="zh-CN"/>
                    </w:rPr>
                    <w:t>无须设置</w:t>
                  </w:r>
                  <w:r>
                    <w:rPr>
                      <w:color w:val="auto"/>
                      <w:kern w:val="21"/>
                      <w:sz w:val="21"/>
                      <w:szCs w:val="21"/>
                      <w:highlight w:val="none"/>
                    </w:rPr>
                    <w:t>环境风险专项评价</w:t>
                  </w:r>
                </w:p>
              </w:tc>
              <w:tc>
                <w:tcPr>
                  <w:tcW w:w="522" w:type="pct"/>
                  <w:noWrap w:val="0"/>
                  <w:vAlign w:val="center"/>
                </w:tcPr>
                <w:p w14:paraId="13B608D6">
                  <w:pPr>
                    <w:autoSpaceDE w:val="0"/>
                    <w:autoSpaceDN w:val="0"/>
                    <w:adjustRightInd w:val="0"/>
                    <w:snapToGrid w:val="0"/>
                    <w:jc w:val="center"/>
                    <w:rPr>
                      <w:rFonts w:hint="default" w:ascii="Times New Roman" w:hAnsi="Times New Roman" w:eastAsia="宋体" w:cs="Times New Roman"/>
                      <w:b w:val="0"/>
                      <w:bCs/>
                      <w:color w:val="auto"/>
                      <w:sz w:val="21"/>
                      <w:szCs w:val="21"/>
                    </w:rPr>
                  </w:pPr>
                  <w:r>
                    <w:rPr>
                      <w:rFonts w:hint="eastAsia"/>
                      <w:color w:val="auto"/>
                      <w:kern w:val="21"/>
                      <w:sz w:val="21"/>
                      <w:szCs w:val="21"/>
                      <w:highlight w:val="none"/>
                      <w:lang w:val="en-US" w:eastAsia="zh-CN"/>
                    </w:rPr>
                    <w:t>无</w:t>
                  </w:r>
                </w:p>
              </w:tc>
            </w:tr>
            <w:tr w14:paraId="7AE0CBB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noWrap w:val="0"/>
                  <w:vAlign w:val="center"/>
                </w:tcPr>
                <w:p w14:paraId="6AC3F6FD">
                  <w:pPr>
                    <w:autoSpaceDE w:val="0"/>
                    <w:autoSpaceDN w:val="0"/>
                    <w:adjustRightInd w:val="0"/>
                    <w:snapToGrid w:val="0"/>
                    <w:jc w:val="center"/>
                    <w:rPr>
                      <w:rFonts w:hint="default" w:ascii="Times New Roman" w:hAnsi="Times New Roman" w:eastAsia="宋体" w:cs="Times New Roman"/>
                      <w:b w:val="0"/>
                      <w:bCs/>
                      <w:color w:val="auto"/>
                      <w:sz w:val="21"/>
                      <w:szCs w:val="21"/>
                    </w:rPr>
                  </w:pPr>
                  <w:r>
                    <w:rPr>
                      <w:color w:val="auto"/>
                      <w:kern w:val="21"/>
                      <w:sz w:val="21"/>
                      <w:szCs w:val="21"/>
                      <w:highlight w:val="none"/>
                    </w:rPr>
                    <w:t>生态</w:t>
                  </w:r>
                </w:p>
              </w:tc>
              <w:tc>
                <w:tcPr>
                  <w:tcW w:w="2088" w:type="pct"/>
                  <w:noWrap w:val="0"/>
                  <w:vAlign w:val="center"/>
                </w:tcPr>
                <w:p w14:paraId="4FB8B5ED">
                  <w:pPr>
                    <w:autoSpaceDE w:val="0"/>
                    <w:autoSpaceDN w:val="0"/>
                    <w:adjustRightInd w:val="0"/>
                    <w:snapToGrid w:val="0"/>
                    <w:jc w:val="center"/>
                    <w:rPr>
                      <w:rFonts w:hint="default" w:ascii="Times New Roman" w:hAnsi="Times New Roman" w:eastAsia="宋体" w:cs="Times New Roman"/>
                      <w:b w:val="0"/>
                      <w:bCs/>
                      <w:color w:val="auto"/>
                      <w:sz w:val="21"/>
                      <w:szCs w:val="21"/>
                      <w:lang w:val="en-US" w:eastAsia="zh-CN"/>
                    </w:rPr>
                  </w:pPr>
                  <w:r>
                    <w:rPr>
                      <w:color w:val="auto"/>
                      <w:kern w:val="21"/>
                      <w:sz w:val="21"/>
                      <w:szCs w:val="21"/>
                      <w:highlight w:val="none"/>
                    </w:rPr>
                    <w:t>取水口下游500米范围内有重要水生生物的自然产卵场、索饵场、越冬场和洄游通道的新增河道取水的污染类建设项目</w:t>
                  </w:r>
                </w:p>
              </w:tc>
              <w:tc>
                <w:tcPr>
                  <w:tcW w:w="1889" w:type="pct"/>
                  <w:noWrap w:val="0"/>
                  <w:vAlign w:val="center"/>
                </w:tcPr>
                <w:p w14:paraId="1B40F8C6">
                  <w:pPr>
                    <w:autoSpaceDE w:val="0"/>
                    <w:autoSpaceDN w:val="0"/>
                    <w:adjustRightInd w:val="0"/>
                    <w:snapToGrid w:val="0"/>
                    <w:jc w:val="center"/>
                    <w:rPr>
                      <w:rFonts w:hint="default" w:ascii="Times New Roman" w:hAnsi="Times New Roman" w:eastAsia="宋体" w:cs="Times New Roman"/>
                      <w:b w:val="0"/>
                      <w:bCs/>
                      <w:color w:val="auto"/>
                      <w:sz w:val="21"/>
                      <w:szCs w:val="21"/>
                      <w:lang w:val="en-US" w:eastAsia="zh-CN"/>
                    </w:rPr>
                  </w:pPr>
                  <w:r>
                    <w:rPr>
                      <w:color w:val="auto"/>
                      <w:kern w:val="21"/>
                      <w:sz w:val="21"/>
                      <w:szCs w:val="21"/>
                      <w:highlight w:val="none"/>
                    </w:rPr>
                    <w:t>不涉及</w:t>
                  </w:r>
                </w:p>
              </w:tc>
              <w:tc>
                <w:tcPr>
                  <w:tcW w:w="522" w:type="pct"/>
                  <w:noWrap w:val="0"/>
                  <w:vAlign w:val="center"/>
                </w:tcPr>
                <w:p w14:paraId="2D5A62EE">
                  <w:pPr>
                    <w:autoSpaceDE w:val="0"/>
                    <w:autoSpaceDN w:val="0"/>
                    <w:adjustRightInd w:val="0"/>
                    <w:snapToGrid w:val="0"/>
                    <w:jc w:val="center"/>
                    <w:rPr>
                      <w:rFonts w:hint="default" w:ascii="Times New Roman" w:hAnsi="Times New Roman" w:eastAsia="宋体" w:cs="Times New Roman"/>
                      <w:b w:val="0"/>
                      <w:bCs/>
                      <w:color w:val="auto"/>
                      <w:sz w:val="21"/>
                      <w:szCs w:val="21"/>
                    </w:rPr>
                  </w:pPr>
                  <w:r>
                    <w:rPr>
                      <w:color w:val="auto"/>
                      <w:kern w:val="21"/>
                      <w:sz w:val="21"/>
                      <w:szCs w:val="21"/>
                      <w:highlight w:val="none"/>
                    </w:rPr>
                    <w:t>无</w:t>
                  </w:r>
                </w:p>
              </w:tc>
            </w:tr>
            <w:tr w14:paraId="2DF6254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noWrap w:val="0"/>
                  <w:vAlign w:val="center"/>
                </w:tcPr>
                <w:p w14:paraId="28BB33B4">
                  <w:pPr>
                    <w:autoSpaceDE w:val="0"/>
                    <w:autoSpaceDN w:val="0"/>
                    <w:adjustRightInd w:val="0"/>
                    <w:snapToGrid w:val="0"/>
                    <w:jc w:val="center"/>
                    <w:rPr>
                      <w:rFonts w:hint="default" w:ascii="Times New Roman" w:hAnsi="Times New Roman" w:eastAsia="宋体" w:cs="Times New Roman"/>
                      <w:b w:val="0"/>
                      <w:bCs/>
                      <w:color w:val="auto"/>
                      <w:sz w:val="21"/>
                      <w:szCs w:val="21"/>
                      <w:lang w:val="en-US" w:eastAsia="zh-CN"/>
                    </w:rPr>
                  </w:pPr>
                  <w:r>
                    <w:rPr>
                      <w:color w:val="auto"/>
                      <w:kern w:val="21"/>
                      <w:sz w:val="21"/>
                      <w:szCs w:val="21"/>
                      <w:highlight w:val="none"/>
                    </w:rPr>
                    <w:t>海洋</w:t>
                  </w:r>
                </w:p>
              </w:tc>
              <w:tc>
                <w:tcPr>
                  <w:tcW w:w="2088" w:type="pct"/>
                  <w:noWrap w:val="0"/>
                  <w:vAlign w:val="center"/>
                </w:tcPr>
                <w:p w14:paraId="30632B69">
                  <w:pPr>
                    <w:autoSpaceDE w:val="0"/>
                    <w:autoSpaceDN w:val="0"/>
                    <w:adjustRightInd w:val="0"/>
                    <w:snapToGrid w:val="0"/>
                    <w:jc w:val="center"/>
                    <w:rPr>
                      <w:rFonts w:hint="default" w:ascii="Times New Roman" w:hAnsi="Times New Roman" w:eastAsia="宋体" w:cs="Times New Roman"/>
                      <w:b w:val="0"/>
                      <w:bCs/>
                      <w:color w:val="auto"/>
                      <w:sz w:val="21"/>
                      <w:szCs w:val="21"/>
                      <w:lang w:val="en-US" w:eastAsia="zh-CN"/>
                    </w:rPr>
                  </w:pPr>
                  <w:r>
                    <w:rPr>
                      <w:color w:val="auto"/>
                      <w:kern w:val="21"/>
                      <w:sz w:val="21"/>
                      <w:szCs w:val="21"/>
                      <w:highlight w:val="none"/>
                    </w:rPr>
                    <w:t>直接向海排放污染物的海洋工程建设项目</w:t>
                  </w:r>
                </w:p>
              </w:tc>
              <w:tc>
                <w:tcPr>
                  <w:tcW w:w="1889" w:type="pct"/>
                  <w:noWrap w:val="0"/>
                  <w:vAlign w:val="center"/>
                </w:tcPr>
                <w:p w14:paraId="22DD9EE6">
                  <w:pPr>
                    <w:autoSpaceDE w:val="0"/>
                    <w:autoSpaceDN w:val="0"/>
                    <w:adjustRightInd w:val="0"/>
                    <w:snapToGrid w:val="0"/>
                    <w:jc w:val="center"/>
                    <w:rPr>
                      <w:rFonts w:hint="default" w:ascii="Times New Roman" w:hAnsi="Times New Roman" w:eastAsia="宋体" w:cs="Times New Roman"/>
                      <w:b w:val="0"/>
                      <w:bCs/>
                      <w:color w:val="auto"/>
                      <w:sz w:val="21"/>
                      <w:szCs w:val="21"/>
                      <w:lang w:val="en-US" w:eastAsia="zh-CN"/>
                    </w:rPr>
                  </w:pPr>
                  <w:r>
                    <w:rPr>
                      <w:color w:val="auto"/>
                      <w:kern w:val="21"/>
                      <w:sz w:val="21"/>
                      <w:szCs w:val="21"/>
                      <w:highlight w:val="none"/>
                    </w:rPr>
                    <w:t>不涉及</w:t>
                  </w:r>
                </w:p>
              </w:tc>
              <w:tc>
                <w:tcPr>
                  <w:tcW w:w="522" w:type="pct"/>
                  <w:noWrap w:val="0"/>
                  <w:vAlign w:val="center"/>
                </w:tcPr>
                <w:p w14:paraId="0B55C9B0">
                  <w:pPr>
                    <w:autoSpaceDE w:val="0"/>
                    <w:autoSpaceDN w:val="0"/>
                    <w:adjustRightInd w:val="0"/>
                    <w:snapToGrid w:val="0"/>
                    <w:jc w:val="center"/>
                    <w:rPr>
                      <w:rFonts w:hint="default" w:ascii="Times New Roman" w:hAnsi="Times New Roman" w:eastAsia="宋体" w:cs="Times New Roman"/>
                      <w:b w:val="0"/>
                      <w:bCs/>
                      <w:color w:val="auto"/>
                      <w:sz w:val="21"/>
                      <w:szCs w:val="21"/>
                    </w:rPr>
                  </w:pPr>
                  <w:r>
                    <w:rPr>
                      <w:color w:val="auto"/>
                      <w:kern w:val="21"/>
                      <w:sz w:val="21"/>
                      <w:szCs w:val="21"/>
                      <w:highlight w:val="none"/>
                    </w:rPr>
                    <w:t>无</w:t>
                  </w:r>
                </w:p>
              </w:tc>
            </w:tr>
          </w:tbl>
          <w:p w14:paraId="389CE01F">
            <w:pPr>
              <w:autoSpaceDE w:val="0"/>
              <w:autoSpaceDN w:val="0"/>
              <w:adjustRightInd w:val="0"/>
              <w:snapToGrid w:val="0"/>
              <w:spacing w:line="500" w:lineRule="exact"/>
              <w:rPr>
                <w:rFonts w:hint="default" w:ascii="Times New Roman" w:hAnsi="Times New Roman" w:eastAsia="宋体" w:cs="Times New Roman"/>
                <w:color w:val="auto"/>
                <w:kern w:val="0"/>
                <w:sz w:val="21"/>
                <w:szCs w:val="21"/>
              </w:rPr>
            </w:pPr>
          </w:p>
        </w:tc>
      </w:tr>
      <w:tr w14:paraId="4BF82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jc w:val="center"/>
        </w:trPr>
        <w:tc>
          <w:tcPr>
            <w:tcW w:w="1734" w:type="dxa"/>
            <w:gridSpan w:val="2"/>
            <w:vAlign w:val="center"/>
          </w:tcPr>
          <w:p w14:paraId="0692DB62">
            <w:pPr>
              <w:autoSpaceDE w:val="0"/>
              <w:autoSpaceDN w:val="0"/>
              <w:adjustRightInd w:val="0"/>
              <w:snapToGrid w:val="0"/>
              <w:jc w:val="center"/>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规划情况</w:t>
            </w:r>
          </w:p>
        </w:tc>
        <w:tc>
          <w:tcPr>
            <w:tcW w:w="7170" w:type="dxa"/>
            <w:gridSpan w:val="3"/>
            <w:vAlign w:val="center"/>
          </w:tcPr>
          <w:p w14:paraId="6C3C61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规划名称：江苏省金坛经济开发区朱林现代产业园</w:t>
            </w:r>
          </w:p>
          <w:p w14:paraId="3C4A22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审批机关：金坛区人民政府</w:t>
            </w:r>
          </w:p>
          <w:p w14:paraId="530BC3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审批文件名称及文号：坛政复〔2008〕13号</w:t>
            </w:r>
          </w:p>
        </w:tc>
      </w:tr>
      <w:tr w14:paraId="5C8B2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2" w:hRule="atLeast"/>
          <w:jc w:val="center"/>
        </w:trPr>
        <w:tc>
          <w:tcPr>
            <w:tcW w:w="1734" w:type="dxa"/>
            <w:gridSpan w:val="2"/>
            <w:vAlign w:val="center"/>
          </w:tcPr>
          <w:p w14:paraId="0AB9152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规划环境影响</w:t>
            </w:r>
          </w:p>
          <w:p w14:paraId="6FB1891C">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评价情况</w:t>
            </w:r>
          </w:p>
        </w:tc>
        <w:tc>
          <w:tcPr>
            <w:tcW w:w="7170" w:type="dxa"/>
            <w:gridSpan w:val="3"/>
            <w:vAlign w:val="center"/>
          </w:tcPr>
          <w:p w14:paraId="12F980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名称：《</w:t>
            </w:r>
            <w:r>
              <w:rPr>
                <w:rFonts w:hint="eastAsia" w:ascii="Times New Roman" w:hAnsi="Times New Roman" w:eastAsia="宋体" w:cs="Times New Roman"/>
                <w:color w:val="auto"/>
                <w:kern w:val="2"/>
                <w:sz w:val="21"/>
                <w:szCs w:val="21"/>
                <w:lang w:val="en-US" w:eastAsia="zh-CN" w:bidi="ar-SA"/>
              </w:rPr>
              <w:t>江苏省金坛经济开发区朱林现代产业园规划环境影响评价报告书》</w:t>
            </w:r>
          </w:p>
          <w:p w14:paraId="19375D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审批机关：</w:t>
            </w:r>
            <w:r>
              <w:rPr>
                <w:rFonts w:hint="eastAsia" w:ascii="Times New Roman" w:hAnsi="Times New Roman" w:eastAsia="宋体" w:cs="Times New Roman"/>
                <w:color w:val="auto"/>
                <w:kern w:val="2"/>
                <w:sz w:val="21"/>
                <w:szCs w:val="21"/>
                <w:lang w:val="en-US" w:eastAsia="zh-CN" w:bidi="ar-SA"/>
              </w:rPr>
              <w:t>常州</w:t>
            </w:r>
            <w:r>
              <w:rPr>
                <w:rFonts w:hint="default" w:ascii="Times New Roman" w:hAnsi="Times New Roman" w:eastAsia="宋体" w:cs="Times New Roman"/>
                <w:color w:val="auto"/>
                <w:kern w:val="2"/>
                <w:sz w:val="21"/>
                <w:szCs w:val="21"/>
                <w:lang w:val="en-US" w:eastAsia="zh-CN" w:bidi="ar-SA"/>
              </w:rPr>
              <w:t>市</w:t>
            </w:r>
            <w:r>
              <w:rPr>
                <w:rFonts w:hint="eastAsia" w:ascii="Times New Roman" w:hAnsi="Times New Roman" w:eastAsia="宋体" w:cs="Times New Roman"/>
                <w:color w:val="auto"/>
                <w:kern w:val="2"/>
                <w:sz w:val="21"/>
                <w:szCs w:val="21"/>
                <w:lang w:val="en-US" w:eastAsia="zh-CN" w:bidi="ar-SA"/>
              </w:rPr>
              <w:t>生态</w:t>
            </w:r>
            <w:r>
              <w:rPr>
                <w:rFonts w:hint="default" w:ascii="Times New Roman" w:hAnsi="Times New Roman" w:eastAsia="宋体" w:cs="Times New Roman"/>
                <w:color w:val="auto"/>
                <w:kern w:val="2"/>
                <w:sz w:val="21"/>
                <w:szCs w:val="21"/>
                <w:lang w:val="en-US" w:eastAsia="zh-CN" w:bidi="ar-SA"/>
              </w:rPr>
              <w:t>环境局</w:t>
            </w:r>
          </w:p>
          <w:p w14:paraId="66EA40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审批文件名称及文号：</w:t>
            </w:r>
            <w:r>
              <w:rPr>
                <w:rFonts w:hint="eastAsia" w:ascii="Times New Roman" w:hAnsi="Times New Roman" w:eastAsia="宋体" w:cs="Times New Roman"/>
                <w:color w:val="auto"/>
                <w:kern w:val="2"/>
                <w:sz w:val="21"/>
                <w:szCs w:val="21"/>
                <w:lang w:val="en-US" w:eastAsia="zh-CN" w:bidi="ar-SA"/>
              </w:rPr>
              <w:t>《市生态环境局关于江苏省金坛经济开发区朱林现代产业园规划环境影响评价报告书的审查意见》（常金环审〔2020〕127号）</w:t>
            </w:r>
          </w:p>
        </w:tc>
      </w:tr>
      <w:tr w14:paraId="51E87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2" w:hRule="atLeast"/>
          <w:jc w:val="center"/>
        </w:trPr>
        <w:tc>
          <w:tcPr>
            <w:tcW w:w="1734" w:type="dxa"/>
            <w:gridSpan w:val="2"/>
            <w:vAlign w:val="center"/>
          </w:tcPr>
          <w:p w14:paraId="6423405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规划及规划环境影响评价符合性分析</w:t>
            </w:r>
          </w:p>
        </w:tc>
        <w:tc>
          <w:tcPr>
            <w:tcW w:w="7170" w:type="dxa"/>
            <w:gridSpan w:val="3"/>
            <w:vAlign w:val="center"/>
          </w:tcPr>
          <w:p w14:paraId="37AB5131">
            <w:pPr>
              <w:pStyle w:val="90"/>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1、与规划符合性分析</w:t>
            </w:r>
          </w:p>
          <w:p w14:paraId="795BD767">
            <w:pPr>
              <w:pStyle w:val="6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（1）本项目位于</w:t>
            </w:r>
            <w:r>
              <w:rPr>
                <w:rFonts w:hint="eastAsia" w:ascii="Times New Roman" w:hAnsi="Times New Roman" w:cs="Times New Roman"/>
                <w:color w:val="auto"/>
                <w:kern w:val="2"/>
                <w:sz w:val="21"/>
                <w:szCs w:val="21"/>
                <w:lang w:val="en-US" w:eastAsia="zh-CN" w:bidi="ar-SA"/>
              </w:rPr>
              <w:t>朱林现代产业</w:t>
            </w:r>
            <w:r>
              <w:rPr>
                <w:rFonts w:hint="eastAsia" w:ascii="Times New Roman" w:hAnsi="Times New Roman" w:eastAsia="宋体" w:cs="Times New Roman"/>
                <w:color w:val="auto"/>
                <w:kern w:val="2"/>
                <w:sz w:val="21"/>
                <w:szCs w:val="21"/>
                <w:lang w:val="en-US" w:eastAsia="zh-CN" w:bidi="ar-SA"/>
              </w:rPr>
              <w:t>园</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朱林现代产业园</w:t>
            </w:r>
            <w:r>
              <w:rPr>
                <w:rFonts w:hint="default" w:ascii="Times New Roman" w:hAnsi="Times New Roman" w:eastAsia="宋体" w:cs="Times New Roman"/>
                <w:color w:val="auto"/>
                <w:kern w:val="2"/>
                <w:sz w:val="21"/>
                <w:szCs w:val="21"/>
                <w:lang w:val="en-US" w:eastAsia="zh-CN" w:bidi="ar-SA"/>
              </w:rPr>
              <w:t>产业定位为：以一类、二类工业为主导，限制三类工业。重点发展电子、缝纫/服饰加工、金属制品制造、非金属制品制造、轻机械制造、</w:t>
            </w:r>
            <w:r>
              <w:rPr>
                <w:rFonts w:hint="eastAsia" w:ascii="Times New Roman" w:hAnsi="Times New Roman" w:cs="Times New Roman"/>
                <w:color w:val="auto"/>
                <w:kern w:val="2"/>
                <w:sz w:val="21"/>
                <w:szCs w:val="21"/>
                <w:lang w:val="en-US" w:eastAsia="zh-CN" w:bidi="ar-SA"/>
              </w:rPr>
              <w:t>服饰加工</w:t>
            </w:r>
            <w:r>
              <w:rPr>
                <w:rFonts w:hint="default" w:ascii="Times New Roman" w:hAnsi="Times New Roman" w:eastAsia="宋体" w:cs="Times New Roman"/>
                <w:color w:val="auto"/>
                <w:kern w:val="2"/>
                <w:sz w:val="21"/>
                <w:szCs w:val="21"/>
                <w:lang w:val="en-US" w:eastAsia="zh-CN" w:bidi="ar-SA"/>
              </w:rPr>
              <w:t>、新能源汽车及核心零部件、新一代移动通信及光伏新能源产业，形成金坛西部重要的工业板块和综合服务节点。</w:t>
            </w:r>
          </w:p>
          <w:p w14:paraId="7F00C780">
            <w:pPr>
              <w:pStyle w:val="6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w:t>
            </w:r>
            <w:r>
              <w:rPr>
                <w:rFonts w:hint="eastAsia" w:ascii="Times New Roman" w:hAnsi="Times New Roman" w:eastAsia="宋体" w:cs="Times New Roman"/>
                <w:color w:val="auto"/>
                <w:kern w:val="2"/>
                <w:sz w:val="21"/>
                <w:szCs w:val="21"/>
                <w:lang w:val="en-US" w:eastAsia="zh-CN" w:bidi="ar-SA"/>
              </w:rPr>
              <w:t>为C2921塑料薄膜制造</w:t>
            </w:r>
            <w:r>
              <w:rPr>
                <w:rFonts w:hint="eastAsia" w:ascii="Times New Roman" w:hAnsi="Times New Roman" w:cs="Times New Roman"/>
                <w:color w:val="auto"/>
                <w:kern w:val="2"/>
                <w:sz w:val="21"/>
                <w:szCs w:val="21"/>
                <w:lang w:val="en-US" w:eastAsia="zh-CN" w:bidi="ar-SA"/>
              </w:rPr>
              <w:t>和C2923塑料丝、绳及编织品制造</w:t>
            </w:r>
            <w:r>
              <w:rPr>
                <w:rFonts w:hint="default" w:ascii="Times New Roman" w:hAnsi="Times New Roman" w:eastAsia="宋体" w:cs="Times New Roman"/>
                <w:color w:val="auto"/>
                <w:kern w:val="2"/>
                <w:sz w:val="21"/>
                <w:szCs w:val="21"/>
                <w:lang w:val="en-US" w:eastAsia="zh-CN" w:bidi="ar-SA"/>
              </w:rPr>
              <w:t>，属于</w:t>
            </w:r>
            <w:r>
              <w:rPr>
                <w:rFonts w:hint="eastAsia" w:ascii="Times New Roman" w:hAnsi="Times New Roman" w:cs="Times New Roman"/>
                <w:color w:val="auto"/>
                <w:kern w:val="2"/>
                <w:sz w:val="21"/>
                <w:szCs w:val="21"/>
                <w:lang w:val="en-US" w:eastAsia="zh-CN" w:bidi="ar-SA"/>
              </w:rPr>
              <w:t>服饰加工</w:t>
            </w:r>
            <w:r>
              <w:rPr>
                <w:rFonts w:hint="eastAsia" w:ascii="Times New Roman" w:hAnsi="Times New Roman" w:eastAsia="宋体" w:cs="Times New Roman"/>
                <w:color w:val="auto"/>
                <w:kern w:val="2"/>
                <w:sz w:val="21"/>
                <w:szCs w:val="21"/>
                <w:lang w:val="en-US" w:eastAsia="zh-CN" w:bidi="ar-SA"/>
              </w:rPr>
              <w:t>配套产业</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cs="Times New Roman"/>
                <w:color w:val="auto"/>
                <w:kern w:val="2"/>
                <w:sz w:val="21"/>
                <w:szCs w:val="21"/>
                <w:lang w:val="en-US" w:eastAsia="zh-CN" w:bidi="ar-SA"/>
              </w:rPr>
              <w:t>根据后文分析（表1-2），项目不属于园区禁止和限制引入项目</w:t>
            </w:r>
            <w:r>
              <w:rPr>
                <w:rFonts w:hint="default" w:ascii="Times New Roman" w:hAnsi="Times New Roman" w:eastAsia="宋体" w:cs="Times New Roman"/>
                <w:color w:val="auto"/>
                <w:kern w:val="2"/>
                <w:sz w:val="21"/>
                <w:szCs w:val="21"/>
                <w:lang w:val="en-US" w:eastAsia="zh-CN" w:bidi="ar-SA"/>
              </w:rPr>
              <w:t>。</w:t>
            </w:r>
          </w:p>
          <w:p w14:paraId="2D7BA245">
            <w:pPr>
              <w:pStyle w:val="6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（2）根据园区土地利用规划，项目所在地为工业用地</w:t>
            </w:r>
            <w:r>
              <w:rPr>
                <w:rFonts w:hint="eastAsia" w:ascii="Times New Roman" w:hAnsi="Times New Roman" w:eastAsia="宋体" w:cs="Times New Roman"/>
                <w:color w:val="auto"/>
                <w:kern w:val="2"/>
                <w:sz w:val="21"/>
                <w:szCs w:val="21"/>
                <w:lang w:val="en-US" w:eastAsia="zh-CN" w:bidi="ar-SA"/>
              </w:rPr>
              <w:t>；同时，根据出租方提供的不动产权证，项目所在地用途为工业用地，</w:t>
            </w:r>
            <w:r>
              <w:rPr>
                <w:rFonts w:hint="default" w:ascii="Times New Roman" w:hAnsi="Times New Roman" w:eastAsia="宋体" w:cs="Times New Roman"/>
                <w:color w:val="auto"/>
                <w:kern w:val="2"/>
                <w:sz w:val="21"/>
                <w:szCs w:val="21"/>
                <w:lang w:val="en-US" w:eastAsia="zh-CN" w:bidi="ar-SA"/>
              </w:rPr>
              <w:t>因此本项目符合区域用地规划要求。</w:t>
            </w:r>
          </w:p>
          <w:p w14:paraId="0CC35797">
            <w:pPr>
              <w:keepNext w:val="0"/>
              <w:keepLines w:val="0"/>
              <w:pageBreakBefore w:val="0"/>
              <w:widowControl w:val="0"/>
              <w:kinsoku/>
              <w:wordWrap/>
              <w:overflowPunct/>
              <w:topLinePunct w:val="0"/>
              <w:bidi w:val="0"/>
              <w:spacing w:line="500" w:lineRule="exact"/>
              <w:ind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与规划环境影响评价符合性分析</w:t>
            </w:r>
          </w:p>
          <w:p w14:paraId="60DBDEAA">
            <w:pPr>
              <w:keepNext w:val="0"/>
              <w:keepLines w:val="0"/>
              <w:pageBreakBefore w:val="0"/>
              <w:widowControl w:val="0"/>
              <w:kinsoku/>
              <w:wordWrap/>
              <w:overflowPunct/>
              <w:topLinePunct w:val="0"/>
              <w:bidi w:val="0"/>
              <w:spacing w:line="500" w:lineRule="exact"/>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cs="Times New Roman"/>
                <w:color w:val="auto"/>
                <w:sz w:val="21"/>
                <w:szCs w:val="21"/>
                <w:lang w:eastAsia="zh-CN"/>
              </w:rPr>
              <w:t>常州市金坛区朱林镇创业路101号</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所在用地为工业用地，符合区域用地规划</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与</w:t>
            </w:r>
            <w:r>
              <w:rPr>
                <w:rFonts w:hint="eastAsia" w:cs="Times New Roman"/>
                <w:color w:val="auto"/>
                <w:sz w:val="21"/>
                <w:szCs w:val="21"/>
                <w:lang w:eastAsia="zh-CN"/>
              </w:rPr>
              <w:t>《江苏省金坛经济开发区朱林现代产业园规划环境影响评价报告书》</w:t>
            </w:r>
            <w:r>
              <w:rPr>
                <w:rFonts w:hint="default" w:ascii="Times New Roman" w:hAnsi="Times New Roman" w:eastAsia="宋体" w:cs="Times New Roman"/>
                <w:color w:val="auto"/>
                <w:sz w:val="21"/>
                <w:szCs w:val="21"/>
              </w:rPr>
              <w:t>及</w:t>
            </w:r>
            <w:r>
              <w:rPr>
                <w:rFonts w:hint="eastAsia" w:cs="Times New Roman"/>
                <w:color w:val="auto"/>
                <w:sz w:val="21"/>
                <w:szCs w:val="21"/>
                <w:lang w:eastAsia="zh-CN"/>
              </w:rPr>
              <w:t>《市生态环境局关于江苏省金坛经济开发区朱林现代产业园规划环境影响评价报告书的审查意见》（常金环审〔2020〕127号）</w:t>
            </w:r>
            <w:r>
              <w:rPr>
                <w:rFonts w:hint="default" w:ascii="Times New Roman" w:hAnsi="Times New Roman" w:eastAsia="宋体" w:cs="Times New Roman"/>
                <w:color w:val="auto"/>
                <w:sz w:val="21"/>
                <w:szCs w:val="21"/>
              </w:rPr>
              <w:t>相符性分析见下表：</w:t>
            </w:r>
          </w:p>
          <w:p w14:paraId="384768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hint="default" w:cs="Times New Roman"/>
                <w:color w:val="auto"/>
                <w:sz w:val="21"/>
                <w:szCs w:val="21"/>
                <w:lang w:val="en-US" w:eastAsia="zh-CN"/>
              </w:rPr>
            </w:pPr>
          </w:p>
        </w:tc>
      </w:tr>
      <w:tr w14:paraId="364D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3" w:hRule="atLeast"/>
          <w:jc w:val="center"/>
        </w:trPr>
        <w:tc>
          <w:tcPr>
            <w:tcW w:w="619" w:type="dxa"/>
            <w:vAlign w:val="center"/>
          </w:tcPr>
          <w:p w14:paraId="782655BC">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规划及规划环境影响评价符合性分析</w:t>
            </w:r>
          </w:p>
        </w:tc>
        <w:tc>
          <w:tcPr>
            <w:tcW w:w="8285" w:type="dxa"/>
            <w:gridSpan w:val="4"/>
            <w:vAlign w:val="center"/>
          </w:tcPr>
          <w:p w14:paraId="07754D9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b/>
                <w:bCs/>
                <w:color w:val="auto"/>
                <w:kern w:val="0"/>
                <w:sz w:val="21"/>
                <w:szCs w:val="21"/>
                <w:lang w:val="en-US" w:eastAsia="zh-CN" w:bidi="ar"/>
              </w:rPr>
            </w:pPr>
          </w:p>
          <w:p w14:paraId="786650D3">
            <w:pPr>
              <w:pStyle w:val="6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kern w:val="0"/>
                <w:sz w:val="21"/>
                <w:szCs w:val="21"/>
                <w:lang w:val="en-US" w:eastAsia="zh-CN" w:bidi="ar"/>
              </w:rPr>
              <w:t>表1-</w:t>
            </w:r>
            <w:r>
              <w:rPr>
                <w:rFonts w:hint="eastAsia" w:cs="Times New Roman"/>
                <w:b/>
                <w:bCs/>
                <w:color w:val="auto"/>
                <w:kern w:val="0"/>
                <w:sz w:val="21"/>
                <w:szCs w:val="21"/>
                <w:lang w:val="en-US" w:eastAsia="zh-CN" w:bidi="ar"/>
              </w:rPr>
              <w:t>1</w:t>
            </w:r>
            <w:r>
              <w:rPr>
                <w:rFonts w:hint="default" w:ascii="Times New Roman" w:hAnsi="Times New Roman" w:eastAsia="宋体" w:cs="Times New Roman"/>
                <w:b/>
                <w:bCs/>
                <w:color w:val="auto"/>
                <w:kern w:val="0"/>
                <w:sz w:val="21"/>
                <w:szCs w:val="21"/>
                <w:lang w:val="en-US" w:eastAsia="zh-CN" w:bidi="ar"/>
              </w:rPr>
              <w:t xml:space="preserve"> </w:t>
            </w:r>
            <w:r>
              <w:rPr>
                <w:rFonts w:hint="default"/>
                <w:b/>
                <w:bCs w:val="0"/>
                <w:color w:val="auto"/>
                <w:kern w:val="0"/>
                <w:sz w:val="21"/>
                <w:szCs w:val="21"/>
              </w:rPr>
              <w:t>项目与</w:t>
            </w:r>
            <w:r>
              <w:rPr>
                <w:rFonts w:hint="eastAsia"/>
                <w:b/>
                <w:bCs w:val="0"/>
                <w:color w:val="auto"/>
                <w:kern w:val="0"/>
                <w:sz w:val="21"/>
                <w:szCs w:val="21"/>
                <w:lang w:val="en-US" w:eastAsia="zh-CN"/>
              </w:rPr>
              <w:t>园区规划</w:t>
            </w:r>
            <w:r>
              <w:rPr>
                <w:rFonts w:hint="default"/>
                <w:b/>
                <w:bCs w:val="0"/>
                <w:color w:val="auto"/>
                <w:kern w:val="0"/>
                <w:sz w:val="21"/>
                <w:szCs w:val="21"/>
              </w:rPr>
              <w:t>环境影响报告书审查意见</w:t>
            </w:r>
            <w:r>
              <w:rPr>
                <w:rFonts w:hint="eastAsia"/>
                <w:b/>
                <w:bCs w:val="0"/>
                <w:color w:val="auto"/>
                <w:kern w:val="0"/>
                <w:sz w:val="21"/>
                <w:szCs w:val="21"/>
                <w:lang w:val="en-US" w:eastAsia="zh-CN"/>
              </w:rPr>
              <w:t>对照</w:t>
            </w:r>
            <w:r>
              <w:rPr>
                <w:rFonts w:hint="default"/>
                <w:b/>
                <w:bCs w:val="0"/>
                <w:color w:val="auto"/>
                <w:kern w:val="0"/>
                <w:sz w:val="21"/>
                <w:szCs w:val="21"/>
              </w:rPr>
              <w:t>分析</w:t>
            </w:r>
          </w:p>
          <w:tbl>
            <w:tblPr>
              <w:tblStyle w:val="31"/>
              <w:tblW w:w="5000" w:type="pct"/>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513"/>
              <w:gridCol w:w="502"/>
              <w:gridCol w:w="3655"/>
              <w:gridCol w:w="2879"/>
              <w:gridCol w:w="520"/>
            </w:tblGrid>
            <w:tr w14:paraId="70A8818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2894" w:type="pct"/>
                  <w:gridSpan w:val="3"/>
                  <w:noWrap w:val="0"/>
                  <w:vAlign w:val="center"/>
                </w:tcPr>
                <w:p w14:paraId="71279329">
                  <w:pPr>
                    <w:adjustRightInd w:val="0"/>
                    <w:snapToGrid w:val="0"/>
                    <w:spacing w:line="360" w:lineRule="exact"/>
                    <w:jc w:val="center"/>
                    <w:rPr>
                      <w:color w:val="auto"/>
                      <w:sz w:val="21"/>
                      <w:szCs w:val="21"/>
                    </w:rPr>
                  </w:pPr>
                  <w:r>
                    <w:rPr>
                      <w:color w:val="auto"/>
                      <w:sz w:val="21"/>
                      <w:szCs w:val="21"/>
                    </w:rPr>
                    <w:t>规划环评及审查意见</w:t>
                  </w:r>
                  <w:r>
                    <w:rPr>
                      <w:rFonts w:hint="eastAsia"/>
                      <w:color w:val="auto"/>
                      <w:sz w:val="21"/>
                      <w:szCs w:val="21"/>
                    </w:rPr>
                    <w:t>内容</w:t>
                  </w:r>
                </w:p>
              </w:tc>
              <w:tc>
                <w:tcPr>
                  <w:tcW w:w="2879" w:type="dxa"/>
                  <w:noWrap w:val="0"/>
                  <w:vAlign w:val="center"/>
                </w:tcPr>
                <w:p w14:paraId="5250DC48">
                  <w:pPr>
                    <w:pStyle w:val="100"/>
                    <w:rPr>
                      <w:color w:val="auto"/>
                      <w:sz w:val="21"/>
                      <w:szCs w:val="21"/>
                    </w:rPr>
                  </w:pPr>
                  <w:r>
                    <w:rPr>
                      <w:rFonts w:hint="default" w:ascii="Times New Roman" w:hAnsi="Times New Roman" w:eastAsia="宋体" w:cs="Times New Roman"/>
                      <w:b/>
                      <w:bCs/>
                      <w:color w:val="auto"/>
                      <w:sz w:val="21"/>
                      <w:szCs w:val="21"/>
                    </w:rPr>
                    <w:t>本项目</w:t>
                  </w:r>
                </w:p>
              </w:tc>
              <w:tc>
                <w:tcPr>
                  <w:tcW w:w="520" w:type="dxa"/>
                  <w:noWrap w:val="0"/>
                  <w:vAlign w:val="center"/>
                </w:tcPr>
                <w:p w14:paraId="63B249B8">
                  <w:pPr>
                    <w:pStyle w:val="100"/>
                    <w:rPr>
                      <w:color w:val="auto"/>
                      <w:sz w:val="21"/>
                      <w:szCs w:val="21"/>
                    </w:rPr>
                  </w:pPr>
                  <w:r>
                    <w:rPr>
                      <w:rFonts w:hint="default" w:ascii="Times New Roman" w:hAnsi="Times New Roman" w:eastAsia="宋体" w:cs="Times New Roman"/>
                      <w:b/>
                      <w:bCs/>
                      <w:color w:val="auto"/>
                      <w:sz w:val="21"/>
                      <w:szCs w:val="21"/>
                    </w:rPr>
                    <w:t>相符性</w:t>
                  </w:r>
                </w:p>
              </w:tc>
            </w:tr>
            <w:tr w14:paraId="72A1F02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318" w:type="pct"/>
                  <w:noWrap w:val="0"/>
                  <w:vAlign w:val="center"/>
                </w:tcPr>
                <w:p w14:paraId="30509160">
                  <w:pPr>
                    <w:adjustRightInd w:val="0"/>
                    <w:snapToGrid w:val="0"/>
                    <w:spacing w:line="360" w:lineRule="exact"/>
                    <w:jc w:val="center"/>
                    <w:rPr>
                      <w:color w:val="auto"/>
                      <w:sz w:val="21"/>
                      <w:szCs w:val="21"/>
                    </w:rPr>
                  </w:pPr>
                  <w:r>
                    <w:rPr>
                      <w:color w:val="auto"/>
                      <w:sz w:val="21"/>
                      <w:szCs w:val="21"/>
                    </w:rPr>
                    <w:t>规划范围</w:t>
                  </w:r>
                </w:p>
              </w:tc>
              <w:tc>
                <w:tcPr>
                  <w:tcW w:w="2576" w:type="pct"/>
                  <w:gridSpan w:val="2"/>
                  <w:noWrap w:val="0"/>
                  <w:vAlign w:val="center"/>
                </w:tcPr>
                <w:p w14:paraId="736770FA">
                  <w:pPr>
                    <w:adjustRightInd w:val="0"/>
                    <w:snapToGrid w:val="0"/>
                    <w:spacing w:line="360" w:lineRule="exact"/>
                    <w:rPr>
                      <w:color w:val="auto"/>
                      <w:sz w:val="21"/>
                      <w:szCs w:val="21"/>
                    </w:rPr>
                  </w:pPr>
                  <w:r>
                    <w:rPr>
                      <w:rFonts w:hint="eastAsia"/>
                      <w:color w:val="auto"/>
                      <w:sz w:val="21"/>
                      <w:szCs w:val="21"/>
                    </w:rPr>
                    <w:t>东至河口河-华林路，北至省道340，西至扬溧高速公路，南至茅山旅游大道，总面积7.8km</w:t>
                  </w:r>
                  <w:r>
                    <w:rPr>
                      <w:rFonts w:hint="eastAsia"/>
                      <w:color w:val="auto"/>
                      <w:sz w:val="21"/>
                      <w:szCs w:val="21"/>
                      <w:vertAlign w:val="superscript"/>
                    </w:rPr>
                    <w:t>2</w:t>
                  </w:r>
                  <w:r>
                    <w:rPr>
                      <w:rFonts w:hint="eastAsia"/>
                      <w:color w:val="auto"/>
                      <w:sz w:val="21"/>
                      <w:szCs w:val="21"/>
                    </w:rPr>
                    <w:t>。</w:t>
                  </w:r>
                </w:p>
              </w:tc>
              <w:tc>
                <w:tcPr>
                  <w:tcW w:w="1784" w:type="pct"/>
                  <w:noWrap w:val="0"/>
                  <w:vAlign w:val="center"/>
                </w:tcPr>
                <w:p w14:paraId="03360DCA">
                  <w:pPr>
                    <w:adjustRightInd w:val="0"/>
                    <w:snapToGrid w:val="0"/>
                    <w:spacing w:line="360" w:lineRule="exact"/>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本项目在江苏省金坛经济开发区朱林现代产业园范围内。</w:t>
                  </w:r>
                </w:p>
              </w:tc>
              <w:tc>
                <w:tcPr>
                  <w:tcW w:w="322" w:type="pct"/>
                  <w:noWrap w:val="0"/>
                  <w:vAlign w:val="center"/>
                </w:tcPr>
                <w:p w14:paraId="3078F46E">
                  <w:pPr>
                    <w:adjustRightInd w:val="0"/>
                    <w:snapToGrid w:val="0"/>
                    <w:spacing w:line="360" w:lineRule="exact"/>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317F36F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318" w:type="pct"/>
                  <w:noWrap w:val="0"/>
                  <w:vAlign w:val="center"/>
                </w:tcPr>
                <w:p w14:paraId="3D9256AF">
                  <w:pPr>
                    <w:adjustRightInd w:val="0"/>
                    <w:snapToGrid w:val="0"/>
                    <w:spacing w:line="360" w:lineRule="exact"/>
                    <w:jc w:val="center"/>
                    <w:rPr>
                      <w:color w:val="auto"/>
                      <w:sz w:val="21"/>
                      <w:szCs w:val="21"/>
                    </w:rPr>
                  </w:pPr>
                  <w:r>
                    <w:rPr>
                      <w:rFonts w:hint="eastAsia"/>
                      <w:color w:val="auto"/>
                      <w:sz w:val="21"/>
                      <w:szCs w:val="21"/>
                    </w:rPr>
                    <w:t>产业定位</w:t>
                  </w:r>
                </w:p>
              </w:tc>
              <w:tc>
                <w:tcPr>
                  <w:tcW w:w="2576" w:type="pct"/>
                  <w:gridSpan w:val="2"/>
                  <w:noWrap w:val="0"/>
                  <w:vAlign w:val="center"/>
                </w:tcPr>
                <w:p w14:paraId="7809BAA2">
                  <w:pPr>
                    <w:adjustRightInd w:val="0"/>
                    <w:snapToGrid w:val="0"/>
                    <w:spacing w:line="360" w:lineRule="exact"/>
                    <w:rPr>
                      <w:color w:val="auto"/>
                      <w:sz w:val="21"/>
                      <w:szCs w:val="21"/>
                    </w:rPr>
                  </w:pPr>
                  <w:r>
                    <w:rPr>
                      <w:rFonts w:hint="eastAsia"/>
                      <w:color w:val="auto"/>
                      <w:sz w:val="21"/>
                      <w:szCs w:val="21"/>
                    </w:rPr>
                    <w:t>以一类、二类工业为主导，限制三类工业。重点发展电子、缝纫/服饰加工、 金属制品制造、非金属制品制造、轻机械制造、</w:t>
                  </w:r>
                  <w:r>
                    <w:rPr>
                      <w:rFonts w:hint="eastAsia"/>
                      <w:color w:val="auto"/>
                      <w:sz w:val="21"/>
                      <w:szCs w:val="21"/>
                      <w:lang w:eastAsia="zh-CN"/>
                    </w:rPr>
                    <w:t>服饰加工</w:t>
                  </w:r>
                  <w:r>
                    <w:rPr>
                      <w:rFonts w:hint="eastAsia"/>
                      <w:color w:val="auto"/>
                      <w:sz w:val="21"/>
                      <w:szCs w:val="21"/>
                    </w:rPr>
                    <w:t>、新能源汽车及核心零部件、新一代移动通信及光伏新能源产业，形成金坛西部重要的工业板块和综合服务节点。</w:t>
                  </w:r>
                </w:p>
              </w:tc>
              <w:tc>
                <w:tcPr>
                  <w:tcW w:w="1784" w:type="pct"/>
                  <w:noWrap w:val="0"/>
                  <w:vAlign w:val="center"/>
                </w:tcPr>
                <w:p w14:paraId="07297AC5">
                  <w:pPr>
                    <w:adjustRightInd w:val="0"/>
                    <w:snapToGrid w:val="0"/>
                    <w:spacing w:line="360" w:lineRule="exact"/>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w:t>
                  </w:r>
                  <w:r>
                    <w:rPr>
                      <w:rFonts w:hint="eastAsia" w:ascii="Times New Roman" w:hAnsi="Times New Roman" w:eastAsia="宋体" w:cs="Times New Roman"/>
                      <w:color w:val="auto"/>
                      <w:sz w:val="21"/>
                      <w:szCs w:val="21"/>
                      <w:lang w:val="en-US" w:eastAsia="zh-CN"/>
                    </w:rPr>
                    <w:t>为</w:t>
                  </w:r>
                  <w:r>
                    <w:rPr>
                      <w:rFonts w:hint="eastAsia" w:ascii="Times New Roman" w:hAnsi="Times New Roman" w:eastAsia="宋体" w:cs="Times New Roman"/>
                      <w:color w:val="auto"/>
                      <w:kern w:val="2"/>
                      <w:sz w:val="21"/>
                      <w:szCs w:val="21"/>
                      <w:lang w:val="en-US" w:eastAsia="zh-CN" w:bidi="ar-SA"/>
                    </w:rPr>
                    <w:t>C2921塑料薄膜制造</w:t>
                  </w:r>
                  <w:r>
                    <w:rPr>
                      <w:rFonts w:hint="eastAsia" w:cs="Times New Roman"/>
                      <w:color w:val="auto"/>
                      <w:kern w:val="2"/>
                      <w:sz w:val="21"/>
                      <w:szCs w:val="21"/>
                      <w:lang w:val="en-US" w:eastAsia="zh-CN" w:bidi="ar-SA"/>
                    </w:rPr>
                    <w:t>和</w:t>
                  </w:r>
                  <w:r>
                    <w:rPr>
                      <w:rFonts w:hint="eastAsia" w:cs="Times New Roman"/>
                      <w:color w:val="auto"/>
                      <w:sz w:val="21"/>
                      <w:szCs w:val="21"/>
                      <w:lang w:val="en-US" w:eastAsia="zh-CN"/>
                    </w:rPr>
                    <w:t>C2923塑料丝、绳及编织品制造</w:t>
                  </w:r>
                  <w:r>
                    <w:rPr>
                      <w:rFonts w:hint="default" w:ascii="Times New Roman" w:hAnsi="Times New Roman" w:eastAsia="宋体" w:cs="Times New Roman"/>
                      <w:color w:val="auto"/>
                      <w:sz w:val="21"/>
                      <w:szCs w:val="21"/>
                      <w:lang w:val="en-US" w:eastAsia="zh-CN"/>
                    </w:rPr>
                    <w:t>，属于</w:t>
                  </w:r>
                  <w:r>
                    <w:rPr>
                      <w:rFonts w:hint="eastAsia" w:cs="Times New Roman"/>
                      <w:color w:val="auto"/>
                      <w:sz w:val="21"/>
                      <w:szCs w:val="21"/>
                      <w:lang w:val="en-US" w:eastAsia="zh-CN"/>
                    </w:rPr>
                    <w:t>服饰加工</w:t>
                  </w:r>
                  <w:r>
                    <w:rPr>
                      <w:rFonts w:hint="eastAsia" w:ascii="Times New Roman" w:hAnsi="Times New Roman" w:eastAsia="宋体" w:cs="Times New Roman"/>
                      <w:color w:val="auto"/>
                      <w:sz w:val="21"/>
                      <w:szCs w:val="21"/>
                      <w:lang w:val="en-US" w:eastAsia="zh-CN"/>
                    </w:rPr>
                    <w:t>配套产业</w:t>
                  </w:r>
                  <w:r>
                    <w:rPr>
                      <w:rFonts w:hint="default" w:ascii="Times New Roman" w:hAnsi="Times New Roman" w:eastAsia="宋体" w:cs="Times New Roman"/>
                      <w:color w:val="auto"/>
                      <w:sz w:val="21"/>
                      <w:szCs w:val="21"/>
                      <w:lang w:val="en-US" w:eastAsia="zh-CN"/>
                    </w:rPr>
                    <w:t>，符合园区产业定位</w:t>
                  </w:r>
                  <w:r>
                    <w:rPr>
                      <w:rFonts w:hint="eastAsia" w:ascii="Times New Roman" w:hAnsi="Times New Roman" w:eastAsia="宋体" w:cs="Times New Roman"/>
                      <w:color w:val="auto"/>
                      <w:sz w:val="21"/>
                      <w:szCs w:val="21"/>
                    </w:rPr>
                    <w:t>。</w:t>
                  </w:r>
                </w:p>
              </w:tc>
              <w:tc>
                <w:tcPr>
                  <w:tcW w:w="322" w:type="pct"/>
                  <w:noWrap w:val="0"/>
                  <w:vAlign w:val="center"/>
                </w:tcPr>
                <w:p w14:paraId="5AA8463F">
                  <w:pPr>
                    <w:adjustRightInd w:val="0"/>
                    <w:snapToGrid w:val="0"/>
                    <w:spacing w:line="360" w:lineRule="exact"/>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3CF3B64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318" w:type="pct"/>
                  <w:vMerge w:val="restart"/>
                  <w:noWrap w:val="0"/>
                  <w:vAlign w:val="center"/>
                </w:tcPr>
                <w:p w14:paraId="2D1E21F4">
                  <w:pPr>
                    <w:adjustRightInd w:val="0"/>
                    <w:snapToGrid w:val="0"/>
                    <w:spacing w:line="360" w:lineRule="exact"/>
                    <w:jc w:val="center"/>
                    <w:rPr>
                      <w:color w:val="auto"/>
                      <w:sz w:val="21"/>
                      <w:szCs w:val="21"/>
                    </w:rPr>
                  </w:pPr>
                  <w:r>
                    <w:rPr>
                      <w:rFonts w:hint="eastAsia"/>
                      <w:color w:val="auto"/>
                      <w:sz w:val="21"/>
                      <w:szCs w:val="21"/>
                    </w:rPr>
                    <w:t>产业发展负面清单</w:t>
                  </w:r>
                </w:p>
              </w:tc>
              <w:tc>
                <w:tcPr>
                  <w:tcW w:w="311" w:type="pct"/>
                  <w:noWrap w:val="0"/>
                  <w:vAlign w:val="center"/>
                </w:tcPr>
                <w:p w14:paraId="0F26ADF9">
                  <w:pPr>
                    <w:adjustRightInd w:val="0"/>
                    <w:snapToGrid w:val="0"/>
                    <w:spacing w:line="360" w:lineRule="exact"/>
                    <w:jc w:val="center"/>
                    <w:rPr>
                      <w:color w:val="auto"/>
                      <w:sz w:val="21"/>
                      <w:szCs w:val="21"/>
                    </w:rPr>
                  </w:pPr>
                  <w:r>
                    <w:rPr>
                      <w:color w:val="auto"/>
                      <w:sz w:val="21"/>
                      <w:szCs w:val="21"/>
                    </w:rPr>
                    <w:t>类别</w:t>
                  </w:r>
                </w:p>
              </w:tc>
              <w:tc>
                <w:tcPr>
                  <w:tcW w:w="2265" w:type="pct"/>
                  <w:noWrap w:val="0"/>
                  <w:vAlign w:val="center"/>
                </w:tcPr>
                <w:p w14:paraId="73504140">
                  <w:pPr>
                    <w:adjustRightInd w:val="0"/>
                    <w:snapToGrid w:val="0"/>
                    <w:spacing w:line="360" w:lineRule="exact"/>
                    <w:jc w:val="center"/>
                    <w:rPr>
                      <w:color w:val="auto"/>
                      <w:sz w:val="21"/>
                      <w:szCs w:val="21"/>
                    </w:rPr>
                  </w:pPr>
                  <w:r>
                    <w:rPr>
                      <w:rFonts w:hint="eastAsia"/>
                      <w:color w:val="auto"/>
                      <w:sz w:val="21"/>
                      <w:szCs w:val="21"/>
                    </w:rPr>
                    <w:t>负面清单</w:t>
                  </w:r>
                </w:p>
              </w:tc>
              <w:tc>
                <w:tcPr>
                  <w:tcW w:w="1784" w:type="pct"/>
                  <w:noWrap w:val="0"/>
                  <w:vAlign w:val="center"/>
                </w:tcPr>
                <w:p w14:paraId="4F5E3ACB">
                  <w:pPr>
                    <w:adjustRightInd w:val="0"/>
                    <w:snapToGrid w:val="0"/>
                    <w:spacing w:line="360" w:lineRule="exact"/>
                    <w:jc w:val="center"/>
                    <w:rPr>
                      <w:color w:val="auto"/>
                      <w:sz w:val="21"/>
                      <w:szCs w:val="21"/>
                    </w:rPr>
                  </w:pPr>
                  <w:r>
                    <w:rPr>
                      <w:color w:val="auto"/>
                      <w:sz w:val="21"/>
                      <w:szCs w:val="21"/>
                    </w:rPr>
                    <w:t>本项目</w:t>
                  </w:r>
                  <w:r>
                    <w:rPr>
                      <w:rFonts w:hint="eastAsia"/>
                      <w:color w:val="auto"/>
                      <w:sz w:val="21"/>
                      <w:szCs w:val="21"/>
                    </w:rPr>
                    <w:t>情况</w:t>
                  </w:r>
                </w:p>
              </w:tc>
              <w:tc>
                <w:tcPr>
                  <w:tcW w:w="322" w:type="pct"/>
                  <w:vMerge w:val="restart"/>
                  <w:noWrap w:val="0"/>
                  <w:vAlign w:val="center"/>
                </w:tcPr>
                <w:p w14:paraId="3A0D18CC">
                  <w:pPr>
                    <w:adjustRightInd w:val="0"/>
                    <w:snapToGrid w:val="0"/>
                    <w:spacing w:line="360" w:lineRule="exact"/>
                    <w:jc w:val="center"/>
                    <w:rPr>
                      <w:color w:val="auto"/>
                      <w:sz w:val="21"/>
                      <w:szCs w:val="21"/>
                    </w:rPr>
                  </w:pPr>
                  <w:r>
                    <w:rPr>
                      <w:rFonts w:hint="default" w:ascii="Times New Roman" w:hAnsi="Times New Roman" w:eastAsia="宋体" w:cs="Times New Roman"/>
                      <w:b/>
                      <w:bCs/>
                      <w:color w:val="auto"/>
                      <w:sz w:val="21"/>
                      <w:szCs w:val="21"/>
                    </w:rPr>
                    <w:t>相符</w:t>
                  </w:r>
                </w:p>
              </w:tc>
            </w:tr>
            <w:tr w14:paraId="68CD927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318" w:type="pct"/>
                  <w:vMerge w:val="continue"/>
                  <w:noWrap w:val="0"/>
                  <w:vAlign w:val="center"/>
                </w:tcPr>
                <w:p w14:paraId="626ECDC3">
                  <w:pPr>
                    <w:adjustRightInd w:val="0"/>
                    <w:snapToGrid w:val="0"/>
                    <w:spacing w:line="360" w:lineRule="exact"/>
                    <w:jc w:val="center"/>
                    <w:rPr>
                      <w:rFonts w:hint="eastAsia"/>
                      <w:color w:val="auto"/>
                      <w:sz w:val="21"/>
                      <w:szCs w:val="21"/>
                    </w:rPr>
                  </w:pPr>
                </w:p>
              </w:tc>
              <w:tc>
                <w:tcPr>
                  <w:tcW w:w="311" w:type="pct"/>
                  <w:vMerge w:val="restart"/>
                  <w:noWrap w:val="0"/>
                  <w:vAlign w:val="center"/>
                </w:tcPr>
                <w:p w14:paraId="5DE338A9">
                  <w:pPr>
                    <w:adjustRightInd w:val="0"/>
                    <w:snapToGrid w:val="0"/>
                    <w:spacing w:line="360" w:lineRule="exact"/>
                    <w:jc w:val="center"/>
                    <w:rPr>
                      <w:color w:val="auto"/>
                      <w:sz w:val="21"/>
                      <w:szCs w:val="21"/>
                    </w:rPr>
                  </w:pPr>
                  <w:r>
                    <w:rPr>
                      <w:rFonts w:hint="eastAsia"/>
                      <w:color w:val="auto"/>
                      <w:sz w:val="21"/>
                      <w:szCs w:val="21"/>
                    </w:rPr>
                    <w:t>禁止引入类项目</w:t>
                  </w:r>
                </w:p>
              </w:tc>
              <w:tc>
                <w:tcPr>
                  <w:tcW w:w="2265" w:type="pct"/>
                  <w:noWrap w:val="0"/>
                  <w:vAlign w:val="center"/>
                </w:tcPr>
                <w:p w14:paraId="0D032ED2">
                  <w:pPr>
                    <w:adjustRightInd w:val="0"/>
                    <w:snapToGrid w:val="0"/>
                    <w:spacing w:line="360" w:lineRule="exact"/>
                    <w:rPr>
                      <w:color w:val="auto"/>
                      <w:sz w:val="21"/>
                      <w:szCs w:val="21"/>
                    </w:rPr>
                  </w:pPr>
                  <w:r>
                    <w:rPr>
                      <w:rFonts w:hint="eastAsia"/>
                      <w:bCs/>
                      <w:color w:val="auto"/>
                      <w:sz w:val="21"/>
                      <w:szCs w:val="21"/>
                    </w:rPr>
                    <w:t>禁止审批列入国家、省产业政策淘汰、限制类项目；不符合规划环评结论及审查意见的项目；属于《建设项目环境保护管理条例》第十一条5种不予批准的情形的项目；无法落实危险废物合理利用、处置途径的项目。</w:t>
                  </w:r>
                </w:p>
              </w:tc>
              <w:tc>
                <w:tcPr>
                  <w:tcW w:w="1784" w:type="pct"/>
                  <w:noWrap w:val="0"/>
                  <w:vAlign w:val="center"/>
                </w:tcPr>
                <w:p w14:paraId="52ADDEFC">
                  <w:pPr>
                    <w:adjustRightInd w:val="0"/>
                    <w:snapToGrid w:val="0"/>
                    <w:spacing w:line="360" w:lineRule="exact"/>
                    <w:rPr>
                      <w:color w:val="auto"/>
                      <w:sz w:val="21"/>
                      <w:szCs w:val="21"/>
                    </w:rPr>
                  </w:pPr>
                  <w:r>
                    <w:rPr>
                      <w:rFonts w:hint="eastAsia"/>
                      <w:color w:val="auto"/>
                      <w:sz w:val="21"/>
                      <w:szCs w:val="21"/>
                    </w:rPr>
                    <w:t>项目不属于国家、省产业政策淘汰、限制类项目，不属于《建设项目环境保护管理条例》</w:t>
                  </w:r>
                  <w:r>
                    <w:rPr>
                      <w:rFonts w:hint="eastAsia"/>
                      <w:bCs/>
                      <w:color w:val="auto"/>
                      <w:sz w:val="21"/>
                      <w:szCs w:val="21"/>
                    </w:rPr>
                    <w:t>第十一条5种不予批准的情形的项目，项目产生的危险废物均可落实处置途径。</w:t>
                  </w:r>
                </w:p>
              </w:tc>
              <w:tc>
                <w:tcPr>
                  <w:tcW w:w="322" w:type="pct"/>
                  <w:vMerge w:val="continue"/>
                  <w:noWrap w:val="0"/>
                  <w:vAlign w:val="center"/>
                </w:tcPr>
                <w:p w14:paraId="274DB5F6">
                  <w:pPr>
                    <w:adjustRightInd w:val="0"/>
                    <w:snapToGrid w:val="0"/>
                    <w:spacing w:line="360" w:lineRule="exact"/>
                    <w:jc w:val="center"/>
                    <w:rPr>
                      <w:color w:val="auto"/>
                      <w:sz w:val="21"/>
                      <w:szCs w:val="21"/>
                    </w:rPr>
                  </w:pPr>
                </w:p>
              </w:tc>
            </w:tr>
            <w:tr w14:paraId="21B1DE0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318" w:type="pct"/>
                  <w:vMerge w:val="continue"/>
                  <w:noWrap w:val="0"/>
                  <w:vAlign w:val="center"/>
                </w:tcPr>
                <w:p w14:paraId="404C2FA4">
                  <w:pPr>
                    <w:adjustRightInd w:val="0"/>
                    <w:snapToGrid w:val="0"/>
                    <w:spacing w:line="360" w:lineRule="exact"/>
                    <w:jc w:val="center"/>
                    <w:rPr>
                      <w:rFonts w:hint="eastAsia"/>
                      <w:color w:val="auto"/>
                      <w:sz w:val="21"/>
                      <w:szCs w:val="21"/>
                    </w:rPr>
                  </w:pPr>
                </w:p>
              </w:tc>
              <w:tc>
                <w:tcPr>
                  <w:tcW w:w="311" w:type="pct"/>
                  <w:vMerge w:val="continue"/>
                  <w:noWrap w:val="0"/>
                  <w:vAlign w:val="center"/>
                </w:tcPr>
                <w:p w14:paraId="50DF9B10">
                  <w:pPr>
                    <w:adjustRightInd w:val="0"/>
                    <w:snapToGrid w:val="0"/>
                    <w:spacing w:line="360" w:lineRule="exact"/>
                    <w:jc w:val="center"/>
                    <w:rPr>
                      <w:color w:val="auto"/>
                      <w:sz w:val="21"/>
                      <w:szCs w:val="21"/>
                    </w:rPr>
                  </w:pPr>
                </w:p>
              </w:tc>
              <w:tc>
                <w:tcPr>
                  <w:tcW w:w="2265" w:type="pct"/>
                  <w:noWrap w:val="0"/>
                  <w:vAlign w:val="center"/>
                </w:tcPr>
                <w:p w14:paraId="1FE325D3">
                  <w:pPr>
                    <w:adjustRightInd w:val="0"/>
                    <w:snapToGrid w:val="0"/>
                    <w:spacing w:line="360" w:lineRule="exact"/>
                    <w:rPr>
                      <w:color w:val="auto"/>
                      <w:sz w:val="21"/>
                      <w:szCs w:val="21"/>
                    </w:rPr>
                  </w:pPr>
                  <w:r>
                    <w:rPr>
                      <w:rFonts w:hint="eastAsia"/>
                      <w:bCs/>
                      <w:color w:val="auto"/>
                      <w:sz w:val="21"/>
                      <w:szCs w:val="21"/>
                    </w:rPr>
                    <w:t>严禁引进排放“三致”(致癌、致畸、致突变)且严重影响人身健康和环境质量的项目。</w:t>
                  </w:r>
                </w:p>
              </w:tc>
              <w:tc>
                <w:tcPr>
                  <w:tcW w:w="1784" w:type="pct"/>
                  <w:noWrap w:val="0"/>
                  <w:vAlign w:val="center"/>
                </w:tcPr>
                <w:p w14:paraId="1E7F8896">
                  <w:pPr>
                    <w:adjustRightInd w:val="0"/>
                    <w:snapToGrid w:val="0"/>
                    <w:spacing w:line="360" w:lineRule="exact"/>
                    <w:rPr>
                      <w:rFonts w:hint="eastAsia"/>
                      <w:color w:val="auto"/>
                      <w:sz w:val="21"/>
                      <w:szCs w:val="21"/>
                    </w:rPr>
                  </w:pPr>
                  <w:r>
                    <w:rPr>
                      <w:rFonts w:hint="eastAsia"/>
                      <w:color w:val="auto"/>
                      <w:sz w:val="21"/>
                      <w:szCs w:val="21"/>
                    </w:rPr>
                    <w:t>项目不涉及。</w:t>
                  </w:r>
                </w:p>
              </w:tc>
              <w:tc>
                <w:tcPr>
                  <w:tcW w:w="322" w:type="pct"/>
                  <w:vMerge w:val="continue"/>
                  <w:noWrap w:val="0"/>
                  <w:vAlign w:val="center"/>
                </w:tcPr>
                <w:p w14:paraId="786E7031">
                  <w:pPr>
                    <w:adjustRightInd w:val="0"/>
                    <w:snapToGrid w:val="0"/>
                    <w:spacing w:line="360" w:lineRule="exact"/>
                    <w:jc w:val="center"/>
                    <w:rPr>
                      <w:color w:val="auto"/>
                      <w:sz w:val="21"/>
                      <w:szCs w:val="21"/>
                    </w:rPr>
                  </w:pPr>
                </w:p>
              </w:tc>
            </w:tr>
            <w:tr w14:paraId="64B700F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318" w:type="pct"/>
                  <w:vMerge w:val="continue"/>
                  <w:noWrap w:val="0"/>
                  <w:vAlign w:val="center"/>
                </w:tcPr>
                <w:p w14:paraId="3A056C05">
                  <w:pPr>
                    <w:adjustRightInd w:val="0"/>
                    <w:snapToGrid w:val="0"/>
                    <w:spacing w:line="360" w:lineRule="exact"/>
                    <w:jc w:val="center"/>
                    <w:rPr>
                      <w:rFonts w:hint="eastAsia"/>
                      <w:color w:val="auto"/>
                      <w:sz w:val="21"/>
                      <w:szCs w:val="21"/>
                    </w:rPr>
                  </w:pPr>
                </w:p>
              </w:tc>
              <w:tc>
                <w:tcPr>
                  <w:tcW w:w="311" w:type="pct"/>
                  <w:vMerge w:val="continue"/>
                  <w:noWrap w:val="0"/>
                  <w:vAlign w:val="center"/>
                </w:tcPr>
                <w:p w14:paraId="02F40717">
                  <w:pPr>
                    <w:adjustRightInd w:val="0"/>
                    <w:snapToGrid w:val="0"/>
                    <w:spacing w:line="360" w:lineRule="exact"/>
                    <w:jc w:val="center"/>
                    <w:rPr>
                      <w:color w:val="auto"/>
                      <w:sz w:val="21"/>
                      <w:szCs w:val="21"/>
                    </w:rPr>
                  </w:pPr>
                </w:p>
              </w:tc>
              <w:tc>
                <w:tcPr>
                  <w:tcW w:w="2265" w:type="pct"/>
                  <w:noWrap w:val="0"/>
                  <w:vAlign w:val="center"/>
                </w:tcPr>
                <w:p w14:paraId="40A5B84A">
                  <w:pPr>
                    <w:adjustRightInd w:val="0"/>
                    <w:snapToGrid w:val="0"/>
                    <w:spacing w:line="360" w:lineRule="exact"/>
                    <w:rPr>
                      <w:color w:val="auto"/>
                      <w:sz w:val="21"/>
                      <w:szCs w:val="21"/>
                    </w:rPr>
                  </w:pPr>
                  <w:r>
                    <w:rPr>
                      <w:rFonts w:hint="eastAsia"/>
                      <w:bCs/>
                      <w:color w:val="auto"/>
                      <w:sz w:val="21"/>
                      <w:szCs w:val="21"/>
                    </w:rPr>
                    <w:t>禁止安全风险大、工艺设施落后、安全水平低的企业或项目进入。</w:t>
                  </w:r>
                </w:p>
              </w:tc>
              <w:tc>
                <w:tcPr>
                  <w:tcW w:w="1784" w:type="pct"/>
                  <w:noWrap w:val="0"/>
                  <w:vAlign w:val="center"/>
                </w:tcPr>
                <w:p w14:paraId="133D6B93">
                  <w:pPr>
                    <w:adjustRightInd w:val="0"/>
                    <w:snapToGrid w:val="0"/>
                    <w:spacing w:line="360" w:lineRule="exact"/>
                    <w:rPr>
                      <w:color w:val="auto"/>
                      <w:sz w:val="21"/>
                      <w:szCs w:val="21"/>
                    </w:rPr>
                  </w:pPr>
                  <w:r>
                    <w:rPr>
                      <w:rFonts w:hint="eastAsia"/>
                      <w:color w:val="auto"/>
                      <w:sz w:val="21"/>
                      <w:szCs w:val="21"/>
                    </w:rPr>
                    <w:t>项目不涉及。</w:t>
                  </w:r>
                </w:p>
              </w:tc>
              <w:tc>
                <w:tcPr>
                  <w:tcW w:w="322" w:type="pct"/>
                  <w:vMerge w:val="continue"/>
                  <w:noWrap w:val="0"/>
                  <w:vAlign w:val="center"/>
                </w:tcPr>
                <w:p w14:paraId="65F3961C">
                  <w:pPr>
                    <w:adjustRightInd w:val="0"/>
                    <w:snapToGrid w:val="0"/>
                    <w:spacing w:line="360" w:lineRule="exact"/>
                    <w:jc w:val="center"/>
                    <w:rPr>
                      <w:color w:val="auto"/>
                      <w:sz w:val="21"/>
                      <w:szCs w:val="21"/>
                    </w:rPr>
                  </w:pPr>
                </w:p>
              </w:tc>
            </w:tr>
            <w:tr w14:paraId="34ABA8A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318" w:type="pct"/>
                  <w:vMerge w:val="continue"/>
                  <w:noWrap w:val="0"/>
                  <w:vAlign w:val="center"/>
                </w:tcPr>
                <w:p w14:paraId="472D2DEA">
                  <w:pPr>
                    <w:adjustRightInd w:val="0"/>
                    <w:snapToGrid w:val="0"/>
                    <w:spacing w:line="360" w:lineRule="exact"/>
                    <w:jc w:val="center"/>
                    <w:rPr>
                      <w:rFonts w:hint="eastAsia"/>
                      <w:color w:val="auto"/>
                      <w:sz w:val="21"/>
                      <w:szCs w:val="21"/>
                    </w:rPr>
                  </w:pPr>
                </w:p>
              </w:tc>
              <w:tc>
                <w:tcPr>
                  <w:tcW w:w="311" w:type="pct"/>
                  <w:vMerge w:val="continue"/>
                  <w:noWrap w:val="0"/>
                  <w:vAlign w:val="center"/>
                </w:tcPr>
                <w:p w14:paraId="780D2F7D">
                  <w:pPr>
                    <w:adjustRightInd w:val="0"/>
                    <w:snapToGrid w:val="0"/>
                    <w:spacing w:line="360" w:lineRule="exact"/>
                    <w:jc w:val="center"/>
                    <w:rPr>
                      <w:color w:val="auto"/>
                      <w:sz w:val="21"/>
                      <w:szCs w:val="21"/>
                    </w:rPr>
                  </w:pPr>
                </w:p>
              </w:tc>
              <w:tc>
                <w:tcPr>
                  <w:tcW w:w="2265" w:type="pct"/>
                  <w:noWrap w:val="0"/>
                  <w:vAlign w:val="center"/>
                </w:tcPr>
                <w:p w14:paraId="1BDEF17C">
                  <w:pPr>
                    <w:adjustRightInd w:val="0"/>
                    <w:snapToGrid w:val="0"/>
                    <w:spacing w:line="360" w:lineRule="exact"/>
                    <w:rPr>
                      <w:rFonts w:hint="eastAsia"/>
                      <w:bCs/>
                      <w:color w:val="auto"/>
                      <w:sz w:val="21"/>
                      <w:szCs w:val="21"/>
                    </w:rPr>
                  </w:pPr>
                  <w:r>
                    <w:rPr>
                      <w:rFonts w:hint="eastAsia"/>
                      <w:bCs/>
                      <w:color w:val="auto"/>
                      <w:sz w:val="21"/>
                      <w:szCs w:val="21"/>
                    </w:rPr>
                    <w:t>禁止新建、扩建技术装备、污染排放、能耗达不到相关行业准入条件的项目。</w:t>
                  </w:r>
                </w:p>
              </w:tc>
              <w:tc>
                <w:tcPr>
                  <w:tcW w:w="1784" w:type="pct"/>
                  <w:noWrap w:val="0"/>
                  <w:vAlign w:val="center"/>
                </w:tcPr>
                <w:p w14:paraId="43C43B08">
                  <w:pPr>
                    <w:adjustRightInd w:val="0"/>
                    <w:snapToGrid w:val="0"/>
                    <w:spacing w:line="360" w:lineRule="exact"/>
                    <w:rPr>
                      <w:color w:val="auto"/>
                      <w:sz w:val="21"/>
                      <w:szCs w:val="21"/>
                    </w:rPr>
                  </w:pPr>
                  <w:r>
                    <w:rPr>
                      <w:rFonts w:hint="eastAsia"/>
                      <w:color w:val="auto"/>
                      <w:sz w:val="21"/>
                      <w:szCs w:val="21"/>
                    </w:rPr>
                    <w:t>项目技术装备、污染排放及能耗能够达到相关行业先进水平</w:t>
                  </w:r>
                </w:p>
              </w:tc>
              <w:tc>
                <w:tcPr>
                  <w:tcW w:w="322" w:type="pct"/>
                  <w:vMerge w:val="continue"/>
                  <w:noWrap w:val="0"/>
                  <w:vAlign w:val="center"/>
                </w:tcPr>
                <w:p w14:paraId="24C41957">
                  <w:pPr>
                    <w:adjustRightInd w:val="0"/>
                    <w:snapToGrid w:val="0"/>
                    <w:spacing w:line="360" w:lineRule="exact"/>
                    <w:jc w:val="center"/>
                    <w:rPr>
                      <w:color w:val="auto"/>
                      <w:sz w:val="21"/>
                      <w:szCs w:val="21"/>
                    </w:rPr>
                  </w:pPr>
                </w:p>
              </w:tc>
            </w:tr>
            <w:tr w14:paraId="277EC5E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318" w:type="pct"/>
                  <w:vMerge w:val="continue"/>
                  <w:noWrap w:val="0"/>
                  <w:vAlign w:val="center"/>
                </w:tcPr>
                <w:p w14:paraId="6CF71E0B">
                  <w:pPr>
                    <w:adjustRightInd w:val="0"/>
                    <w:snapToGrid w:val="0"/>
                    <w:spacing w:line="360" w:lineRule="exact"/>
                    <w:jc w:val="center"/>
                    <w:rPr>
                      <w:rFonts w:hint="eastAsia"/>
                      <w:color w:val="auto"/>
                      <w:sz w:val="21"/>
                      <w:szCs w:val="21"/>
                    </w:rPr>
                  </w:pPr>
                </w:p>
              </w:tc>
              <w:tc>
                <w:tcPr>
                  <w:tcW w:w="311" w:type="pct"/>
                  <w:vMerge w:val="continue"/>
                  <w:noWrap w:val="0"/>
                  <w:vAlign w:val="center"/>
                </w:tcPr>
                <w:p w14:paraId="0282460C">
                  <w:pPr>
                    <w:adjustRightInd w:val="0"/>
                    <w:snapToGrid w:val="0"/>
                    <w:spacing w:line="360" w:lineRule="exact"/>
                    <w:jc w:val="center"/>
                    <w:rPr>
                      <w:color w:val="auto"/>
                      <w:sz w:val="21"/>
                      <w:szCs w:val="21"/>
                    </w:rPr>
                  </w:pPr>
                </w:p>
              </w:tc>
              <w:tc>
                <w:tcPr>
                  <w:tcW w:w="2265" w:type="pct"/>
                  <w:noWrap w:val="0"/>
                  <w:vAlign w:val="center"/>
                </w:tcPr>
                <w:p w14:paraId="4424B3B0">
                  <w:pPr>
                    <w:adjustRightInd w:val="0"/>
                    <w:snapToGrid w:val="0"/>
                    <w:spacing w:line="360" w:lineRule="exact"/>
                    <w:rPr>
                      <w:color w:val="auto"/>
                      <w:sz w:val="21"/>
                      <w:szCs w:val="21"/>
                    </w:rPr>
                  </w:pPr>
                  <w:r>
                    <w:rPr>
                      <w:rFonts w:hint="eastAsia"/>
                      <w:bCs/>
                      <w:color w:val="auto"/>
                      <w:sz w:val="21"/>
                      <w:szCs w:val="21"/>
                    </w:rPr>
                    <w:t>禁止引入不符合现行《江苏省太湖水污染防治条例》要求的项目。</w:t>
                  </w:r>
                </w:p>
              </w:tc>
              <w:tc>
                <w:tcPr>
                  <w:tcW w:w="1784" w:type="pct"/>
                  <w:noWrap w:val="0"/>
                  <w:vAlign w:val="center"/>
                </w:tcPr>
                <w:p w14:paraId="709BB2E9">
                  <w:pPr>
                    <w:adjustRightInd w:val="0"/>
                    <w:snapToGrid w:val="0"/>
                    <w:spacing w:line="360" w:lineRule="exact"/>
                    <w:rPr>
                      <w:color w:val="auto"/>
                      <w:sz w:val="21"/>
                      <w:szCs w:val="21"/>
                    </w:rPr>
                  </w:pPr>
                  <w:r>
                    <w:rPr>
                      <w:rFonts w:hint="eastAsia"/>
                      <w:color w:val="auto"/>
                      <w:sz w:val="21"/>
                      <w:szCs w:val="21"/>
                    </w:rPr>
                    <w:t>生活污水接入市政污水管网，进入常州市金坛区溪城污水处理有限公司</w:t>
                  </w:r>
                </w:p>
              </w:tc>
              <w:tc>
                <w:tcPr>
                  <w:tcW w:w="322" w:type="pct"/>
                  <w:vMerge w:val="continue"/>
                  <w:noWrap w:val="0"/>
                  <w:vAlign w:val="center"/>
                </w:tcPr>
                <w:p w14:paraId="398CF28E">
                  <w:pPr>
                    <w:adjustRightInd w:val="0"/>
                    <w:snapToGrid w:val="0"/>
                    <w:spacing w:line="360" w:lineRule="exact"/>
                    <w:jc w:val="center"/>
                    <w:rPr>
                      <w:color w:val="auto"/>
                      <w:sz w:val="21"/>
                      <w:szCs w:val="21"/>
                    </w:rPr>
                  </w:pPr>
                </w:p>
              </w:tc>
            </w:tr>
            <w:tr w14:paraId="6E1A4C9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318" w:type="pct"/>
                  <w:vMerge w:val="continue"/>
                  <w:noWrap w:val="0"/>
                  <w:vAlign w:val="center"/>
                </w:tcPr>
                <w:p w14:paraId="15BBEB61">
                  <w:pPr>
                    <w:adjustRightInd w:val="0"/>
                    <w:snapToGrid w:val="0"/>
                    <w:spacing w:line="360" w:lineRule="exact"/>
                    <w:jc w:val="center"/>
                    <w:rPr>
                      <w:rFonts w:hint="eastAsia"/>
                      <w:color w:val="auto"/>
                      <w:sz w:val="21"/>
                      <w:szCs w:val="21"/>
                    </w:rPr>
                  </w:pPr>
                </w:p>
              </w:tc>
              <w:tc>
                <w:tcPr>
                  <w:tcW w:w="311" w:type="pct"/>
                  <w:noWrap w:val="0"/>
                  <w:vAlign w:val="center"/>
                </w:tcPr>
                <w:p w14:paraId="492BBA6E">
                  <w:pPr>
                    <w:adjustRightInd w:val="0"/>
                    <w:snapToGrid w:val="0"/>
                    <w:spacing w:line="360" w:lineRule="exact"/>
                    <w:jc w:val="center"/>
                    <w:rPr>
                      <w:rFonts w:hint="eastAsia"/>
                      <w:color w:val="auto"/>
                      <w:sz w:val="21"/>
                      <w:szCs w:val="21"/>
                    </w:rPr>
                  </w:pPr>
                  <w:r>
                    <w:rPr>
                      <w:rFonts w:hint="eastAsia"/>
                      <w:color w:val="auto"/>
                      <w:sz w:val="21"/>
                      <w:szCs w:val="21"/>
                    </w:rPr>
                    <w:t>限制引入</w:t>
                  </w:r>
                </w:p>
                <w:p w14:paraId="2A2597D4">
                  <w:pPr>
                    <w:adjustRightInd w:val="0"/>
                    <w:snapToGrid w:val="0"/>
                    <w:spacing w:line="360" w:lineRule="exact"/>
                    <w:jc w:val="center"/>
                    <w:rPr>
                      <w:color w:val="auto"/>
                      <w:sz w:val="21"/>
                      <w:szCs w:val="21"/>
                    </w:rPr>
                  </w:pPr>
                  <w:r>
                    <w:rPr>
                      <w:rFonts w:hint="eastAsia"/>
                      <w:color w:val="auto"/>
                      <w:sz w:val="21"/>
                      <w:szCs w:val="21"/>
                    </w:rPr>
                    <w:t>类项目</w:t>
                  </w:r>
                </w:p>
              </w:tc>
              <w:tc>
                <w:tcPr>
                  <w:tcW w:w="2265" w:type="pct"/>
                  <w:noWrap w:val="0"/>
                  <w:vAlign w:val="center"/>
                </w:tcPr>
                <w:p w14:paraId="15C6B8F0">
                  <w:pPr>
                    <w:adjustRightInd w:val="0"/>
                    <w:snapToGrid w:val="0"/>
                    <w:spacing w:line="360" w:lineRule="exact"/>
                    <w:rPr>
                      <w:rFonts w:hint="eastAsia"/>
                      <w:bCs/>
                      <w:color w:val="auto"/>
                      <w:sz w:val="21"/>
                      <w:szCs w:val="21"/>
                    </w:rPr>
                  </w:pPr>
                  <w:r>
                    <w:rPr>
                      <w:rFonts w:hint="eastAsia"/>
                      <w:bCs/>
                      <w:color w:val="auto"/>
                      <w:sz w:val="21"/>
                      <w:szCs w:val="21"/>
                    </w:rPr>
                    <w:t>工业园应严格限制氮氧化物、颗粒物排放量大的企业入区，并实行总量控制。</w:t>
                  </w:r>
                </w:p>
              </w:tc>
              <w:tc>
                <w:tcPr>
                  <w:tcW w:w="1784" w:type="pct"/>
                  <w:noWrap w:val="0"/>
                  <w:vAlign w:val="center"/>
                </w:tcPr>
                <w:p w14:paraId="4AEB0286">
                  <w:pPr>
                    <w:adjustRightInd w:val="0"/>
                    <w:snapToGrid w:val="0"/>
                    <w:spacing w:line="360" w:lineRule="exact"/>
                    <w:rPr>
                      <w:rFonts w:hint="eastAsia"/>
                      <w:color w:val="auto"/>
                      <w:sz w:val="21"/>
                      <w:szCs w:val="21"/>
                    </w:rPr>
                  </w:pPr>
                  <w:r>
                    <w:rPr>
                      <w:rFonts w:hint="eastAsia"/>
                      <w:color w:val="auto"/>
                      <w:sz w:val="21"/>
                      <w:szCs w:val="21"/>
                    </w:rPr>
                    <w:t>本项目废气污染物排放量较少，落实</w:t>
                  </w:r>
                  <w:r>
                    <w:rPr>
                      <w:rFonts w:hint="eastAsia"/>
                      <w:bCs/>
                      <w:color w:val="auto"/>
                      <w:sz w:val="21"/>
                      <w:szCs w:val="21"/>
                    </w:rPr>
                    <w:t>总量控制要求</w:t>
                  </w:r>
                  <w:r>
                    <w:rPr>
                      <w:rFonts w:hint="eastAsia"/>
                      <w:color w:val="auto"/>
                      <w:sz w:val="21"/>
                      <w:szCs w:val="21"/>
                    </w:rPr>
                    <w:t>。</w:t>
                  </w:r>
                </w:p>
              </w:tc>
              <w:tc>
                <w:tcPr>
                  <w:tcW w:w="322" w:type="pct"/>
                  <w:vMerge w:val="continue"/>
                  <w:noWrap w:val="0"/>
                  <w:vAlign w:val="center"/>
                </w:tcPr>
                <w:p w14:paraId="091671E3">
                  <w:pPr>
                    <w:adjustRightInd w:val="0"/>
                    <w:snapToGrid w:val="0"/>
                    <w:spacing w:line="360" w:lineRule="exact"/>
                    <w:jc w:val="center"/>
                    <w:rPr>
                      <w:color w:val="auto"/>
                      <w:sz w:val="21"/>
                      <w:szCs w:val="21"/>
                    </w:rPr>
                  </w:pPr>
                </w:p>
              </w:tc>
            </w:tr>
            <w:tr w14:paraId="0FCD6AE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318" w:type="pct"/>
                  <w:vMerge w:val="continue"/>
                  <w:noWrap w:val="0"/>
                  <w:vAlign w:val="center"/>
                </w:tcPr>
                <w:p w14:paraId="26914C7F">
                  <w:pPr>
                    <w:adjustRightInd w:val="0"/>
                    <w:snapToGrid w:val="0"/>
                    <w:spacing w:line="360" w:lineRule="exact"/>
                    <w:jc w:val="center"/>
                    <w:rPr>
                      <w:rFonts w:hint="eastAsia"/>
                      <w:color w:val="auto"/>
                      <w:sz w:val="21"/>
                      <w:szCs w:val="21"/>
                    </w:rPr>
                  </w:pPr>
                </w:p>
              </w:tc>
              <w:tc>
                <w:tcPr>
                  <w:tcW w:w="311" w:type="pct"/>
                  <w:noWrap w:val="0"/>
                  <w:vAlign w:val="center"/>
                </w:tcPr>
                <w:p w14:paraId="2CEDFD15">
                  <w:pPr>
                    <w:adjustRightInd w:val="0"/>
                    <w:snapToGrid w:val="0"/>
                    <w:spacing w:line="360" w:lineRule="exact"/>
                    <w:jc w:val="center"/>
                    <w:rPr>
                      <w:color w:val="auto"/>
                      <w:sz w:val="21"/>
                      <w:szCs w:val="21"/>
                    </w:rPr>
                  </w:pPr>
                  <w:r>
                    <w:rPr>
                      <w:rFonts w:hint="eastAsia"/>
                      <w:bCs/>
                      <w:color w:val="auto"/>
                      <w:sz w:val="21"/>
                      <w:szCs w:val="21"/>
                    </w:rPr>
                    <w:t>空间管制要求</w:t>
                  </w:r>
                </w:p>
              </w:tc>
              <w:tc>
                <w:tcPr>
                  <w:tcW w:w="2265" w:type="pct"/>
                  <w:noWrap w:val="0"/>
                  <w:vAlign w:val="center"/>
                </w:tcPr>
                <w:p w14:paraId="2169D7D3">
                  <w:pPr>
                    <w:adjustRightInd w:val="0"/>
                    <w:snapToGrid w:val="0"/>
                    <w:spacing w:line="360" w:lineRule="exact"/>
                    <w:rPr>
                      <w:color w:val="auto"/>
                      <w:sz w:val="21"/>
                      <w:szCs w:val="21"/>
                    </w:rPr>
                  </w:pPr>
                  <w:r>
                    <w:rPr>
                      <w:rFonts w:hint="eastAsia"/>
                      <w:bCs/>
                      <w:color w:val="auto"/>
                      <w:sz w:val="21"/>
                      <w:szCs w:val="21"/>
                    </w:rPr>
                    <w:t>不能满足环评测算出的环境防护距离，或环评事故风险防范和应急措施难以落实到位的项目。</w:t>
                  </w:r>
                </w:p>
              </w:tc>
              <w:tc>
                <w:tcPr>
                  <w:tcW w:w="1784" w:type="pct"/>
                  <w:noWrap w:val="0"/>
                  <w:vAlign w:val="center"/>
                </w:tcPr>
                <w:p w14:paraId="0DD17964">
                  <w:pPr>
                    <w:adjustRightInd w:val="0"/>
                    <w:snapToGrid w:val="0"/>
                    <w:spacing w:line="360" w:lineRule="exact"/>
                    <w:rPr>
                      <w:color w:val="auto"/>
                      <w:sz w:val="21"/>
                      <w:szCs w:val="21"/>
                    </w:rPr>
                  </w:pPr>
                  <w:r>
                    <w:rPr>
                      <w:rFonts w:hint="eastAsia"/>
                      <w:color w:val="auto"/>
                      <w:sz w:val="21"/>
                      <w:szCs w:val="21"/>
                    </w:rPr>
                    <w:t>本项目卫生防护距离为生产车间边界外扩</w:t>
                  </w:r>
                  <w:r>
                    <w:rPr>
                      <w:rFonts w:hint="eastAsia"/>
                      <w:color w:val="auto"/>
                      <w:sz w:val="21"/>
                      <w:szCs w:val="21"/>
                      <w:lang w:val="en-US" w:eastAsia="zh-CN"/>
                    </w:rPr>
                    <w:t>5</w:t>
                  </w:r>
                  <w:r>
                    <w:rPr>
                      <w:color w:val="auto"/>
                      <w:sz w:val="21"/>
                      <w:szCs w:val="21"/>
                    </w:rPr>
                    <w:t>0</w:t>
                  </w:r>
                  <w:r>
                    <w:rPr>
                      <w:rFonts w:hint="eastAsia"/>
                      <w:color w:val="auto"/>
                      <w:sz w:val="21"/>
                      <w:szCs w:val="21"/>
                    </w:rPr>
                    <w:t>m，该范围不存在居民点、学校等环境敏感保护目标；项目按要求落实环境风险防范和应急措施</w:t>
                  </w:r>
                </w:p>
              </w:tc>
              <w:tc>
                <w:tcPr>
                  <w:tcW w:w="322" w:type="pct"/>
                  <w:vMerge w:val="continue"/>
                  <w:noWrap w:val="0"/>
                  <w:vAlign w:val="center"/>
                </w:tcPr>
                <w:p w14:paraId="6140C893">
                  <w:pPr>
                    <w:adjustRightInd w:val="0"/>
                    <w:snapToGrid w:val="0"/>
                    <w:spacing w:line="360" w:lineRule="exact"/>
                    <w:jc w:val="center"/>
                    <w:rPr>
                      <w:color w:val="auto"/>
                      <w:sz w:val="21"/>
                      <w:szCs w:val="21"/>
                    </w:rPr>
                  </w:pPr>
                </w:p>
              </w:tc>
            </w:tr>
            <w:tr w14:paraId="2CED722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318" w:type="pct"/>
                  <w:vMerge w:val="continue"/>
                  <w:noWrap w:val="0"/>
                  <w:vAlign w:val="center"/>
                </w:tcPr>
                <w:p w14:paraId="1326C1B0">
                  <w:pPr>
                    <w:adjustRightInd w:val="0"/>
                    <w:snapToGrid w:val="0"/>
                    <w:spacing w:line="360" w:lineRule="exact"/>
                    <w:jc w:val="center"/>
                    <w:rPr>
                      <w:rFonts w:hint="eastAsia"/>
                      <w:color w:val="auto"/>
                      <w:sz w:val="21"/>
                      <w:szCs w:val="21"/>
                    </w:rPr>
                  </w:pPr>
                </w:p>
              </w:tc>
              <w:tc>
                <w:tcPr>
                  <w:tcW w:w="311" w:type="pct"/>
                  <w:noWrap w:val="0"/>
                  <w:vAlign w:val="center"/>
                </w:tcPr>
                <w:p w14:paraId="540ECE85">
                  <w:pPr>
                    <w:adjustRightInd w:val="0"/>
                    <w:snapToGrid w:val="0"/>
                    <w:spacing w:line="360" w:lineRule="exact"/>
                    <w:jc w:val="center"/>
                    <w:rPr>
                      <w:color w:val="auto"/>
                      <w:sz w:val="21"/>
                      <w:szCs w:val="21"/>
                    </w:rPr>
                  </w:pPr>
                  <w:r>
                    <w:rPr>
                      <w:rFonts w:hint="eastAsia"/>
                      <w:color w:val="auto"/>
                      <w:sz w:val="21"/>
                      <w:szCs w:val="21"/>
                    </w:rPr>
                    <w:t>污染物排放总量控制</w:t>
                  </w:r>
                </w:p>
              </w:tc>
              <w:tc>
                <w:tcPr>
                  <w:tcW w:w="2265" w:type="pct"/>
                  <w:noWrap w:val="0"/>
                  <w:vAlign w:val="center"/>
                </w:tcPr>
                <w:p w14:paraId="6A698663">
                  <w:pPr>
                    <w:adjustRightInd w:val="0"/>
                    <w:snapToGrid w:val="0"/>
                    <w:spacing w:line="360" w:lineRule="exact"/>
                    <w:rPr>
                      <w:bCs/>
                      <w:color w:val="auto"/>
                      <w:sz w:val="21"/>
                      <w:szCs w:val="21"/>
                    </w:rPr>
                  </w:pPr>
                  <w:r>
                    <w:rPr>
                      <w:rFonts w:hint="eastAsia"/>
                      <w:bCs/>
                      <w:color w:val="auto"/>
                      <w:sz w:val="21"/>
                      <w:szCs w:val="21"/>
                    </w:rPr>
                    <w:t>大气污染物：二氧化硫53.1吨/年、烟(粉)尘36.494吨/年、氮氧化物43.38吨/年、挥发性有机物27.885吨/年。</w:t>
                  </w:r>
                </w:p>
                <w:p w14:paraId="34D11DCA">
                  <w:pPr>
                    <w:adjustRightInd w:val="0"/>
                    <w:snapToGrid w:val="0"/>
                    <w:spacing w:line="360" w:lineRule="exact"/>
                    <w:rPr>
                      <w:color w:val="auto"/>
                      <w:sz w:val="21"/>
                      <w:szCs w:val="21"/>
                    </w:rPr>
                  </w:pPr>
                  <w:r>
                    <w:rPr>
                      <w:rFonts w:hint="eastAsia"/>
                      <w:bCs/>
                      <w:color w:val="auto"/>
                      <w:sz w:val="21"/>
                      <w:szCs w:val="21"/>
                    </w:rPr>
                    <w:t>废水污染物(排入外环境量)：废水排放量417.38万立方米/年，COD208.69吨/年、氨氮16.7吨/年、总磷2.09 吨/年。</w:t>
                  </w:r>
                </w:p>
              </w:tc>
              <w:tc>
                <w:tcPr>
                  <w:tcW w:w="1784" w:type="pct"/>
                  <w:noWrap w:val="0"/>
                  <w:vAlign w:val="center"/>
                </w:tcPr>
                <w:p w14:paraId="44CF6CC2">
                  <w:pPr>
                    <w:adjustRightInd w:val="0"/>
                    <w:snapToGrid w:val="0"/>
                    <w:spacing w:line="360" w:lineRule="exact"/>
                    <w:rPr>
                      <w:color w:val="auto"/>
                      <w:sz w:val="21"/>
                      <w:szCs w:val="21"/>
                    </w:rPr>
                  </w:pPr>
                  <w:r>
                    <w:rPr>
                      <w:rFonts w:hint="eastAsia"/>
                      <w:color w:val="auto"/>
                      <w:sz w:val="21"/>
                      <w:szCs w:val="21"/>
                    </w:rPr>
                    <w:t>本项目废气、废水污染物排放量较少，不突破园区总量控制要求。</w:t>
                  </w:r>
                </w:p>
              </w:tc>
              <w:tc>
                <w:tcPr>
                  <w:tcW w:w="322" w:type="pct"/>
                  <w:vMerge w:val="continue"/>
                  <w:noWrap w:val="0"/>
                  <w:vAlign w:val="center"/>
                </w:tcPr>
                <w:p w14:paraId="40ED50A7">
                  <w:pPr>
                    <w:adjustRightInd w:val="0"/>
                    <w:snapToGrid w:val="0"/>
                    <w:spacing w:line="360" w:lineRule="exact"/>
                    <w:jc w:val="center"/>
                    <w:rPr>
                      <w:color w:val="auto"/>
                      <w:sz w:val="21"/>
                      <w:szCs w:val="21"/>
                    </w:rPr>
                  </w:pPr>
                </w:p>
              </w:tc>
            </w:tr>
          </w:tbl>
          <w:p w14:paraId="2255888C">
            <w:pPr>
              <w:widowControl/>
              <w:adjustRightInd w:val="0"/>
              <w:snapToGrid w:val="0"/>
              <w:spacing w:line="480" w:lineRule="exact"/>
              <w:ind w:firstLine="420" w:firstLineChars="200"/>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综上所述，</w:t>
            </w:r>
            <w:r>
              <w:rPr>
                <w:rFonts w:hint="eastAsia" w:ascii="Times New Roman" w:hAnsi="Times New Roman" w:eastAsia="宋体" w:cs="Times New Roman"/>
                <w:color w:val="auto"/>
                <w:sz w:val="21"/>
                <w:szCs w:val="21"/>
              </w:rPr>
              <w:t>本项目位于</w:t>
            </w:r>
            <w:r>
              <w:rPr>
                <w:rFonts w:hint="eastAsia" w:cs="Times New Roman"/>
                <w:color w:val="auto"/>
                <w:sz w:val="21"/>
                <w:szCs w:val="21"/>
                <w:lang w:eastAsia="zh-CN"/>
              </w:rPr>
              <w:t>朱林镇创业路101号</w:t>
            </w:r>
            <w:r>
              <w:rPr>
                <w:rFonts w:hint="eastAsia" w:ascii="Times New Roman" w:hAnsi="Times New Roman" w:eastAsia="宋体" w:cs="Times New Roman"/>
                <w:color w:val="auto"/>
                <w:sz w:val="21"/>
                <w:szCs w:val="21"/>
              </w:rPr>
              <w:t>，在金坛经济开发区朱林现代产业园范围内，</w:t>
            </w:r>
            <w:r>
              <w:rPr>
                <w:rFonts w:hint="eastAsia" w:ascii="Times New Roman" w:hAnsi="Times New Roman" w:eastAsia="宋体" w:cs="Times New Roman"/>
                <w:color w:val="auto"/>
                <w:sz w:val="21"/>
                <w:szCs w:val="21"/>
                <w:lang w:val="en-US" w:eastAsia="zh-CN"/>
              </w:rPr>
              <w:t>属于</w:t>
            </w:r>
            <w:r>
              <w:rPr>
                <w:rFonts w:hint="eastAsia" w:ascii="Times New Roman" w:hAnsi="Times New Roman" w:eastAsia="宋体" w:cs="Times New Roman"/>
                <w:color w:val="auto"/>
                <w:kern w:val="2"/>
                <w:sz w:val="21"/>
                <w:szCs w:val="21"/>
                <w:lang w:val="en-US" w:eastAsia="zh-CN" w:bidi="ar-SA"/>
              </w:rPr>
              <w:t>C2921塑料薄膜制造</w:t>
            </w:r>
            <w:r>
              <w:rPr>
                <w:rFonts w:hint="eastAsia" w:cs="Times New Roman"/>
                <w:color w:val="auto"/>
                <w:kern w:val="2"/>
                <w:sz w:val="21"/>
                <w:szCs w:val="21"/>
                <w:lang w:val="en-US" w:eastAsia="zh-CN" w:bidi="ar-SA"/>
              </w:rPr>
              <w:t>和</w:t>
            </w:r>
            <w:r>
              <w:rPr>
                <w:rFonts w:hint="eastAsia" w:cs="Times New Roman"/>
                <w:color w:val="auto"/>
                <w:sz w:val="21"/>
                <w:szCs w:val="21"/>
                <w:lang w:val="en-US" w:eastAsia="zh-CN"/>
              </w:rPr>
              <w:t>C2923塑料丝、绳及编织品制造</w:t>
            </w:r>
            <w:r>
              <w:rPr>
                <w:rFonts w:hint="default" w:ascii="Times New Roman" w:hAnsi="Times New Roman" w:eastAsia="宋体" w:cs="Times New Roman"/>
                <w:color w:val="auto"/>
                <w:sz w:val="21"/>
                <w:szCs w:val="21"/>
              </w:rPr>
              <w:t>，符合园区产业定位</w:t>
            </w:r>
            <w:r>
              <w:rPr>
                <w:rFonts w:hint="eastAsia"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rPr>
              <w:t>选址符合区域用地规划要求</w:t>
            </w:r>
            <w:r>
              <w:rPr>
                <w:rFonts w:hint="eastAsia" w:ascii="Times New Roman" w:hAnsi="Times New Roman" w:eastAsia="宋体" w:cs="Times New Roman"/>
                <w:color w:val="auto"/>
                <w:sz w:val="21"/>
                <w:szCs w:val="21"/>
              </w:rPr>
              <w:t>。</w:t>
            </w:r>
          </w:p>
        </w:tc>
      </w:tr>
      <w:tr w14:paraId="3768A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8" w:hRule="atLeast"/>
          <w:jc w:val="center"/>
        </w:trPr>
        <w:tc>
          <w:tcPr>
            <w:tcW w:w="619" w:type="dxa"/>
            <w:vAlign w:val="center"/>
          </w:tcPr>
          <w:p w14:paraId="70715191">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其他符合性分析</w:t>
            </w:r>
          </w:p>
        </w:tc>
        <w:tc>
          <w:tcPr>
            <w:tcW w:w="8285" w:type="dxa"/>
            <w:gridSpan w:val="4"/>
            <w:vAlign w:val="center"/>
          </w:tcPr>
          <w:p w14:paraId="1B7DAB9C">
            <w:pPr>
              <w:keepNext w:val="0"/>
              <w:keepLines w:val="0"/>
              <w:pageBreakBefore w:val="0"/>
              <w:widowControl w:val="0"/>
              <w:numPr>
                <w:ilvl w:val="0"/>
                <w:numId w:val="2"/>
              </w:numPr>
              <w:kinsoku/>
              <w:wordWrap/>
              <w:overflowPunct/>
              <w:topLinePunct w:val="0"/>
              <w:autoSpaceDE w:val="0"/>
              <w:autoSpaceDN w:val="0"/>
              <w:bidi w:val="0"/>
              <w:adjustRightInd w:val="0"/>
              <w:snapToGrid w:val="0"/>
              <w:spacing w:line="500" w:lineRule="exact"/>
              <w:ind w:firstLine="422" w:firstLineChars="200"/>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val="en-US" w:eastAsia="zh-CN"/>
              </w:rPr>
              <w:t>与</w:t>
            </w:r>
            <w:r>
              <w:rPr>
                <w:rFonts w:hint="eastAsia" w:ascii="Times New Roman" w:hAnsi="Times New Roman" w:eastAsia="宋体" w:cs="Times New Roman"/>
                <w:b/>
                <w:bCs/>
                <w:color w:val="auto"/>
                <w:sz w:val="21"/>
                <w:szCs w:val="21"/>
                <w:lang w:eastAsia="zh-CN"/>
              </w:rPr>
              <w:t>《省政府关于溧阳市、金坛区、武进区、新北区、天宁区、钟楼区国土空间总体规划（2021－2035年）的批复》（苏政复</w:t>
            </w:r>
            <w:r>
              <w:rPr>
                <w:rFonts w:hint="eastAsia" w:cs="Times New Roman"/>
                <w:b/>
                <w:bCs/>
                <w:color w:val="auto"/>
                <w:sz w:val="21"/>
                <w:szCs w:val="21"/>
                <w:lang w:eastAsia="zh-CN"/>
              </w:rPr>
              <w:t>〔2025〕6号</w:t>
            </w:r>
            <w:r>
              <w:rPr>
                <w:rFonts w:hint="eastAsia" w:ascii="Times New Roman" w:hAnsi="Times New Roman" w:eastAsia="宋体" w:cs="Times New Roman"/>
                <w:b/>
                <w:bCs/>
                <w:color w:val="auto"/>
                <w:sz w:val="21"/>
                <w:szCs w:val="21"/>
                <w:lang w:eastAsia="zh-CN"/>
              </w:rPr>
              <w:t>）相符性分析</w:t>
            </w:r>
          </w:p>
          <w:p w14:paraId="1451F1E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val="0"/>
                <w:bCs w:val="0"/>
                <w:color w:val="auto"/>
                <w:sz w:val="21"/>
                <w:szCs w:val="21"/>
                <w:lang w:val="en-US" w:eastAsia="zh-CN"/>
              </w:rPr>
              <w:t>根据</w:t>
            </w:r>
            <w:r>
              <w:rPr>
                <w:rFonts w:hint="eastAsia" w:ascii="Times New Roman" w:hAnsi="Times New Roman" w:eastAsia="宋体" w:cs="Times New Roman"/>
                <w:b w:val="0"/>
                <w:bCs w:val="0"/>
                <w:color w:val="auto"/>
                <w:sz w:val="21"/>
                <w:szCs w:val="21"/>
                <w:lang w:eastAsia="zh-CN"/>
              </w:rPr>
              <w:t>苏政复</w:t>
            </w:r>
            <w:r>
              <w:rPr>
                <w:rFonts w:hint="eastAsia" w:cs="Times New Roman"/>
                <w:b w:val="0"/>
                <w:bCs w:val="0"/>
                <w:color w:val="auto"/>
                <w:sz w:val="21"/>
                <w:szCs w:val="21"/>
                <w:lang w:eastAsia="zh-CN"/>
              </w:rPr>
              <w:t>〔2025〕6号</w:t>
            </w:r>
            <w:r>
              <w:rPr>
                <w:rFonts w:hint="eastAsia" w:ascii="Times New Roman" w:hAnsi="Times New Roman" w:eastAsia="宋体" w:cs="Times New Roman"/>
                <w:b w:val="0"/>
                <w:bCs w:val="0"/>
                <w:color w:val="auto"/>
                <w:sz w:val="21"/>
                <w:szCs w:val="21"/>
                <w:lang w:val="en-US" w:eastAsia="zh-CN"/>
              </w:rPr>
              <w:t>要求，</w:t>
            </w:r>
            <w:r>
              <w:rPr>
                <w:rFonts w:hint="eastAsia" w:ascii="Times New Roman" w:hAnsi="Times New Roman" w:eastAsia="宋体" w:cs="Times New Roman"/>
                <w:b w:val="0"/>
                <w:bCs w:val="0"/>
                <w:color w:val="auto"/>
                <w:sz w:val="21"/>
                <w:szCs w:val="21"/>
                <w:lang w:eastAsia="zh-CN"/>
              </w:rPr>
              <w:t>“金坛区耕地保有量不低于31.3770万亩（永久基本农田保护面积不低于28.8140万亩，含委托易地代保任务0.5500万亩），生态保护红线面积不低于98.6663平方千米，城镇开发边界扩展倍数控制在基于2020年城镇建设用地规模的1.3636倍”。</w:t>
            </w:r>
            <w:r>
              <w:rPr>
                <w:rFonts w:hint="eastAsia" w:ascii="Times New Roman" w:hAnsi="Times New Roman" w:eastAsia="宋体" w:cs="Times New Roman"/>
                <w:b w:val="0"/>
                <w:bCs w:val="0"/>
                <w:color w:val="auto"/>
                <w:sz w:val="21"/>
                <w:szCs w:val="21"/>
                <w:lang w:val="en-US" w:eastAsia="zh-CN"/>
              </w:rPr>
              <w:t>本项目</w:t>
            </w:r>
            <w:r>
              <w:rPr>
                <w:rFonts w:hint="eastAsia" w:ascii="Times New Roman" w:hAnsi="Times New Roman" w:eastAsia="宋体" w:cs="Times New Roman"/>
                <w:color w:val="auto"/>
                <w:sz w:val="21"/>
                <w:szCs w:val="21"/>
                <w:lang w:val="en-US" w:eastAsia="zh-CN"/>
              </w:rPr>
              <w:t>位于</w:t>
            </w:r>
            <w:r>
              <w:rPr>
                <w:rFonts w:hint="eastAsia" w:cs="Times New Roman"/>
                <w:color w:val="auto"/>
                <w:sz w:val="21"/>
                <w:szCs w:val="21"/>
                <w:lang w:eastAsia="zh-CN"/>
              </w:rPr>
              <w:t>常州市金坛区朱林镇创业路101号</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位于</w:t>
            </w:r>
            <w:r>
              <w:rPr>
                <w:rFonts w:hint="default" w:ascii="Times New Roman" w:hAnsi="Times New Roman" w:eastAsia="宋体" w:cs="Times New Roman"/>
                <w:b w:val="0"/>
                <w:bCs w:val="0"/>
                <w:color w:val="auto"/>
                <w:sz w:val="21"/>
                <w:szCs w:val="21"/>
                <w:lang w:eastAsia="zh-CN"/>
              </w:rPr>
              <w:t>城镇开发边界</w:t>
            </w:r>
            <w:r>
              <w:rPr>
                <w:rFonts w:hint="eastAsia" w:ascii="Times New Roman" w:hAnsi="Times New Roman" w:eastAsia="宋体" w:cs="Times New Roman"/>
                <w:b w:val="0"/>
                <w:bCs w:val="0"/>
                <w:color w:val="auto"/>
                <w:sz w:val="21"/>
                <w:szCs w:val="21"/>
                <w:lang w:val="en-US" w:eastAsia="zh-CN"/>
              </w:rPr>
              <w:t>内</w:t>
            </w:r>
            <w:r>
              <w:rPr>
                <w:rFonts w:hint="eastAsia" w:ascii="Times New Roman" w:hAnsi="Times New Roman" w:eastAsia="宋体" w:cs="Times New Roman"/>
                <w:b w:val="0"/>
                <w:bCs w:val="0"/>
                <w:color w:val="auto"/>
                <w:sz w:val="21"/>
                <w:szCs w:val="21"/>
                <w:lang w:eastAsia="zh-CN"/>
              </w:rPr>
              <w:t>，不涉及基本农田及生态红线，符合苏政复</w:t>
            </w:r>
            <w:r>
              <w:rPr>
                <w:rFonts w:hint="eastAsia" w:cs="Times New Roman"/>
                <w:b w:val="0"/>
                <w:bCs w:val="0"/>
                <w:color w:val="auto"/>
                <w:sz w:val="21"/>
                <w:szCs w:val="21"/>
                <w:lang w:eastAsia="zh-CN"/>
              </w:rPr>
              <w:t>〔2025〕6号</w:t>
            </w:r>
            <w:r>
              <w:rPr>
                <w:rFonts w:hint="eastAsia" w:ascii="Times New Roman" w:hAnsi="Times New Roman" w:eastAsia="宋体" w:cs="Times New Roman"/>
                <w:b w:val="0"/>
                <w:bCs w:val="0"/>
                <w:color w:val="auto"/>
                <w:sz w:val="21"/>
                <w:szCs w:val="21"/>
                <w:lang w:val="en-US" w:eastAsia="zh-CN"/>
              </w:rPr>
              <w:t>文件</w:t>
            </w:r>
            <w:r>
              <w:rPr>
                <w:rFonts w:hint="eastAsia" w:ascii="Times New Roman" w:hAnsi="Times New Roman" w:eastAsia="宋体" w:cs="Times New Roman"/>
                <w:b w:val="0"/>
                <w:bCs w:val="0"/>
                <w:color w:val="auto"/>
                <w:sz w:val="21"/>
                <w:szCs w:val="21"/>
                <w:lang w:eastAsia="zh-CN"/>
              </w:rPr>
              <w:t>要求</w:t>
            </w:r>
            <w:r>
              <w:rPr>
                <w:rFonts w:hint="eastAsia" w:ascii="Times New Roman" w:hAnsi="Times New Roman" w:eastAsia="宋体" w:cs="Times New Roman"/>
                <w:color w:val="auto"/>
                <w:sz w:val="21"/>
                <w:szCs w:val="21"/>
                <w:lang w:eastAsia="zh-CN"/>
              </w:rPr>
              <w:t>。</w:t>
            </w:r>
          </w:p>
          <w:p w14:paraId="02E00DC6">
            <w:pPr>
              <w:keepNext w:val="0"/>
              <w:keepLines w:val="0"/>
              <w:pageBreakBefore w:val="0"/>
              <w:widowControl w:val="0"/>
              <w:kinsoku/>
              <w:wordWrap/>
              <w:overflowPunct/>
              <w:topLinePunct w:val="0"/>
              <w:autoSpaceDE w:val="0"/>
              <w:autoSpaceDN w:val="0"/>
              <w:bidi w:val="0"/>
              <w:adjustRightInd w:val="0"/>
              <w:snapToGrid w:val="0"/>
              <w:spacing w:line="500" w:lineRule="exact"/>
              <w:ind w:firstLine="422" w:firstLineChars="200"/>
              <w:textAlignment w:val="auto"/>
              <w:rPr>
                <w:rFonts w:hint="default" w:ascii="Times New Roman" w:hAnsi="Times New Roman" w:eastAsia="宋体" w:cs="Times New Roman"/>
                <w:b/>
                <w:bCs/>
                <w:color w:val="auto"/>
                <w:sz w:val="21"/>
                <w:szCs w:val="21"/>
                <w:lang w:eastAsia="zh-CN"/>
              </w:rPr>
            </w:pPr>
            <w:r>
              <w:rPr>
                <w:rFonts w:hint="eastAsia" w:cs="Times New Roman"/>
                <w:b/>
                <w:color w:val="auto"/>
                <w:sz w:val="21"/>
                <w:szCs w:val="21"/>
                <w:lang w:val="en-US" w:eastAsia="zh-CN"/>
              </w:rPr>
              <w:t>2、</w:t>
            </w:r>
            <w:r>
              <w:rPr>
                <w:rFonts w:hint="eastAsia" w:ascii="Times New Roman" w:hAnsi="Times New Roman" w:eastAsia="宋体" w:cs="Times New Roman"/>
                <w:b/>
                <w:bCs/>
                <w:color w:val="auto"/>
                <w:sz w:val="21"/>
                <w:szCs w:val="21"/>
                <w:lang w:eastAsia="zh-CN"/>
              </w:rPr>
              <w:t>与《常州市国土空间总体规划（2021—2035年）》相符性分析</w:t>
            </w:r>
          </w:p>
          <w:p w14:paraId="64A2E5E5">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textAlignment w:val="auto"/>
              <w:rPr>
                <w:rFonts w:hint="default" w:ascii="Times New Roman" w:hAnsi="Times New Roman" w:eastAsia="宋体" w:cs="Times New Roman"/>
                <w:b/>
                <w:color w:val="auto"/>
                <w:sz w:val="21"/>
                <w:szCs w:val="21"/>
              </w:rPr>
            </w:pPr>
            <w:r>
              <w:rPr>
                <w:rFonts w:hint="eastAsia" w:ascii="Times New Roman" w:hAnsi="Times New Roman" w:eastAsia="宋体" w:cs="Times New Roman"/>
                <w:color w:val="auto"/>
                <w:sz w:val="21"/>
                <w:szCs w:val="21"/>
                <w:lang w:eastAsia="zh-CN"/>
              </w:rPr>
              <w:t>根据《常州市国土空间总体规划图（2021—2035年）》，本项目</w:t>
            </w:r>
            <w:r>
              <w:rPr>
                <w:rFonts w:hint="default" w:ascii="Times New Roman" w:hAnsi="Times New Roman" w:eastAsia="宋体" w:cs="Times New Roman"/>
                <w:color w:val="auto"/>
                <w:sz w:val="21"/>
                <w:szCs w:val="21"/>
                <w:lang w:val="en-US" w:eastAsia="zh-CN"/>
              </w:rPr>
              <w:t>位于</w:t>
            </w:r>
            <w:r>
              <w:rPr>
                <w:rFonts w:hint="eastAsia" w:cs="Times New Roman"/>
                <w:color w:val="auto"/>
                <w:sz w:val="21"/>
                <w:szCs w:val="21"/>
                <w:lang w:eastAsia="zh-CN"/>
              </w:rPr>
              <w:t>常州市金坛区朱林镇创业路101号</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位于</w:t>
            </w:r>
            <w:r>
              <w:rPr>
                <w:rFonts w:hint="default" w:ascii="Times New Roman" w:hAnsi="Times New Roman" w:eastAsia="宋体" w:cs="Times New Roman"/>
                <w:color w:val="auto"/>
                <w:sz w:val="21"/>
                <w:szCs w:val="21"/>
                <w:lang w:eastAsia="zh-CN"/>
              </w:rPr>
              <w:t>城镇开发边界</w:t>
            </w:r>
            <w:r>
              <w:rPr>
                <w:rFonts w:hint="eastAsia" w:ascii="Times New Roman" w:hAnsi="Times New Roman" w:eastAsia="宋体" w:cs="Times New Roman"/>
                <w:color w:val="auto"/>
                <w:sz w:val="21"/>
                <w:szCs w:val="21"/>
                <w:lang w:val="en-US" w:eastAsia="zh-CN"/>
              </w:rPr>
              <w:t>内</w:t>
            </w:r>
            <w:r>
              <w:rPr>
                <w:rFonts w:hint="eastAsia" w:ascii="Times New Roman" w:hAnsi="Times New Roman" w:eastAsia="宋体" w:cs="Times New Roman"/>
                <w:color w:val="auto"/>
                <w:sz w:val="21"/>
                <w:szCs w:val="21"/>
                <w:lang w:eastAsia="zh-CN"/>
              </w:rPr>
              <w:t>，不涉及基本农田及生态红线，符合规划用地要求。</w:t>
            </w:r>
            <w:r>
              <w:rPr>
                <w:rFonts w:hint="default" w:ascii="Times New Roman" w:hAnsi="Times New Roman" w:eastAsia="宋体" w:cs="Times New Roman"/>
                <w:color w:val="auto"/>
                <w:sz w:val="21"/>
                <w:szCs w:val="21"/>
                <w:lang w:eastAsia="zh-CN"/>
              </w:rPr>
              <w:t>本项目国民经济行业类别属于“</w:t>
            </w:r>
            <w:r>
              <w:rPr>
                <w:rFonts w:hint="eastAsia" w:ascii="Times New Roman" w:hAnsi="Times New Roman" w:eastAsia="宋体" w:cs="Times New Roman"/>
                <w:color w:val="auto"/>
                <w:kern w:val="2"/>
                <w:sz w:val="21"/>
                <w:szCs w:val="21"/>
                <w:lang w:val="en-US" w:eastAsia="zh-CN" w:bidi="ar-SA"/>
              </w:rPr>
              <w:t>C2921塑料薄膜制造</w:t>
            </w:r>
            <w:r>
              <w:rPr>
                <w:rFonts w:hint="eastAsia" w:cs="Times New Roman"/>
                <w:color w:val="auto"/>
                <w:kern w:val="2"/>
                <w:sz w:val="21"/>
                <w:szCs w:val="21"/>
                <w:lang w:val="en-US" w:eastAsia="zh-CN" w:bidi="ar-SA"/>
              </w:rPr>
              <w:t>和</w:t>
            </w:r>
            <w:r>
              <w:rPr>
                <w:rFonts w:hint="eastAsia" w:cs="Times New Roman"/>
                <w:bCs/>
                <w:color w:val="auto"/>
                <w:sz w:val="21"/>
                <w:szCs w:val="21"/>
                <w:lang w:eastAsia="zh-CN"/>
              </w:rPr>
              <w:t>C2923塑料丝、绳及编织品制造</w:t>
            </w:r>
            <w:r>
              <w:rPr>
                <w:rFonts w:hint="default" w:ascii="Times New Roman" w:hAnsi="Times New Roman" w:eastAsia="宋体" w:cs="Times New Roman"/>
                <w:color w:val="auto"/>
                <w:sz w:val="21"/>
                <w:szCs w:val="21"/>
                <w:lang w:eastAsia="zh-CN"/>
              </w:rPr>
              <w:t>”，从事工业生产，用地性质符合要求。</w:t>
            </w:r>
          </w:p>
          <w:p w14:paraId="011BA136">
            <w:pPr>
              <w:keepNext w:val="0"/>
              <w:keepLines w:val="0"/>
              <w:pageBreakBefore w:val="0"/>
              <w:widowControl w:val="0"/>
              <w:kinsoku/>
              <w:wordWrap/>
              <w:overflowPunct/>
              <w:topLinePunct w:val="0"/>
              <w:autoSpaceDE w:val="0"/>
              <w:autoSpaceDN w:val="0"/>
              <w:bidi w:val="0"/>
              <w:adjustRightInd w:val="0"/>
              <w:snapToGrid w:val="0"/>
              <w:spacing w:line="500" w:lineRule="exact"/>
              <w:ind w:firstLine="422" w:firstLineChars="200"/>
              <w:textAlignment w:val="auto"/>
              <w:rPr>
                <w:rFonts w:hint="eastAsia" w:cs="Times New Roman"/>
                <w:b/>
                <w:bCs/>
                <w:color w:val="auto"/>
                <w:sz w:val="21"/>
                <w:szCs w:val="21"/>
                <w:lang w:val="en-US" w:eastAsia="zh-CN"/>
              </w:rPr>
            </w:pPr>
            <w:r>
              <w:rPr>
                <w:rFonts w:hint="eastAsia" w:cs="Times New Roman"/>
                <w:b/>
                <w:bCs w:val="0"/>
                <w:color w:val="auto"/>
                <w:sz w:val="21"/>
                <w:szCs w:val="21"/>
                <w:lang w:val="en-US" w:eastAsia="zh-CN"/>
              </w:rPr>
              <w:t>3、</w:t>
            </w:r>
            <w:r>
              <w:rPr>
                <w:rFonts w:hint="eastAsia" w:cs="Times New Roman"/>
                <w:b/>
                <w:bCs/>
                <w:color w:val="auto"/>
                <w:sz w:val="21"/>
                <w:szCs w:val="21"/>
                <w:lang w:val="en-US" w:eastAsia="zh-CN"/>
              </w:rPr>
              <w:t>分区管控要求相符性分析</w:t>
            </w:r>
          </w:p>
          <w:p w14:paraId="68BD6409">
            <w:pPr>
              <w:numPr>
                <w:ilvl w:val="0"/>
                <w:numId w:val="0"/>
              </w:numPr>
              <w:autoSpaceDE w:val="0"/>
              <w:autoSpaceDN w:val="0"/>
              <w:adjustRightInd w:val="0"/>
              <w:snapToGrid w:val="0"/>
              <w:spacing w:line="500" w:lineRule="exact"/>
              <w:ind w:firstLine="422" w:firstLineChars="200"/>
              <w:rPr>
                <w:rFonts w:hint="default" w:ascii="Times New Roman" w:hAnsi="Times New Roman" w:eastAsia="宋体" w:cs="Times New Roman"/>
                <w:b/>
                <w:color w:val="auto"/>
                <w:sz w:val="21"/>
                <w:szCs w:val="21"/>
              </w:rPr>
            </w:pPr>
            <w:r>
              <w:rPr>
                <w:rFonts w:hint="eastAsia" w:cs="Times New Roman"/>
                <w:b/>
                <w:color w:val="auto"/>
                <w:sz w:val="21"/>
                <w:szCs w:val="21"/>
                <w:lang w:eastAsia="zh-CN"/>
              </w:rPr>
              <w:t>（</w:t>
            </w:r>
            <w:r>
              <w:rPr>
                <w:rFonts w:hint="eastAsia" w:cs="Times New Roman"/>
                <w:b/>
                <w:color w:val="auto"/>
                <w:sz w:val="21"/>
                <w:szCs w:val="21"/>
                <w:lang w:val="en-US" w:eastAsia="zh-CN"/>
              </w:rPr>
              <w:t>1</w:t>
            </w:r>
            <w:r>
              <w:rPr>
                <w:rFonts w:hint="eastAsia" w:cs="Times New Roman"/>
                <w:b/>
                <w:color w:val="auto"/>
                <w:sz w:val="21"/>
                <w:szCs w:val="21"/>
                <w:lang w:eastAsia="zh-CN"/>
              </w:rPr>
              <w:t>）</w:t>
            </w:r>
            <w:r>
              <w:rPr>
                <w:rFonts w:hint="default" w:ascii="Times New Roman" w:hAnsi="Times New Roman" w:eastAsia="宋体" w:cs="Times New Roman"/>
                <w:b/>
                <w:color w:val="auto"/>
                <w:sz w:val="21"/>
                <w:szCs w:val="21"/>
              </w:rPr>
              <w:t>与</w:t>
            </w:r>
            <w:r>
              <w:rPr>
                <w:rFonts w:hint="default" w:ascii="Times New Roman" w:hAnsi="Times New Roman" w:cs="Times New Roman"/>
                <w:b/>
                <w:color w:val="auto"/>
                <w:sz w:val="21"/>
                <w:szCs w:val="21"/>
                <w:lang w:eastAsia="zh-CN"/>
              </w:rPr>
              <w:t>《</w:t>
            </w:r>
            <w:r>
              <w:rPr>
                <w:rFonts w:hint="default" w:ascii="Times New Roman" w:hAnsi="Times New Roman" w:cs="Times New Roman"/>
                <w:b/>
                <w:bCs w:val="0"/>
                <w:color w:val="auto"/>
                <w:sz w:val="21"/>
                <w:szCs w:val="21"/>
                <w:lang w:eastAsia="zh-CN"/>
              </w:rPr>
              <w:t>江苏省2023年度生态环境分区管控动态更新成果公告》、</w:t>
            </w:r>
            <w:r>
              <w:rPr>
                <w:rFonts w:hint="default" w:ascii="Times New Roman" w:hAnsi="Times New Roman" w:eastAsia="宋体" w:cs="Times New Roman"/>
                <w:b/>
                <w:bCs w:val="0"/>
                <w:color w:val="auto"/>
                <w:sz w:val="21"/>
                <w:szCs w:val="21"/>
              </w:rPr>
              <w:t>《江苏省政府关于印发江苏省“三线一单”生态环境分区管控方案的通知》（苏政发</w:t>
            </w:r>
            <w:r>
              <w:rPr>
                <w:rFonts w:hint="eastAsia" w:cs="Times New Roman"/>
                <w:b/>
                <w:bCs w:val="0"/>
                <w:color w:val="auto"/>
                <w:sz w:val="21"/>
                <w:szCs w:val="21"/>
                <w:lang w:eastAsia="zh-CN"/>
              </w:rPr>
              <w:t>〔2020〕49号</w:t>
            </w:r>
            <w:r>
              <w:rPr>
                <w:rFonts w:hint="default" w:ascii="Times New Roman" w:hAnsi="Times New Roman" w:eastAsia="宋体" w:cs="Times New Roman"/>
                <w:b/>
                <w:bCs w:val="0"/>
                <w:color w:val="auto"/>
                <w:sz w:val="21"/>
                <w:szCs w:val="21"/>
              </w:rPr>
              <w:t>）相符性分析</w:t>
            </w:r>
          </w:p>
          <w:p w14:paraId="64272F3D">
            <w:pPr>
              <w:autoSpaceDE w:val="0"/>
              <w:autoSpaceDN w:val="0"/>
              <w:adjustRightInd w:val="0"/>
              <w:snapToGrid w:val="0"/>
              <w:spacing w:line="500" w:lineRule="exact"/>
              <w:ind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本项目位于</w:t>
            </w:r>
            <w:r>
              <w:rPr>
                <w:rFonts w:hint="eastAsia" w:cs="Times New Roman"/>
                <w:color w:val="auto"/>
                <w:sz w:val="21"/>
                <w:szCs w:val="21"/>
                <w:lang w:eastAsia="zh-CN"/>
              </w:rPr>
              <w:t>常州市金坛区朱林镇创业路101号</w:t>
            </w:r>
            <w:r>
              <w:rPr>
                <w:rFonts w:hint="default" w:ascii="Times New Roman" w:hAnsi="Times New Roman" w:eastAsia="宋体" w:cs="Times New Roman"/>
                <w:bCs/>
                <w:color w:val="auto"/>
                <w:sz w:val="21"/>
                <w:szCs w:val="21"/>
              </w:rPr>
              <w:t>，对照</w:t>
            </w:r>
            <w:r>
              <w:rPr>
                <w:rFonts w:hint="default" w:ascii="Times New Roman" w:hAnsi="Times New Roman" w:cs="Times New Roman"/>
                <w:bCs/>
                <w:color w:val="auto"/>
                <w:sz w:val="21"/>
                <w:szCs w:val="21"/>
                <w:lang w:eastAsia="zh-CN"/>
              </w:rPr>
              <w:t>《江苏省2023年度生态环境分区管控动态更新成果公告</w:t>
            </w:r>
            <w:r>
              <w:rPr>
                <w:rFonts w:hint="default" w:ascii="Times New Roman" w:hAnsi="Times New Roman" w:cs="Times New Roman"/>
                <w:b w:val="0"/>
                <w:bCs/>
                <w:color w:val="auto"/>
                <w:sz w:val="21"/>
                <w:szCs w:val="21"/>
                <w:lang w:eastAsia="zh-CN"/>
              </w:rPr>
              <w:t>》、</w:t>
            </w:r>
            <w:r>
              <w:rPr>
                <w:rFonts w:hint="default" w:ascii="Times New Roman" w:hAnsi="Times New Roman" w:eastAsia="宋体" w:cs="Times New Roman"/>
                <w:b w:val="0"/>
                <w:bCs/>
                <w:color w:val="auto"/>
                <w:sz w:val="21"/>
                <w:szCs w:val="21"/>
              </w:rPr>
              <w:t>《江苏省政府关于印发江苏省“三线一单”生态环境分区管控方案的通知》（苏政发</w:t>
            </w:r>
            <w:r>
              <w:rPr>
                <w:rFonts w:hint="eastAsia" w:cs="Times New Roman"/>
                <w:b w:val="0"/>
                <w:bCs/>
                <w:color w:val="auto"/>
                <w:sz w:val="21"/>
                <w:szCs w:val="21"/>
                <w:lang w:eastAsia="zh-CN"/>
              </w:rPr>
              <w:t>〔2020〕49号</w:t>
            </w:r>
            <w:r>
              <w:rPr>
                <w:rFonts w:hint="default" w:ascii="Times New Roman" w:hAnsi="Times New Roman" w:eastAsia="宋体" w:cs="Times New Roman"/>
                <w:b w:val="0"/>
                <w:bCs/>
                <w:color w:val="auto"/>
                <w:sz w:val="21"/>
                <w:szCs w:val="21"/>
              </w:rPr>
              <w:t>）可</w:t>
            </w:r>
            <w:r>
              <w:rPr>
                <w:rFonts w:hint="default" w:ascii="Times New Roman" w:hAnsi="Times New Roman" w:eastAsia="宋体" w:cs="Times New Roman"/>
                <w:bCs/>
                <w:color w:val="auto"/>
                <w:sz w:val="21"/>
                <w:szCs w:val="21"/>
              </w:rPr>
              <w:t>知，项目位于</w:t>
            </w:r>
            <w:r>
              <w:rPr>
                <w:rFonts w:hint="default" w:ascii="Times New Roman" w:hAnsi="Times New Roman" w:eastAsia="宋体" w:cs="Times New Roman"/>
                <w:bCs/>
                <w:color w:val="auto"/>
                <w:sz w:val="21"/>
                <w:szCs w:val="21"/>
                <w:highlight w:val="none"/>
              </w:rPr>
              <w:t>重点管控单元</w:t>
            </w:r>
            <w:r>
              <w:rPr>
                <w:rFonts w:hint="eastAsia" w:cs="Times New Roman"/>
                <w:bCs/>
                <w:color w:val="auto"/>
                <w:sz w:val="21"/>
                <w:szCs w:val="21"/>
                <w:highlight w:val="none"/>
                <w:lang w:eastAsia="zh-CN"/>
              </w:rPr>
              <w:t>（</w:t>
            </w:r>
            <w:r>
              <w:rPr>
                <w:rFonts w:hint="eastAsia" w:cs="Times New Roman"/>
                <w:bCs/>
                <w:color w:val="auto"/>
                <w:sz w:val="21"/>
                <w:szCs w:val="21"/>
                <w:highlight w:val="none"/>
                <w:lang w:val="en-US" w:eastAsia="zh-CN"/>
              </w:rPr>
              <w:t>长江流域、太湖流域</w:t>
            </w:r>
            <w:r>
              <w:rPr>
                <w:rFonts w:hint="eastAsia"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rPr>
              <w:t>其重点管控要求与本项目的相符性分析见</w:t>
            </w:r>
            <w:r>
              <w:rPr>
                <w:rFonts w:hint="default" w:ascii="Times New Roman" w:hAnsi="Times New Roman" w:eastAsia="宋体" w:cs="Times New Roman"/>
                <w:bCs/>
                <w:color w:val="auto"/>
                <w:sz w:val="21"/>
                <w:szCs w:val="21"/>
                <w:lang w:val="en-US" w:eastAsia="zh-CN"/>
              </w:rPr>
              <w:t>下表</w:t>
            </w:r>
            <w:r>
              <w:rPr>
                <w:rFonts w:hint="default" w:ascii="Times New Roman" w:hAnsi="Times New Roman" w:eastAsia="宋体" w:cs="Times New Roman"/>
                <w:bCs/>
                <w:color w:val="auto"/>
                <w:sz w:val="21"/>
                <w:szCs w:val="21"/>
              </w:rPr>
              <w:t>。</w:t>
            </w:r>
          </w:p>
          <w:p w14:paraId="7C774E58">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2 </w:t>
            </w:r>
            <w:r>
              <w:rPr>
                <w:rFonts w:hint="default" w:ascii="Times New Roman" w:hAnsi="Times New Roman" w:eastAsia="宋体" w:cs="Times New Roman"/>
                <w:b/>
                <w:bCs/>
                <w:color w:val="auto"/>
                <w:sz w:val="21"/>
                <w:szCs w:val="21"/>
              </w:rPr>
              <w:t>与</w:t>
            </w:r>
            <w:r>
              <w:rPr>
                <w:rFonts w:hint="default" w:ascii="Times New Roman" w:hAnsi="Times New Roman" w:eastAsia="宋体" w:cs="Times New Roman"/>
                <w:b/>
                <w:bCs/>
                <w:color w:val="auto"/>
                <w:sz w:val="21"/>
                <w:szCs w:val="21"/>
                <w:lang w:eastAsia="zh-CN"/>
              </w:rPr>
              <w:t>《江苏省2023年度生态环境分区管控动态更新成果公告》</w:t>
            </w:r>
            <w:r>
              <w:rPr>
                <w:rFonts w:hint="default" w:ascii="Times New Roman" w:hAnsi="Times New Roman" w:eastAsia="宋体" w:cs="Times New Roman"/>
                <w:b/>
                <w:bCs/>
                <w:color w:val="auto"/>
                <w:sz w:val="21"/>
                <w:szCs w:val="21"/>
              </w:rPr>
              <w:t>相符性分析</w:t>
            </w:r>
          </w:p>
          <w:tbl>
            <w:tblPr>
              <w:tblStyle w:val="3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108" w:type="dxa"/>
                <w:bottom w:w="28" w:type="dxa"/>
                <w:right w:w="108" w:type="dxa"/>
              </w:tblCellMar>
            </w:tblPr>
            <w:tblGrid>
              <w:gridCol w:w="835"/>
              <w:gridCol w:w="4680"/>
              <w:gridCol w:w="1273"/>
              <w:gridCol w:w="1278"/>
            </w:tblGrid>
            <w:tr w14:paraId="7CACB9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18" w:type="pct"/>
                  <w:vAlign w:val="center"/>
                </w:tcPr>
                <w:p w14:paraId="290DCC71">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管控类别</w:t>
                  </w:r>
                </w:p>
              </w:tc>
              <w:tc>
                <w:tcPr>
                  <w:tcW w:w="2901" w:type="pct"/>
                  <w:vAlign w:val="center"/>
                </w:tcPr>
                <w:p w14:paraId="2956148E">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重点管控要求</w:t>
                  </w:r>
                </w:p>
              </w:tc>
              <w:tc>
                <w:tcPr>
                  <w:tcW w:w="789" w:type="pct"/>
                  <w:vAlign w:val="center"/>
                </w:tcPr>
                <w:p w14:paraId="577D2D64">
                  <w:pPr>
                    <w:pStyle w:val="100"/>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本项目</w:t>
                  </w:r>
                </w:p>
              </w:tc>
              <w:tc>
                <w:tcPr>
                  <w:tcW w:w="790" w:type="pct"/>
                  <w:vAlign w:val="center"/>
                </w:tcPr>
                <w:p w14:paraId="7F77FF42">
                  <w:pPr>
                    <w:pStyle w:val="100"/>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相符性</w:t>
                  </w:r>
                </w:p>
              </w:tc>
            </w:tr>
            <w:tr w14:paraId="2C30BC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000" w:type="pct"/>
                  <w:gridSpan w:val="4"/>
                  <w:vAlign w:val="center"/>
                </w:tcPr>
                <w:p w14:paraId="797F8C4F">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长江流域</w:t>
                  </w:r>
                </w:p>
              </w:tc>
            </w:tr>
            <w:tr w14:paraId="7A4892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18" w:type="pct"/>
                  <w:vAlign w:val="center"/>
                </w:tcPr>
                <w:p w14:paraId="3854071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2901" w:type="pct"/>
                  <w:tcBorders>
                    <w:bottom w:val="single" w:color="auto" w:sz="2" w:space="0"/>
                  </w:tcBorders>
                  <w:vAlign w:val="center"/>
                </w:tcPr>
                <w:p w14:paraId="621B1F73">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1、始终把长江生态修复放在首位，坚持共抓大保护、不搞大开发，引导长江流域产业转型升级和布局优化调整，实现科学发展、有序发展、高质量发展。</w:t>
                  </w:r>
                </w:p>
                <w:p w14:paraId="1E9DE2F1">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4B8072FD">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3、禁止在沿江地区新建或扩建化学工业园区，禁止新建或扩建以大宗进口油气资源为原料的石油加工、石油化工、基础有机无机化工、煤化工项目；禁止在长江干流和主要支流岸线1公里范围内新建危化品码头。</w:t>
                  </w:r>
                </w:p>
                <w:p w14:paraId="6E0BBB23">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4、强化港口布局优化，禁止建设不符合国家港口布局规划和《江苏省沿江沿海港口布局规划（2015-2030年）》《江苏省内河港口布局规划（2017-2035年）》的码头项</w:t>
                  </w:r>
                  <w:r>
                    <w:rPr>
                      <w:rFonts w:hint="default" w:ascii="Times New Roman" w:hAnsi="Times New Roman" w:eastAsia="宋体" w:cs="Times New Roman"/>
                      <w:color w:val="auto"/>
                      <w:sz w:val="21"/>
                      <w:szCs w:val="21"/>
                      <w:lang w:eastAsia="zh-CN"/>
                    </w:rPr>
                    <w:t>目</w:t>
                  </w:r>
                  <w:r>
                    <w:rPr>
                      <w:rFonts w:hint="default" w:ascii="Times New Roman" w:hAnsi="Times New Roman" w:eastAsia="宋体" w:cs="Times New Roman"/>
                      <w:color w:val="auto"/>
                      <w:sz w:val="21"/>
                      <w:szCs w:val="21"/>
                      <w:lang w:val="en-US" w:eastAsia="zh-CN"/>
                    </w:rPr>
                    <w:t>，禁止建设未纳入《长江干线过江通道布局规划》的过江干线通道项目</w:t>
                  </w:r>
                  <w:r>
                    <w:rPr>
                      <w:rFonts w:hint="default" w:ascii="Times New Roman" w:hAnsi="Times New Roman" w:eastAsia="宋体" w:cs="Times New Roman"/>
                      <w:color w:val="auto"/>
                      <w:sz w:val="21"/>
                      <w:szCs w:val="21"/>
                    </w:rPr>
                    <w:t>。</w:t>
                  </w:r>
                </w:p>
                <w:p w14:paraId="4799FDC2">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5、禁止新建独立焦化项目。</w:t>
                  </w:r>
                </w:p>
              </w:tc>
              <w:tc>
                <w:tcPr>
                  <w:tcW w:w="789" w:type="pct"/>
                  <w:tcBorders>
                    <w:bottom w:val="single" w:color="auto" w:sz="2" w:space="0"/>
                  </w:tcBorders>
                  <w:vAlign w:val="center"/>
                </w:tcPr>
                <w:p w14:paraId="20620993">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cs="Times New Roman"/>
                      <w:color w:val="auto"/>
                      <w:sz w:val="21"/>
                      <w:szCs w:val="21"/>
                      <w:lang w:eastAsia="zh-CN"/>
                    </w:rPr>
                    <w:t>常州市金坛区朱林镇创业路101号</w:t>
                  </w:r>
                  <w:r>
                    <w:rPr>
                      <w:rFonts w:hint="default" w:ascii="Times New Roman" w:hAnsi="Times New Roman" w:eastAsia="宋体" w:cs="Times New Roman"/>
                      <w:color w:val="auto"/>
                      <w:sz w:val="21"/>
                      <w:szCs w:val="21"/>
                    </w:rPr>
                    <w:t>，</w:t>
                  </w:r>
                  <w:r>
                    <w:rPr>
                      <w:rFonts w:hint="default" w:ascii="Times New Roman" w:hAnsi="Times New Roman" w:eastAsia="宋体" w:cs="Times New Roman"/>
                      <w:b w:val="0"/>
                      <w:bCs w:val="0"/>
                      <w:color w:val="auto"/>
                      <w:sz w:val="21"/>
                      <w:szCs w:val="21"/>
                      <w:lang w:eastAsia="zh-CN"/>
                    </w:rPr>
                    <w:t>属于长江流域内，选址</w:t>
                  </w:r>
                  <w:r>
                    <w:rPr>
                      <w:rFonts w:hint="default" w:ascii="Times New Roman" w:hAnsi="Times New Roman" w:eastAsia="宋体" w:cs="Times New Roman"/>
                      <w:color w:val="auto"/>
                      <w:sz w:val="21"/>
                      <w:szCs w:val="21"/>
                    </w:rPr>
                    <w:t>不在国家确定的生态保护红线和永久基本农田范围内</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本项目属于</w:t>
                  </w:r>
                  <w:r>
                    <w:rPr>
                      <w:rFonts w:hint="eastAsia" w:cs="Times New Roman"/>
                      <w:bCs/>
                      <w:color w:val="auto"/>
                      <w:sz w:val="21"/>
                      <w:szCs w:val="21"/>
                      <w:lang w:eastAsia="zh-CN"/>
                    </w:rPr>
                    <w:t>C2923塑料丝、绳及编织品制造</w:t>
                  </w:r>
                  <w:r>
                    <w:rPr>
                      <w:rFonts w:hint="default" w:ascii="Times New Roman" w:hAnsi="Times New Roman" w:eastAsia="宋体" w:cs="Times New Roman"/>
                      <w:color w:val="auto"/>
                      <w:sz w:val="21"/>
                      <w:szCs w:val="21"/>
                    </w:rPr>
                    <w:t>，不属于上述禁止建设的项目。</w:t>
                  </w:r>
                </w:p>
              </w:tc>
              <w:tc>
                <w:tcPr>
                  <w:tcW w:w="790" w:type="pct"/>
                  <w:tcBorders>
                    <w:bottom w:val="single" w:color="auto" w:sz="2" w:space="0"/>
                  </w:tcBorders>
                  <w:vAlign w:val="center"/>
                </w:tcPr>
                <w:p w14:paraId="1CA7545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rPr>
                    <w:t>相符</w:t>
                  </w:r>
                </w:p>
              </w:tc>
            </w:tr>
            <w:tr w14:paraId="172E61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18" w:type="pct"/>
                  <w:vAlign w:val="center"/>
                </w:tcPr>
                <w:p w14:paraId="1C5454D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2901" w:type="pct"/>
                  <w:vAlign w:val="center"/>
                </w:tcPr>
                <w:p w14:paraId="5E0500BC">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1、根据《江苏省长江水污染防治条例》实施污染物总量控制制度。</w:t>
                  </w:r>
                </w:p>
                <w:p w14:paraId="67F0E0D1">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2、全面加强和规范长江入河排污口管理，有效管控入河污染物排放，形成权责清晰、监控到位、管理规范的长江入河排污口监管体系，加快改善长江水环境质量。</w:t>
                  </w:r>
                </w:p>
              </w:tc>
              <w:tc>
                <w:tcPr>
                  <w:tcW w:w="789" w:type="pct"/>
                  <w:vAlign w:val="center"/>
                </w:tcPr>
                <w:p w14:paraId="7A1299E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本项目</w:t>
                  </w:r>
                  <w:r>
                    <w:rPr>
                      <w:rFonts w:hint="default" w:ascii="Times New Roman" w:hAnsi="Times New Roman" w:eastAsia="宋体" w:cs="Times New Roman"/>
                      <w:b w:val="0"/>
                      <w:bCs w:val="0"/>
                      <w:color w:val="auto"/>
                      <w:sz w:val="21"/>
                      <w:szCs w:val="21"/>
                      <w:lang w:val="en-US" w:eastAsia="zh-CN"/>
                    </w:rPr>
                    <w:t>实施总量控制，不涉及长江入河排污口。</w:t>
                  </w:r>
                </w:p>
              </w:tc>
              <w:tc>
                <w:tcPr>
                  <w:tcW w:w="790" w:type="pct"/>
                  <w:vAlign w:val="center"/>
                </w:tcPr>
                <w:p w14:paraId="699FC9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相符</w:t>
                  </w:r>
                </w:p>
              </w:tc>
            </w:tr>
            <w:tr w14:paraId="3E940B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18" w:type="pct"/>
                  <w:vAlign w:val="center"/>
                </w:tcPr>
                <w:p w14:paraId="155C337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环境风险防控</w:t>
                  </w:r>
                </w:p>
              </w:tc>
              <w:tc>
                <w:tcPr>
                  <w:tcW w:w="2901" w:type="pct"/>
                  <w:vAlign w:val="center"/>
                </w:tcPr>
                <w:p w14:paraId="493FD279">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1、防范沿江环境风险。深化沿江石化、化工、医药、纺织、印染、化纤、危化品和石油类仓储、涉重金属和危险废物处置等重点企业环境风险防控。</w:t>
                  </w:r>
                </w:p>
                <w:p w14:paraId="5E37FA32">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2、加强饮用水水源保护。优化水源保护区划定，推动饮用水水源地规范化建设。</w:t>
                  </w:r>
                </w:p>
              </w:tc>
              <w:tc>
                <w:tcPr>
                  <w:tcW w:w="789" w:type="pct"/>
                  <w:vAlign w:val="center"/>
                </w:tcPr>
                <w:p w14:paraId="6A9026F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本项目建设单位不属于环境风险防控重点企业。</w:t>
                  </w:r>
                </w:p>
              </w:tc>
              <w:tc>
                <w:tcPr>
                  <w:tcW w:w="790" w:type="pct"/>
                  <w:vAlign w:val="center"/>
                </w:tcPr>
                <w:p w14:paraId="659A0D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相符</w:t>
                  </w:r>
                </w:p>
              </w:tc>
            </w:tr>
            <w:tr w14:paraId="35892B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18" w:type="pct"/>
                  <w:vAlign w:val="center"/>
                </w:tcPr>
                <w:p w14:paraId="222BE6E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资源利用效率要求</w:t>
                  </w:r>
                </w:p>
              </w:tc>
              <w:tc>
                <w:tcPr>
                  <w:tcW w:w="2901" w:type="pct"/>
                  <w:vAlign w:val="center"/>
                </w:tcPr>
                <w:p w14:paraId="7C985F27">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禁止在长江干支流岸线管控范围内新建、扩建化工园区和化工项目。禁止在长江干流岸线和重要支流岸线管控范围内新建、改建、扩建尾矿库，但是以提升安全、生态环境保护水平为目的的改建除外。</w:t>
                  </w:r>
                </w:p>
              </w:tc>
              <w:tc>
                <w:tcPr>
                  <w:tcW w:w="789" w:type="pct"/>
                  <w:vAlign w:val="center"/>
                </w:tcPr>
                <w:p w14:paraId="279931F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本项目</w:t>
                  </w:r>
                  <w:r>
                    <w:rPr>
                      <w:rFonts w:hint="default" w:ascii="Times New Roman" w:hAnsi="Times New Roman" w:eastAsia="宋体" w:cs="Times New Roman"/>
                      <w:b w:val="0"/>
                      <w:bCs w:val="0"/>
                      <w:color w:val="auto"/>
                      <w:sz w:val="21"/>
                      <w:szCs w:val="21"/>
                      <w:lang w:val="en-US" w:eastAsia="zh-CN"/>
                    </w:rPr>
                    <w:t>不属于</w:t>
                  </w:r>
                  <w:r>
                    <w:rPr>
                      <w:rFonts w:hint="default" w:ascii="Times New Roman" w:hAnsi="Times New Roman" w:eastAsia="宋体" w:cs="Times New Roman"/>
                      <w:color w:val="auto"/>
                      <w:sz w:val="21"/>
                      <w:szCs w:val="21"/>
                    </w:rPr>
                    <w:t>化工项目</w:t>
                  </w:r>
                  <w:r>
                    <w:rPr>
                      <w:rFonts w:hint="default" w:ascii="Times New Roman" w:hAnsi="Times New Roman" w:eastAsia="宋体" w:cs="Times New Roman"/>
                      <w:color w:val="auto"/>
                      <w:sz w:val="21"/>
                      <w:szCs w:val="21"/>
                      <w:lang w:val="en-US" w:eastAsia="zh-CN"/>
                    </w:rPr>
                    <w:t>和</w:t>
                  </w:r>
                  <w:r>
                    <w:rPr>
                      <w:rFonts w:hint="default" w:ascii="Times New Roman" w:hAnsi="Times New Roman" w:eastAsia="宋体" w:cs="Times New Roman"/>
                      <w:color w:val="auto"/>
                      <w:sz w:val="21"/>
                      <w:szCs w:val="21"/>
                    </w:rPr>
                    <w:t>尾矿库</w:t>
                  </w:r>
                  <w:r>
                    <w:rPr>
                      <w:rFonts w:hint="default" w:ascii="Times New Roman" w:hAnsi="Times New Roman" w:eastAsia="宋体" w:cs="Times New Roman"/>
                      <w:color w:val="auto"/>
                      <w:sz w:val="21"/>
                      <w:szCs w:val="21"/>
                      <w:lang w:val="en-US" w:eastAsia="zh-CN"/>
                    </w:rPr>
                    <w:t>项目</w:t>
                  </w:r>
                  <w:r>
                    <w:rPr>
                      <w:rFonts w:hint="default" w:ascii="Times New Roman" w:hAnsi="Times New Roman" w:eastAsia="宋体" w:cs="Times New Roman"/>
                      <w:b w:val="0"/>
                      <w:bCs w:val="0"/>
                      <w:color w:val="auto"/>
                      <w:sz w:val="21"/>
                      <w:szCs w:val="21"/>
                      <w:lang w:eastAsia="zh-CN"/>
                    </w:rPr>
                    <w:t>。</w:t>
                  </w:r>
                </w:p>
              </w:tc>
              <w:tc>
                <w:tcPr>
                  <w:tcW w:w="790" w:type="pct"/>
                  <w:vAlign w:val="center"/>
                </w:tcPr>
                <w:p w14:paraId="78591B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相符</w:t>
                  </w:r>
                </w:p>
              </w:tc>
            </w:tr>
            <w:tr w14:paraId="76A8DD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000" w:type="pct"/>
                  <w:gridSpan w:val="4"/>
                  <w:vAlign w:val="center"/>
                </w:tcPr>
                <w:p w14:paraId="38546633">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太湖流域</w:t>
                  </w:r>
                </w:p>
              </w:tc>
            </w:tr>
            <w:tr w14:paraId="2A225E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18" w:type="pct"/>
                  <w:vAlign w:val="center"/>
                </w:tcPr>
                <w:p w14:paraId="0110C20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2901" w:type="pct"/>
                  <w:vAlign w:val="center"/>
                </w:tcPr>
                <w:p w14:paraId="168651D2">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1A774586">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在</w:t>
                  </w:r>
                  <w:r>
                    <w:rPr>
                      <w:rFonts w:hint="eastAsia" w:cs="Times New Roman"/>
                      <w:color w:val="auto"/>
                      <w:sz w:val="21"/>
                      <w:szCs w:val="21"/>
                      <w:lang w:eastAsia="zh-CN"/>
                    </w:rPr>
                    <w:t>太湖流域</w:t>
                  </w:r>
                  <w:r>
                    <w:rPr>
                      <w:rFonts w:hint="default" w:ascii="Times New Roman" w:hAnsi="Times New Roman" w:eastAsia="宋体" w:cs="Times New Roman"/>
                      <w:color w:val="auto"/>
                      <w:sz w:val="21"/>
                      <w:szCs w:val="21"/>
                    </w:rPr>
                    <w:t>一级保护区，禁止新建、扩建向水体排放污染物的建设项目，禁止新建、扩建畜禽养殖场，禁止新建、扩建高尔夫球场、水上游乐等开发项目以及设置水上餐饮经营设施。</w:t>
                  </w:r>
                </w:p>
                <w:p w14:paraId="25489068">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在太湖流域二级保护区，禁止新建、扩建化工、医药生产项目，禁止新建、扩建污水集中处理设施排污口以外的排污口。</w:t>
                  </w:r>
                </w:p>
              </w:tc>
              <w:tc>
                <w:tcPr>
                  <w:tcW w:w="789" w:type="pct"/>
                  <w:vAlign w:val="center"/>
                </w:tcPr>
                <w:p w14:paraId="621E6CD1">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cs="Times New Roman"/>
                      <w:color w:val="auto"/>
                      <w:sz w:val="21"/>
                      <w:szCs w:val="21"/>
                      <w:lang w:eastAsia="zh-CN"/>
                    </w:rPr>
                    <w:t>常州市金坛区朱林镇创业路101号</w:t>
                  </w:r>
                  <w:r>
                    <w:rPr>
                      <w:rFonts w:hint="default" w:ascii="Times New Roman" w:hAnsi="Times New Roman" w:eastAsia="宋体" w:cs="Times New Roman"/>
                      <w:color w:val="auto"/>
                      <w:sz w:val="21"/>
                      <w:szCs w:val="21"/>
                    </w:rPr>
                    <w:t>，属于太湖流域三级保护区；本项目</w:t>
                  </w:r>
                  <w:r>
                    <w:rPr>
                      <w:rFonts w:hint="default" w:ascii="Times New Roman" w:hAnsi="Times New Roman" w:eastAsia="宋体" w:cs="Times New Roman"/>
                      <w:b w:val="0"/>
                      <w:bCs w:val="0"/>
                      <w:color w:val="auto"/>
                      <w:sz w:val="21"/>
                      <w:szCs w:val="21"/>
                      <w:lang w:val="en-US" w:eastAsia="zh-CN"/>
                    </w:rPr>
                    <w:t>不属于禁止新建的行业</w:t>
                  </w:r>
                  <w:r>
                    <w:rPr>
                      <w:rFonts w:hint="default" w:ascii="Times New Roman" w:hAnsi="Times New Roman" w:eastAsia="宋体" w:cs="Times New Roman"/>
                      <w:color w:val="auto"/>
                      <w:sz w:val="21"/>
                      <w:szCs w:val="21"/>
                    </w:rPr>
                    <w:t>，</w:t>
                  </w:r>
                  <w:r>
                    <w:rPr>
                      <w:rFonts w:hint="default" w:ascii="Times New Roman" w:hAnsi="Times New Roman" w:eastAsia="宋体" w:cs="Times New Roman"/>
                      <w:b w:val="0"/>
                      <w:bCs w:val="0"/>
                      <w:color w:val="auto"/>
                      <w:sz w:val="21"/>
                      <w:szCs w:val="21"/>
                      <w:lang w:val="en-US" w:eastAsia="zh-CN"/>
                    </w:rPr>
                    <w:t>无含磷、氮生产废水排放</w:t>
                  </w:r>
                  <w:r>
                    <w:rPr>
                      <w:rFonts w:hint="default" w:ascii="Times New Roman" w:hAnsi="Times New Roman" w:eastAsia="宋体" w:cs="Times New Roman"/>
                      <w:color w:val="auto"/>
                      <w:sz w:val="21"/>
                      <w:szCs w:val="21"/>
                    </w:rPr>
                    <w:t>。</w:t>
                  </w:r>
                </w:p>
              </w:tc>
              <w:tc>
                <w:tcPr>
                  <w:tcW w:w="790" w:type="pct"/>
                  <w:vAlign w:val="center"/>
                </w:tcPr>
                <w:p w14:paraId="3E56BB2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rPr>
                    <w:t>相符</w:t>
                  </w:r>
                </w:p>
              </w:tc>
            </w:tr>
            <w:tr w14:paraId="47348B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18" w:type="pct"/>
                  <w:vAlign w:val="center"/>
                </w:tcPr>
                <w:p w14:paraId="2E53690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2901" w:type="pct"/>
                  <w:vAlign w:val="center"/>
                </w:tcPr>
                <w:p w14:paraId="3E61925A">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城镇污水处理厂、纺织工业、化学工业、造纸工业、钢铁工业、电镀工业和食品工业的污水处理设施执行《太湖地区城镇污水处理厂及重点工业行业主要水污染物排放限值》。</w:t>
                  </w:r>
                </w:p>
              </w:tc>
              <w:tc>
                <w:tcPr>
                  <w:tcW w:w="789" w:type="pct"/>
                  <w:vAlign w:val="center"/>
                </w:tcPr>
                <w:p w14:paraId="6485CD3F">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本项目不属于上述行业。</w:t>
                  </w:r>
                </w:p>
              </w:tc>
              <w:tc>
                <w:tcPr>
                  <w:tcW w:w="790" w:type="pct"/>
                  <w:vAlign w:val="center"/>
                </w:tcPr>
                <w:p w14:paraId="48C79E0D">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rPr>
                    <w:t>相符</w:t>
                  </w:r>
                </w:p>
              </w:tc>
            </w:tr>
            <w:tr w14:paraId="13CDF8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18" w:type="pct"/>
                  <w:vAlign w:val="center"/>
                </w:tcPr>
                <w:p w14:paraId="5CAE474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环境风险防控</w:t>
                  </w:r>
                </w:p>
              </w:tc>
              <w:tc>
                <w:tcPr>
                  <w:tcW w:w="2901" w:type="pct"/>
                  <w:vAlign w:val="center"/>
                </w:tcPr>
                <w:p w14:paraId="028071F4">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1、运输剧毒物质、危险化学品的船舶不得进入太湖。</w:t>
                  </w:r>
                </w:p>
                <w:p w14:paraId="77C7B795">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2、禁止向太湖流域水体排放或者倾倒油类、酸液、碱液、剧毒废渣废液、含放射性废渣废液、含病原体污水、工业废渣以及其他废弃物。</w:t>
                  </w:r>
                </w:p>
                <w:p w14:paraId="463D5488">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3、加强太湖流域生态环境风险应急管控，着力提高防控太湖蓝藻水华风险预警和应急处置能力。</w:t>
                  </w:r>
                </w:p>
              </w:tc>
              <w:tc>
                <w:tcPr>
                  <w:tcW w:w="789" w:type="pct"/>
                  <w:vAlign w:val="center"/>
                </w:tcPr>
                <w:p w14:paraId="7F94535A">
                  <w:pP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本项目</w:t>
                  </w:r>
                  <w:r>
                    <w:rPr>
                      <w:rFonts w:hint="default" w:ascii="Times New Roman" w:hAnsi="Times New Roman" w:eastAsia="宋体" w:cs="Times New Roman"/>
                      <w:b w:val="0"/>
                      <w:bCs w:val="0"/>
                      <w:color w:val="auto"/>
                      <w:sz w:val="21"/>
                      <w:szCs w:val="21"/>
                      <w:lang w:val="en-US" w:eastAsia="zh-CN"/>
                    </w:rPr>
                    <w:t>不涉及文件中相关行为</w:t>
                  </w:r>
                  <w:r>
                    <w:rPr>
                      <w:rFonts w:hint="default" w:ascii="Times New Roman" w:hAnsi="Times New Roman" w:eastAsia="宋体" w:cs="Times New Roman"/>
                      <w:color w:val="auto"/>
                      <w:sz w:val="21"/>
                      <w:szCs w:val="21"/>
                    </w:rPr>
                    <w:t>。</w:t>
                  </w:r>
                </w:p>
              </w:tc>
              <w:tc>
                <w:tcPr>
                  <w:tcW w:w="790" w:type="pct"/>
                  <w:vAlign w:val="center"/>
                </w:tcPr>
                <w:p w14:paraId="215F2CBC">
                  <w:pPr>
                    <w:ind w:firstLine="420" w:firstLineChars="200"/>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相符</w:t>
                  </w:r>
                </w:p>
              </w:tc>
            </w:tr>
            <w:tr w14:paraId="5C257C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18" w:type="pct"/>
                  <w:vAlign w:val="center"/>
                </w:tcPr>
                <w:p w14:paraId="31BC54B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资源利用效率要求</w:t>
                  </w:r>
                </w:p>
              </w:tc>
              <w:tc>
                <w:tcPr>
                  <w:tcW w:w="2901" w:type="pct"/>
                  <w:vAlign w:val="center"/>
                </w:tcPr>
                <w:p w14:paraId="1E23B325">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1.严格用水定额管理制度，推进取用水规范化管理，科学制定用水定额并动态调整，对超过用水定额标准的企业分类分步先期实施节水改造，鼓励重点用水企业、园区建立智慧用水管理系统。</w:t>
                  </w:r>
                </w:p>
                <w:p w14:paraId="50983305">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 推进新孟河、新沟河、望虞河、走马塘等河道联合调度，科学调控太湖水位。</w:t>
                  </w:r>
                </w:p>
              </w:tc>
              <w:tc>
                <w:tcPr>
                  <w:tcW w:w="789" w:type="pct"/>
                  <w:vAlign w:val="center"/>
                </w:tcPr>
                <w:p w14:paraId="1D86F985">
                  <w:pP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当地自来水厂能够满足本项目用水需求</w:t>
                  </w:r>
                  <w:r>
                    <w:rPr>
                      <w:rFonts w:hint="default" w:ascii="Times New Roman" w:hAnsi="Times New Roman" w:eastAsia="宋体" w:cs="Times New Roman"/>
                      <w:color w:val="auto"/>
                      <w:sz w:val="21"/>
                      <w:szCs w:val="21"/>
                    </w:rPr>
                    <w:t>。</w:t>
                  </w:r>
                </w:p>
              </w:tc>
              <w:tc>
                <w:tcPr>
                  <w:tcW w:w="790" w:type="pct"/>
                  <w:vAlign w:val="center"/>
                </w:tcPr>
                <w:p w14:paraId="64BA8C74">
                  <w:pPr>
                    <w:ind w:firstLine="420" w:firstLineChars="20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相符</w:t>
                  </w:r>
                </w:p>
              </w:tc>
            </w:tr>
          </w:tbl>
          <w:p w14:paraId="2D4E108B">
            <w:pPr>
              <w:autoSpaceDE w:val="0"/>
              <w:autoSpaceDN w:val="0"/>
              <w:adjustRightInd w:val="0"/>
              <w:snapToGrid w:val="0"/>
              <w:spacing w:line="500" w:lineRule="exact"/>
              <w:ind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综上，本项目与</w:t>
            </w:r>
            <w:r>
              <w:rPr>
                <w:rFonts w:hint="default" w:ascii="Times New Roman" w:hAnsi="Times New Roman" w:cs="Times New Roman"/>
                <w:bCs/>
                <w:color w:val="auto"/>
                <w:sz w:val="21"/>
                <w:szCs w:val="21"/>
                <w:lang w:eastAsia="zh-CN"/>
              </w:rPr>
              <w:t>《江苏省2023年度生态环境分区管控动态更新成果公告》</w:t>
            </w:r>
            <w:r>
              <w:rPr>
                <w:rFonts w:hint="default" w:ascii="Times New Roman" w:hAnsi="Times New Roman" w:eastAsia="宋体" w:cs="Times New Roman"/>
                <w:bCs/>
                <w:color w:val="auto"/>
                <w:sz w:val="21"/>
                <w:szCs w:val="21"/>
              </w:rPr>
              <w:t>的要求相符。</w:t>
            </w:r>
          </w:p>
          <w:p w14:paraId="0837B610">
            <w:pPr>
              <w:autoSpaceDE w:val="0"/>
              <w:autoSpaceDN w:val="0"/>
              <w:snapToGrid w:val="0"/>
              <w:spacing w:line="500" w:lineRule="exact"/>
              <w:rPr>
                <w:rFonts w:hint="default" w:ascii="Times New Roman" w:hAnsi="Times New Roman" w:eastAsia="宋体" w:cs="Times New Roman"/>
                <w:b/>
                <w:color w:val="auto"/>
                <w:sz w:val="21"/>
                <w:szCs w:val="21"/>
              </w:rPr>
            </w:pPr>
            <w:r>
              <w:rPr>
                <w:rFonts w:hint="eastAsia" w:cs="Times New Roman"/>
                <w:b/>
                <w:color w:val="auto"/>
                <w:sz w:val="21"/>
                <w:szCs w:val="21"/>
                <w:lang w:val="en-US" w:eastAsia="zh-CN"/>
              </w:rPr>
              <w:t>4、</w:t>
            </w:r>
            <w:r>
              <w:rPr>
                <w:rFonts w:hint="default" w:ascii="Times New Roman" w:hAnsi="Times New Roman" w:eastAsia="宋体" w:cs="Times New Roman"/>
                <w:b/>
                <w:color w:val="auto"/>
                <w:sz w:val="21"/>
                <w:szCs w:val="21"/>
              </w:rPr>
              <w:t>与</w:t>
            </w:r>
            <w:r>
              <w:rPr>
                <w:rFonts w:hint="default" w:ascii="Times New Roman" w:hAnsi="Times New Roman" w:cs="Times New Roman"/>
                <w:b/>
                <w:color w:val="auto"/>
                <w:sz w:val="21"/>
                <w:szCs w:val="21"/>
                <w:lang w:eastAsia="zh-CN"/>
              </w:rPr>
              <w:t>《常州市生态环境分区管控动态更新成果》（2023年版）</w:t>
            </w:r>
            <w:r>
              <w:rPr>
                <w:rFonts w:hint="default" w:ascii="Times New Roman" w:hAnsi="Times New Roman" w:eastAsia="宋体" w:cs="Times New Roman"/>
                <w:b/>
                <w:color w:val="auto"/>
                <w:sz w:val="21"/>
                <w:szCs w:val="21"/>
              </w:rPr>
              <w:t>相符性分析</w:t>
            </w:r>
          </w:p>
          <w:p w14:paraId="0797407D">
            <w:pPr>
              <w:autoSpaceDE w:val="0"/>
              <w:autoSpaceDN w:val="0"/>
              <w:adjustRightInd w:val="0"/>
              <w:snapToGrid w:val="0"/>
              <w:spacing w:line="500" w:lineRule="exact"/>
              <w:ind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本项目位于</w:t>
            </w:r>
            <w:r>
              <w:rPr>
                <w:rFonts w:hint="eastAsia" w:cs="Times New Roman"/>
                <w:color w:val="auto"/>
                <w:sz w:val="21"/>
                <w:szCs w:val="21"/>
                <w:lang w:val="en-US" w:eastAsia="zh-CN"/>
              </w:rPr>
              <w:t>朱林现代产业园</w:t>
            </w:r>
            <w:r>
              <w:rPr>
                <w:rFonts w:hint="default" w:ascii="Times New Roman" w:hAnsi="Times New Roman" w:eastAsia="宋体" w:cs="Times New Roman"/>
                <w:bCs/>
                <w:color w:val="auto"/>
                <w:sz w:val="21"/>
                <w:szCs w:val="21"/>
              </w:rPr>
              <w:t>，根据《</w:t>
            </w:r>
            <w:r>
              <w:rPr>
                <w:rFonts w:hint="eastAsia" w:cs="Times New Roman"/>
                <w:bCs/>
                <w:color w:val="auto"/>
                <w:sz w:val="21"/>
                <w:szCs w:val="21"/>
                <w:lang w:eastAsia="zh-CN"/>
              </w:rPr>
              <w:t>常州市生态环境分区管控动态更新成果</w:t>
            </w:r>
            <w:r>
              <w:rPr>
                <w:rFonts w:hint="default" w:ascii="Times New Roman" w:hAnsi="Times New Roman" w:eastAsia="宋体" w:cs="Times New Roman"/>
                <w:bCs/>
                <w:color w:val="auto"/>
                <w:sz w:val="21"/>
                <w:szCs w:val="21"/>
              </w:rPr>
              <w:t>》附件3中常州市环境管控单元名录，</w:t>
            </w:r>
            <w:r>
              <w:rPr>
                <w:rFonts w:hint="default" w:ascii="Times New Roman" w:hAnsi="Times New Roman" w:eastAsia="宋体" w:cs="Times New Roman"/>
                <w:color w:val="auto"/>
                <w:sz w:val="21"/>
                <w:szCs w:val="21"/>
                <w:lang w:eastAsia="zh-CN"/>
              </w:rPr>
              <w:t>属于“重点管控单元</w:t>
            </w:r>
            <w:r>
              <w:rPr>
                <w:rFonts w:hint="eastAsia" w:ascii="Times New Roman" w:hAnsi="Times New Roman" w:eastAsia="宋体" w:cs="Times New Roman"/>
                <w:bCs/>
                <w:color w:val="auto"/>
                <w:sz w:val="21"/>
                <w:szCs w:val="21"/>
                <w:lang w:val="en-US" w:eastAsia="zh-CN"/>
              </w:rPr>
              <w:t>-</w:t>
            </w:r>
            <w:r>
              <w:rPr>
                <w:rFonts w:hint="eastAsia" w:cs="Times New Roman"/>
                <w:bCs/>
                <w:color w:val="auto"/>
                <w:sz w:val="21"/>
                <w:szCs w:val="21"/>
                <w:lang w:eastAsia="zh-CN"/>
              </w:rPr>
              <w:t>朱林现代产业园</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其重点管控要求与本项目的相符性分析见</w:t>
            </w:r>
            <w:r>
              <w:rPr>
                <w:rFonts w:hint="default" w:ascii="Times New Roman" w:hAnsi="Times New Roman" w:eastAsia="宋体" w:cs="Times New Roman"/>
                <w:bCs/>
                <w:color w:val="auto"/>
                <w:sz w:val="21"/>
                <w:szCs w:val="21"/>
                <w:lang w:val="en-US" w:eastAsia="zh-CN"/>
              </w:rPr>
              <w:t>下表</w:t>
            </w:r>
            <w:r>
              <w:rPr>
                <w:rFonts w:hint="default" w:ascii="Times New Roman" w:hAnsi="Times New Roman" w:eastAsia="宋体" w:cs="Times New Roman"/>
                <w:bCs/>
                <w:color w:val="auto"/>
                <w:sz w:val="21"/>
                <w:szCs w:val="21"/>
                <w:lang w:eastAsia="zh-CN"/>
              </w:rPr>
              <w:t>。</w:t>
            </w:r>
          </w:p>
          <w:p w14:paraId="6D67AB88">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3 </w:t>
            </w:r>
            <w:r>
              <w:rPr>
                <w:rFonts w:hint="default" w:ascii="Times New Roman" w:hAnsi="Times New Roman" w:eastAsia="宋体" w:cs="Times New Roman"/>
                <w:b/>
                <w:bCs/>
                <w:color w:val="auto"/>
                <w:sz w:val="21"/>
                <w:szCs w:val="21"/>
              </w:rPr>
              <w:t>与</w:t>
            </w:r>
            <w:r>
              <w:rPr>
                <w:rFonts w:hint="default" w:ascii="Times New Roman" w:hAnsi="Times New Roman" w:eastAsia="宋体" w:cs="Times New Roman"/>
                <w:b/>
                <w:bCs/>
                <w:color w:val="auto"/>
                <w:sz w:val="21"/>
                <w:szCs w:val="21"/>
                <w:lang w:eastAsia="zh-CN"/>
              </w:rPr>
              <w:t>《常州市生态环境分区管控动态更新成果》（2023年版）</w:t>
            </w:r>
            <w:r>
              <w:rPr>
                <w:rFonts w:hint="default" w:ascii="Times New Roman" w:hAnsi="Times New Roman" w:eastAsia="宋体" w:cs="Times New Roman"/>
                <w:b/>
                <w:bCs/>
                <w:color w:val="auto"/>
                <w:sz w:val="21"/>
                <w:szCs w:val="21"/>
              </w:rPr>
              <w:t>相符性分析</w:t>
            </w:r>
          </w:p>
          <w:tbl>
            <w:tblPr>
              <w:tblStyle w:val="31"/>
              <w:tblW w:w="4997"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3376"/>
              <w:gridCol w:w="2784"/>
              <w:gridCol w:w="827"/>
            </w:tblGrid>
            <w:tr w14:paraId="095666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8" w:type="pct"/>
                  <w:noWrap w:val="0"/>
                  <w:vAlign w:val="center"/>
                </w:tcPr>
                <w:p w14:paraId="3AA41BAC">
                  <w:pPr>
                    <w:pStyle w:val="100"/>
                    <w:rPr>
                      <w:rFonts w:hint="eastAsia" w:ascii="宋体" w:hAnsi="宋体" w:eastAsia="宋体" w:cs="宋体"/>
                      <w:b/>
                      <w:bCs/>
                      <w:color w:val="auto"/>
                      <w:sz w:val="21"/>
                      <w:szCs w:val="21"/>
                    </w:rPr>
                  </w:pPr>
                  <w:r>
                    <w:rPr>
                      <w:rFonts w:hint="eastAsia" w:ascii="宋体" w:hAnsi="宋体" w:eastAsia="宋体" w:cs="宋体"/>
                      <w:b/>
                      <w:bCs/>
                      <w:color w:val="auto"/>
                      <w:sz w:val="21"/>
                      <w:szCs w:val="21"/>
                    </w:rPr>
                    <w:t>管控类别</w:t>
                  </w:r>
                </w:p>
              </w:tc>
              <w:tc>
                <w:tcPr>
                  <w:tcW w:w="2093" w:type="pct"/>
                  <w:noWrap w:val="0"/>
                  <w:vAlign w:val="center"/>
                </w:tcPr>
                <w:p w14:paraId="1107BA9E">
                  <w:pPr>
                    <w:pStyle w:val="100"/>
                    <w:rPr>
                      <w:rFonts w:hint="eastAsia" w:ascii="宋体" w:hAnsi="宋体" w:eastAsia="宋体" w:cs="宋体"/>
                      <w:b/>
                      <w:bCs/>
                      <w:color w:val="auto"/>
                      <w:sz w:val="21"/>
                      <w:szCs w:val="21"/>
                    </w:rPr>
                  </w:pPr>
                  <w:r>
                    <w:rPr>
                      <w:rFonts w:hint="eastAsia" w:ascii="宋体" w:hAnsi="宋体" w:eastAsia="宋体" w:cs="宋体"/>
                      <w:b/>
                      <w:bCs/>
                      <w:color w:val="auto"/>
                      <w:sz w:val="21"/>
                      <w:szCs w:val="21"/>
                    </w:rPr>
                    <w:t>重点管控要求（</w:t>
                  </w:r>
                  <w:r>
                    <w:rPr>
                      <w:rFonts w:hint="eastAsia" w:ascii="宋体" w:hAnsi="宋体" w:eastAsia="宋体" w:cs="宋体"/>
                      <w:b/>
                      <w:bCs/>
                      <w:color w:val="auto"/>
                      <w:sz w:val="21"/>
                      <w:szCs w:val="21"/>
                      <w:lang w:eastAsia="zh-CN"/>
                    </w:rPr>
                    <w:t>朱林现代产业园</w:t>
                  </w:r>
                  <w:r>
                    <w:rPr>
                      <w:rFonts w:hint="eastAsia" w:ascii="宋体" w:hAnsi="宋体" w:eastAsia="宋体" w:cs="宋体"/>
                      <w:b/>
                      <w:bCs/>
                      <w:color w:val="auto"/>
                      <w:sz w:val="21"/>
                      <w:szCs w:val="21"/>
                    </w:rPr>
                    <w:t>）</w:t>
                  </w:r>
                </w:p>
              </w:tc>
              <w:tc>
                <w:tcPr>
                  <w:tcW w:w="2784" w:type="dxa"/>
                  <w:noWrap w:val="0"/>
                  <w:vAlign w:val="center"/>
                </w:tcPr>
                <w:p w14:paraId="2484DF71">
                  <w:pPr>
                    <w:pStyle w:val="100"/>
                    <w:rPr>
                      <w:rFonts w:hint="eastAsia" w:ascii="宋体" w:hAnsi="宋体" w:eastAsia="宋体" w:cs="宋体"/>
                      <w:b/>
                      <w:bCs/>
                      <w:color w:val="auto"/>
                      <w:sz w:val="21"/>
                      <w:szCs w:val="21"/>
                    </w:rPr>
                  </w:pPr>
                  <w:r>
                    <w:rPr>
                      <w:rFonts w:hint="eastAsia" w:ascii="宋体" w:hAnsi="宋体" w:eastAsia="宋体" w:cs="宋体"/>
                      <w:b/>
                      <w:bCs/>
                      <w:color w:val="auto"/>
                      <w:sz w:val="21"/>
                      <w:szCs w:val="21"/>
                    </w:rPr>
                    <w:t>本项目</w:t>
                  </w:r>
                </w:p>
              </w:tc>
              <w:tc>
                <w:tcPr>
                  <w:tcW w:w="827" w:type="dxa"/>
                  <w:noWrap w:val="0"/>
                  <w:vAlign w:val="center"/>
                </w:tcPr>
                <w:p w14:paraId="0AA39BF8">
                  <w:pPr>
                    <w:pStyle w:val="100"/>
                    <w:rPr>
                      <w:rFonts w:hint="eastAsia" w:ascii="宋体" w:hAnsi="宋体" w:eastAsia="宋体" w:cs="宋体"/>
                      <w:b/>
                      <w:bCs/>
                      <w:color w:val="auto"/>
                      <w:sz w:val="21"/>
                      <w:szCs w:val="21"/>
                    </w:rPr>
                  </w:pPr>
                  <w:r>
                    <w:rPr>
                      <w:rFonts w:hint="eastAsia" w:ascii="宋体" w:hAnsi="宋体" w:eastAsia="宋体" w:cs="宋体"/>
                      <w:b/>
                      <w:bCs/>
                      <w:color w:val="auto"/>
                      <w:sz w:val="21"/>
                      <w:szCs w:val="21"/>
                    </w:rPr>
                    <w:t>相符性</w:t>
                  </w:r>
                </w:p>
              </w:tc>
            </w:tr>
            <w:tr w14:paraId="420DDA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8" w:type="pct"/>
                  <w:vMerge w:val="restart"/>
                  <w:noWrap w:val="0"/>
                  <w:vAlign w:val="center"/>
                </w:tcPr>
                <w:p w14:paraId="5C2E5C63">
                  <w:pPr>
                    <w:pStyle w:val="100"/>
                    <w:rPr>
                      <w:rFonts w:hint="eastAsia" w:ascii="宋体" w:hAnsi="宋体" w:eastAsia="宋体" w:cs="宋体"/>
                      <w:color w:val="auto"/>
                      <w:sz w:val="21"/>
                      <w:szCs w:val="21"/>
                    </w:rPr>
                  </w:pPr>
                  <w:r>
                    <w:rPr>
                      <w:rFonts w:hint="eastAsia" w:ascii="宋体" w:hAnsi="宋体" w:eastAsia="宋体" w:cs="宋体"/>
                      <w:color w:val="auto"/>
                      <w:sz w:val="21"/>
                      <w:szCs w:val="21"/>
                    </w:rPr>
                    <w:t>空间布局约束</w:t>
                  </w:r>
                </w:p>
              </w:tc>
              <w:tc>
                <w:tcPr>
                  <w:tcW w:w="2093" w:type="pct"/>
                  <w:noWrap w:val="0"/>
                  <w:vAlign w:val="center"/>
                </w:tcPr>
                <w:p w14:paraId="0BFDE1D6">
                  <w:pPr>
                    <w:pStyle w:val="61"/>
                    <w:tabs>
                      <w:tab w:val="left" w:pos="608"/>
                    </w:tabs>
                    <w:spacing w:before="23" w:line="292" w:lineRule="auto"/>
                    <w:ind w:left="107" w:right="92"/>
                    <w:jc w:val="both"/>
                    <w:rPr>
                      <w:rFonts w:hint="eastAsia" w:ascii="宋体" w:hAnsi="宋体" w:eastAsia="宋体" w:cs="宋体"/>
                      <w:color w:val="auto"/>
                      <w:spacing w:val="-9"/>
                      <w:sz w:val="21"/>
                      <w:szCs w:val="21"/>
                      <w:lang w:eastAsia="zh-CN"/>
                    </w:rPr>
                  </w:pPr>
                  <w:r>
                    <w:rPr>
                      <w:rFonts w:hint="eastAsia" w:ascii="宋体" w:hAnsi="宋体" w:eastAsia="宋体" w:cs="宋体"/>
                      <w:color w:val="auto"/>
                      <w:sz w:val="21"/>
                      <w:szCs w:val="21"/>
                      <w:lang w:eastAsia="zh-CN"/>
                    </w:rPr>
                    <w:t>（1）禁止审批列入国家、省产业政策淘</w:t>
                  </w:r>
                  <w:r>
                    <w:rPr>
                      <w:rFonts w:hint="eastAsia" w:ascii="宋体" w:hAnsi="宋体" w:eastAsia="宋体" w:cs="宋体"/>
                      <w:color w:val="auto"/>
                      <w:spacing w:val="-10"/>
                      <w:sz w:val="21"/>
                      <w:szCs w:val="21"/>
                      <w:lang w:eastAsia="zh-CN"/>
                    </w:rPr>
                    <w:t>汰、限制类项目；不符合规划环评结论及</w:t>
                  </w:r>
                  <w:r>
                    <w:rPr>
                      <w:rFonts w:hint="eastAsia" w:ascii="宋体" w:hAnsi="宋体" w:eastAsia="宋体" w:cs="宋体"/>
                      <w:color w:val="auto"/>
                      <w:spacing w:val="-14"/>
                      <w:sz w:val="21"/>
                      <w:szCs w:val="21"/>
                      <w:lang w:eastAsia="zh-CN"/>
                    </w:rPr>
                    <w:t>审查意见的项目；属于《建设项目环境保</w:t>
                  </w:r>
                  <w:r>
                    <w:rPr>
                      <w:rFonts w:hint="eastAsia" w:ascii="宋体" w:hAnsi="宋体" w:eastAsia="宋体" w:cs="宋体"/>
                      <w:color w:val="auto"/>
                      <w:spacing w:val="-13"/>
                      <w:sz w:val="21"/>
                      <w:szCs w:val="21"/>
                      <w:lang w:eastAsia="zh-CN"/>
                    </w:rPr>
                    <w:t xml:space="preserve">护管理条例》第十一条 </w:t>
                  </w:r>
                  <w:r>
                    <w:rPr>
                      <w:rFonts w:hint="eastAsia" w:ascii="宋体" w:hAnsi="宋体" w:eastAsia="宋体" w:cs="宋体"/>
                      <w:color w:val="auto"/>
                      <w:sz w:val="21"/>
                      <w:szCs w:val="21"/>
                      <w:lang w:eastAsia="zh-CN"/>
                    </w:rPr>
                    <w:t>5</w:t>
                  </w:r>
                  <w:r>
                    <w:rPr>
                      <w:rFonts w:hint="eastAsia" w:ascii="宋体" w:hAnsi="宋体" w:eastAsia="宋体" w:cs="宋体"/>
                      <w:color w:val="auto"/>
                      <w:spacing w:val="3"/>
                      <w:sz w:val="21"/>
                      <w:szCs w:val="21"/>
                      <w:lang w:eastAsia="zh-CN"/>
                    </w:rPr>
                    <w:t xml:space="preserve"> </w:t>
                  </w:r>
                  <w:r>
                    <w:rPr>
                      <w:rFonts w:hint="eastAsia" w:ascii="宋体" w:hAnsi="宋体" w:eastAsia="宋体" w:cs="宋体"/>
                      <w:color w:val="auto"/>
                      <w:sz w:val="21"/>
                      <w:szCs w:val="21"/>
                      <w:lang w:eastAsia="zh-CN"/>
                    </w:rPr>
                    <w:t>种不予批准的</w:t>
                  </w:r>
                  <w:r>
                    <w:rPr>
                      <w:rFonts w:hint="eastAsia" w:ascii="宋体" w:hAnsi="宋体" w:eastAsia="宋体" w:cs="宋体"/>
                      <w:color w:val="auto"/>
                      <w:spacing w:val="6"/>
                      <w:sz w:val="21"/>
                      <w:szCs w:val="21"/>
                      <w:lang w:eastAsia="zh-CN"/>
                    </w:rPr>
                    <w:t>情形的项目；无法落实危险废物合理利</w:t>
                  </w:r>
                  <w:r>
                    <w:rPr>
                      <w:rFonts w:hint="eastAsia" w:ascii="宋体" w:hAnsi="宋体" w:eastAsia="宋体" w:cs="宋体"/>
                      <w:color w:val="auto"/>
                      <w:sz w:val="21"/>
                      <w:szCs w:val="21"/>
                      <w:lang w:eastAsia="zh-CN"/>
                    </w:rPr>
                    <w:t>用、处置途径的项目。</w:t>
                  </w:r>
                </w:p>
              </w:tc>
              <w:tc>
                <w:tcPr>
                  <w:tcW w:w="1725" w:type="pct"/>
                  <w:vMerge w:val="restart"/>
                  <w:noWrap w:val="0"/>
                  <w:vAlign w:val="center"/>
                </w:tcPr>
                <w:p w14:paraId="5ED26D02">
                  <w:pPr>
                    <w:pStyle w:val="100"/>
                    <w:rPr>
                      <w:rFonts w:hint="eastAsia" w:ascii="宋体" w:hAnsi="宋体" w:eastAsia="宋体" w:cs="宋体"/>
                      <w:b/>
                      <w:bCs/>
                      <w:color w:val="auto"/>
                      <w:sz w:val="21"/>
                      <w:szCs w:val="21"/>
                    </w:rPr>
                  </w:pPr>
                  <w:r>
                    <w:rPr>
                      <w:rFonts w:hint="eastAsia" w:ascii="宋体" w:hAnsi="宋体" w:eastAsia="宋体" w:cs="宋体"/>
                      <w:color w:val="auto"/>
                      <w:sz w:val="21"/>
                      <w:szCs w:val="21"/>
                    </w:rPr>
                    <w:t>本项目位于</w:t>
                  </w:r>
                  <w:r>
                    <w:rPr>
                      <w:rFonts w:hint="eastAsia" w:ascii="宋体" w:hAnsi="宋体" w:eastAsia="宋体" w:cs="宋体"/>
                      <w:color w:val="auto"/>
                      <w:sz w:val="21"/>
                      <w:szCs w:val="21"/>
                      <w:lang w:eastAsia="zh-CN"/>
                    </w:rPr>
                    <w:t>朱林现代产业园</w:t>
                  </w:r>
                  <w:r>
                    <w:rPr>
                      <w:rFonts w:hint="eastAsia" w:ascii="宋体" w:hAnsi="宋体" w:eastAsia="宋体" w:cs="宋体"/>
                      <w:color w:val="auto"/>
                      <w:sz w:val="21"/>
                      <w:szCs w:val="21"/>
                    </w:rPr>
                    <w:t>，项目不属于禁止</w:t>
                  </w:r>
                  <w:r>
                    <w:rPr>
                      <w:rFonts w:hint="eastAsia" w:ascii="宋体" w:hAnsi="宋体" w:eastAsia="宋体" w:cs="宋体"/>
                      <w:color w:val="auto"/>
                      <w:spacing w:val="-1"/>
                      <w:sz w:val="21"/>
                      <w:szCs w:val="21"/>
                    </w:rPr>
                    <w:t>引入</w:t>
                  </w:r>
                  <w:r>
                    <w:rPr>
                      <w:rFonts w:hint="eastAsia" w:ascii="宋体" w:hAnsi="宋体" w:eastAsia="宋体" w:cs="宋体"/>
                      <w:color w:val="auto"/>
                      <w:sz w:val="21"/>
                      <w:szCs w:val="21"/>
                    </w:rPr>
                    <w:t>项目。</w:t>
                  </w:r>
                </w:p>
              </w:tc>
              <w:tc>
                <w:tcPr>
                  <w:tcW w:w="512" w:type="pct"/>
                  <w:vMerge w:val="restart"/>
                  <w:noWrap w:val="0"/>
                  <w:vAlign w:val="center"/>
                </w:tcPr>
                <w:p w14:paraId="0C803A58">
                  <w:pPr>
                    <w:pStyle w:val="100"/>
                    <w:rPr>
                      <w:rFonts w:hint="eastAsia" w:ascii="宋体" w:hAnsi="宋体" w:eastAsia="宋体" w:cs="宋体"/>
                      <w:b/>
                      <w:bCs/>
                      <w:color w:val="auto"/>
                      <w:sz w:val="21"/>
                      <w:szCs w:val="21"/>
                      <w:lang w:eastAsia="zh-CN"/>
                    </w:rPr>
                  </w:pPr>
                  <w:r>
                    <w:rPr>
                      <w:rFonts w:hint="eastAsia" w:ascii="宋体" w:hAnsi="宋体" w:eastAsia="宋体" w:cs="宋体"/>
                      <w:color w:val="auto"/>
                      <w:sz w:val="21"/>
                      <w:szCs w:val="21"/>
                      <w:lang w:eastAsia="zh-CN"/>
                    </w:rPr>
                    <w:t>相符</w:t>
                  </w:r>
                </w:p>
              </w:tc>
            </w:tr>
            <w:tr w14:paraId="14CD88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8" w:type="pct"/>
                  <w:vMerge w:val="continue"/>
                  <w:noWrap w:val="0"/>
                  <w:vAlign w:val="center"/>
                </w:tcPr>
                <w:p w14:paraId="240C67D0">
                  <w:pPr>
                    <w:pStyle w:val="100"/>
                    <w:rPr>
                      <w:rFonts w:hint="eastAsia" w:ascii="宋体" w:hAnsi="宋体" w:eastAsia="宋体" w:cs="宋体"/>
                      <w:color w:val="auto"/>
                      <w:sz w:val="21"/>
                      <w:szCs w:val="21"/>
                    </w:rPr>
                  </w:pPr>
                </w:p>
              </w:tc>
              <w:tc>
                <w:tcPr>
                  <w:tcW w:w="2093" w:type="pct"/>
                  <w:noWrap w:val="0"/>
                  <w:vAlign w:val="center"/>
                </w:tcPr>
                <w:p w14:paraId="67C8992A">
                  <w:pPr>
                    <w:rPr>
                      <w:rFonts w:hint="eastAsia" w:ascii="宋体" w:hAnsi="宋体" w:eastAsia="宋体" w:cs="宋体"/>
                      <w:color w:val="auto"/>
                      <w:spacing w:val="-9"/>
                      <w:kern w:val="0"/>
                      <w:sz w:val="21"/>
                      <w:szCs w:val="21"/>
                    </w:rPr>
                  </w:pPr>
                  <w:r>
                    <w:rPr>
                      <w:rFonts w:hint="eastAsia" w:ascii="宋体" w:hAnsi="宋体" w:eastAsia="宋体" w:cs="宋体"/>
                      <w:color w:val="auto"/>
                      <w:sz w:val="21"/>
                      <w:szCs w:val="21"/>
                    </w:rPr>
                    <w:t>（2）严禁引进排放“三致</w:t>
                  </w:r>
                  <w:r>
                    <w:rPr>
                      <w:rFonts w:hint="eastAsia" w:ascii="宋体" w:hAnsi="宋体" w:eastAsia="宋体" w:cs="宋体"/>
                      <w:color w:val="auto"/>
                      <w:spacing w:val="-10"/>
                      <w:sz w:val="21"/>
                      <w:szCs w:val="21"/>
                    </w:rPr>
                    <w:t>”（</w:t>
                  </w:r>
                  <w:r>
                    <w:rPr>
                      <w:rFonts w:hint="eastAsia" w:ascii="宋体" w:hAnsi="宋体" w:eastAsia="宋体" w:cs="宋体"/>
                      <w:color w:val="auto"/>
                      <w:spacing w:val="-5"/>
                      <w:sz w:val="21"/>
                      <w:szCs w:val="21"/>
                    </w:rPr>
                    <w:t>致癌、致畸、致突变</w:t>
                  </w:r>
                  <w:r>
                    <w:rPr>
                      <w:rFonts w:hint="eastAsia" w:ascii="宋体" w:hAnsi="宋体" w:eastAsia="宋体" w:cs="宋体"/>
                      <w:color w:val="auto"/>
                      <w:spacing w:val="-46"/>
                      <w:sz w:val="21"/>
                      <w:szCs w:val="21"/>
                    </w:rPr>
                    <w:t>）</w:t>
                  </w:r>
                  <w:r>
                    <w:rPr>
                      <w:rFonts w:hint="eastAsia" w:ascii="宋体" w:hAnsi="宋体" w:eastAsia="宋体" w:cs="宋体"/>
                      <w:color w:val="auto"/>
                      <w:spacing w:val="-7"/>
                      <w:sz w:val="21"/>
                      <w:szCs w:val="21"/>
                    </w:rPr>
                    <w:t>、列入名录的恶臭污染物及氰</w:t>
                  </w:r>
                  <w:r>
                    <w:rPr>
                      <w:rFonts w:hint="eastAsia" w:ascii="宋体" w:hAnsi="宋体" w:eastAsia="宋体" w:cs="宋体"/>
                      <w:color w:val="auto"/>
                      <w:spacing w:val="-12"/>
                      <w:sz w:val="21"/>
                      <w:szCs w:val="21"/>
                    </w:rPr>
                    <w:t>化物等高污染、高风险物质且严重影响人身</w:t>
                  </w:r>
                  <w:r>
                    <w:rPr>
                      <w:rFonts w:hint="eastAsia" w:ascii="宋体" w:hAnsi="宋体" w:eastAsia="宋体" w:cs="宋体"/>
                      <w:color w:val="auto"/>
                      <w:sz w:val="21"/>
                      <w:szCs w:val="21"/>
                    </w:rPr>
                    <w:t>健康和环境质量的项目</w:t>
                  </w:r>
                </w:p>
              </w:tc>
              <w:tc>
                <w:tcPr>
                  <w:tcW w:w="1725" w:type="pct"/>
                  <w:vMerge w:val="continue"/>
                  <w:noWrap w:val="0"/>
                  <w:vAlign w:val="center"/>
                </w:tcPr>
                <w:p w14:paraId="45CFC3A0">
                  <w:pPr>
                    <w:pStyle w:val="100"/>
                    <w:rPr>
                      <w:rFonts w:hint="eastAsia" w:ascii="宋体" w:hAnsi="宋体" w:eastAsia="宋体" w:cs="宋体"/>
                      <w:b/>
                      <w:bCs/>
                      <w:color w:val="auto"/>
                      <w:sz w:val="21"/>
                      <w:szCs w:val="21"/>
                    </w:rPr>
                  </w:pPr>
                </w:p>
              </w:tc>
              <w:tc>
                <w:tcPr>
                  <w:tcW w:w="512" w:type="pct"/>
                  <w:vMerge w:val="continue"/>
                  <w:noWrap w:val="0"/>
                  <w:vAlign w:val="center"/>
                </w:tcPr>
                <w:p w14:paraId="1815D46F">
                  <w:pPr>
                    <w:pStyle w:val="100"/>
                    <w:rPr>
                      <w:rFonts w:hint="eastAsia" w:ascii="宋体" w:hAnsi="宋体" w:eastAsia="宋体" w:cs="宋体"/>
                      <w:b/>
                      <w:bCs/>
                      <w:color w:val="auto"/>
                      <w:sz w:val="21"/>
                      <w:szCs w:val="21"/>
                    </w:rPr>
                  </w:pPr>
                </w:p>
              </w:tc>
            </w:tr>
            <w:tr w14:paraId="34872D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8" w:type="pct"/>
                  <w:vMerge w:val="restart"/>
                  <w:noWrap w:val="0"/>
                  <w:vAlign w:val="center"/>
                </w:tcPr>
                <w:p w14:paraId="4C65D35A">
                  <w:pPr>
                    <w:pStyle w:val="100"/>
                    <w:rPr>
                      <w:rFonts w:hint="eastAsia" w:ascii="宋体" w:hAnsi="宋体" w:eastAsia="宋体" w:cs="宋体"/>
                      <w:color w:val="auto"/>
                      <w:sz w:val="21"/>
                      <w:szCs w:val="21"/>
                    </w:rPr>
                  </w:pPr>
                  <w:r>
                    <w:rPr>
                      <w:rFonts w:hint="eastAsia" w:ascii="宋体" w:hAnsi="宋体" w:eastAsia="宋体" w:cs="宋体"/>
                      <w:color w:val="auto"/>
                      <w:sz w:val="21"/>
                      <w:szCs w:val="21"/>
                    </w:rPr>
                    <w:t>污染物排放管控</w:t>
                  </w:r>
                </w:p>
              </w:tc>
              <w:tc>
                <w:tcPr>
                  <w:tcW w:w="2093" w:type="pct"/>
                  <w:noWrap w:val="0"/>
                  <w:vAlign w:val="center"/>
                </w:tcPr>
                <w:p w14:paraId="6A1D471B">
                  <w:pPr>
                    <w:pStyle w:val="100"/>
                    <w:rPr>
                      <w:rFonts w:hint="eastAsia" w:ascii="宋体" w:hAnsi="宋体" w:eastAsia="宋体" w:cs="宋体"/>
                      <w:color w:val="auto"/>
                      <w:sz w:val="21"/>
                      <w:szCs w:val="21"/>
                    </w:rPr>
                  </w:pPr>
                  <w:r>
                    <w:rPr>
                      <w:rFonts w:hint="eastAsia" w:ascii="宋体" w:hAnsi="宋体" w:eastAsia="宋体" w:cs="宋体"/>
                      <w:color w:val="auto"/>
                      <w:sz w:val="21"/>
                      <w:szCs w:val="21"/>
                    </w:rPr>
                    <w:t>1.严格实施污染物总量</w:t>
                  </w:r>
                  <w:r>
                    <w:rPr>
                      <w:rFonts w:hint="eastAsia" w:ascii="宋体" w:hAnsi="宋体" w:eastAsia="宋体" w:cs="宋体"/>
                      <w:color w:val="auto"/>
                      <w:spacing w:val="2"/>
                      <w:sz w:val="21"/>
                      <w:szCs w:val="21"/>
                    </w:rPr>
                    <w:t>控制制度，根据区域环境质</w:t>
                  </w:r>
                  <w:r>
                    <w:rPr>
                      <w:rFonts w:hint="eastAsia" w:ascii="宋体" w:hAnsi="宋体" w:eastAsia="宋体" w:cs="宋体"/>
                      <w:color w:val="auto"/>
                      <w:spacing w:val="3"/>
                      <w:sz w:val="21"/>
                      <w:szCs w:val="21"/>
                    </w:rPr>
                    <w:t xml:space="preserve">量改善目标，采取有效措施减少主要污染物排放总量， </w:t>
                  </w:r>
                  <w:r>
                    <w:rPr>
                      <w:rFonts w:hint="eastAsia" w:ascii="宋体" w:hAnsi="宋体" w:eastAsia="宋体" w:cs="宋体"/>
                      <w:color w:val="auto"/>
                      <w:sz w:val="21"/>
                      <w:szCs w:val="21"/>
                    </w:rPr>
                    <w:t>确保区域环境质量持续改善。</w:t>
                  </w:r>
                </w:p>
              </w:tc>
              <w:tc>
                <w:tcPr>
                  <w:tcW w:w="1725" w:type="pct"/>
                  <w:vMerge w:val="restart"/>
                  <w:noWrap w:val="0"/>
                  <w:vAlign w:val="center"/>
                </w:tcPr>
                <w:p w14:paraId="084B367B">
                  <w:pPr>
                    <w:pStyle w:val="100"/>
                    <w:rPr>
                      <w:rFonts w:hint="eastAsia" w:ascii="宋体" w:hAnsi="宋体" w:eastAsia="宋体" w:cs="宋体"/>
                      <w:color w:val="auto"/>
                      <w:sz w:val="21"/>
                      <w:szCs w:val="21"/>
                    </w:rPr>
                  </w:pPr>
                  <w:r>
                    <w:rPr>
                      <w:rFonts w:hint="eastAsia" w:ascii="宋体" w:hAnsi="宋体" w:eastAsia="宋体" w:cs="宋体"/>
                      <w:color w:val="auto"/>
                      <w:sz w:val="21"/>
                      <w:szCs w:val="21"/>
                    </w:rPr>
                    <w:t>本项目有机废气经处理后达标排放，废气排放总量不会突破园区环评报告及批复的总量。</w:t>
                  </w:r>
                </w:p>
              </w:tc>
              <w:tc>
                <w:tcPr>
                  <w:tcW w:w="512" w:type="pct"/>
                  <w:vMerge w:val="restart"/>
                  <w:noWrap w:val="0"/>
                  <w:vAlign w:val="center"/>
                </w:tcPr>
                <w:p w14:paraId="4CBDA5E5">
                  <w:pPr>
                    <w:pStyle w:val="100"/>
                    <w:rPr>
                      <w:rFonts w:hint="eastAsia" w:ascii="宋体" w:hAnsi="宋体" w:eastAsia="宋体" w:cs="宋体"/>
                      <w:b/>
                      <w:bCs/>
                      <w:color w:val="auto"/>
                      <w:sz w:val="21"/>
                      <w:szCs w:val="21"/>
                      <w:lang w:eastAsia="zh-CN"/>
                    </w:rPr>
                  </w:pPr>
                  <w:r>
                    <w:rPr>
                      <w:rFonts w:hint="eastAsia" w:ascii="宋体" w:hAnsi="宋体" w:eastAsia="宋体" w:cs="宋体"/>
                      <w:color w:val="auto"/>
                      <w:sz w:val="21"/>
                      <w:szCs w:val="21"/>
                      <w:lang w:eastAsia="zh-CN"/>
                    </w:rPr>
                    <w:t>相符</w:t>
                  </w:r>
                </w:p>
              </w:tc>
            </w:tr>
            <w:tr w14:paraId="3AD324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8" w:type="pct"/>
                  <w:vMerge w:val="continue"/>
                  <w:noWrap w:val="0"/>
                  <w:vAlign w:val="center"/>
                </w:tcPr>
                <w:p w14:paraId="4DF0C54E">
                  <w:pPr>
                    <w:pStyle w:val="100"/>
                    <w:rPr>
                      <w:rFonts w:hint="eastAsia" w:ascii="宋体" w:hAnsi="宋体" w:eastAsia="宋体" w:cs="宋体"/>
                      <w:color w:val="auto"/>
                      <w:sz w:val="21"/>
                      <w:szCs w:val="21"/>
                    </w:rPr>
                  </w:pPr>
                </w:p>
              </w:tc>
              <w:tc>
                <w:tcPr>
                  <w:tcW w:w="2093" w:type="pct"/>
                  <w:noWrap w:val="0"/>
                  <w:vAlign w:val="center"/>
                </w:tcPr>
                <w:p w14:paraId="5B149CB7">
                  <w:pPr>
                    <w:pStyle w:val="100"/>
                    <w:rPr>
                      <w:rFonts w:hint="eastAsia" w:ascii="宋体" w:hAnsi="宋体" w:eastAsia="宋体" w:cs="宋体"/>
                      <w:color w:val="auto"/>
                      <w:sz w:val="21"/>
                      <w:szCs w:val="21"/>
                    </w:rPr>
                  </w:pPr>
                  <w:r>
                    <w:rPr>
                      <w:rFonts w:hint="eastAsia" w:ascii="宋体" w:hAnsi="宋体" w:eastAsia="宋体" w:cs="宋体"/>
                      <w:color w:val="auto"/>
                      <w:sz w:val="21"/>
                      <w:szCs w:val="21"/>
                    </w:rPr>
                    <w:t>2.园区污染物排放总量不得突破环评报告及批复的总量。</w:t>
                  </w:r>
                </w:p>
              </w:tc>
              <w:tc>
                <w:tcPr>
                  <w:tcW w:w="1725" w:type="pct"/>
                  <w:vMerge w:val="continue"/>
                  <w:noWrap w:val="0"/>
                  <w:vAlign w:val="center"/>
                </w:tcPr>
                <w:p w14:paraId="54C19341">
                  <w:pPr>
                    <w:pStyle w:val="100"/>
                    <w:rPr>
                      <w:rFonts w:hint="eastAsia" w:ascii="宋体" w:hAnsi="宋体" w:eastAsia="宋体" w:cs="宋体"/>
                      <w:color w:val="auto"/>
                      <w:sz w:val="21"/>
                      <w:szCs w:val="21"/>
                    </w:rPr>
                  </w:pPr>
                </w:p>
              </w:tc>
              <w:tc>
                <w:tcPr>
                  <w:tcW w:w="512" w:type="pct"/>
                  <w:vMerge w:val="continue"/>
                  <w:noWrap w:val="0"/>
                  <w:vAlign w:val="center"/>
                </w:tcPr>
                <w:p w14:paraId="196C741E">
                  <w:pPr>
                    <w:pStyle w:val="100"/>
                    <w:rPr>
                      <w:rFonts w:hint="eastAsia" w:ascii="宋体" w:hAnsi="宋体" w:eastAsia="宋体" w:cs="宋体"/>
                      <w:b/>
                      <w:bCs/>
                      <w:color w:val="auto"/>
                      <w:sz w:val="21"/>
                      <w:szCs w:val="21"/>
                    </w:rPr>
                  </w:pPr>
                </w:p>
              </w:tc>
            </w:tr>
            <w:tr w14:paraId="6B2B8D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8" w:type="pct"/>
                  <w:vMerge w:val="restart"/>
                  <w:noWrap w:val="0"/>
                  <w:vAlign w:val="center"/>
                </w:tcPr>
                <w:p w14:paraId="6FB4E5A5">
                  <w:pPr>
                    <w:pStyle w:val="100"/>
                    <w:rPr>
                      <w:rFonts w:hint="eastAsia" w:ascii="宋体" w:hAnsi="宋体" w:eastAsia="宋体" w:cs="宋体"/>
                      <w:color w:val="auto"/>
                      <w:sz w:val="21"/>
                      <w:szCs w:val="21"/>
                    </w:rPr>
                  </w:pPr>
                  <w:r>
                    <w:rPr>
                      <w:rFonts w:hint="eastAsia" w:ascii="宋体" w:hAnsi="宋体" w:eastAsia="宋体" w:cs="宋体"/>
                      <w:color w:val="auto"/>
                      <w:sz w:val="21"/>
                      <w:szCs w:val="21"/>
                    </w:rPr>
                    <w:t>环境风险防控</w:t>
                  </w:r>
                </w:p>
              </w:tc>
              <w:tc>
                <w:tcPr>
                  <w:tcW w:w="2093" w:type="pct"/>
                  <w:noWrap w:val="0"/>
                  <w:vAlign w:val="center"/>
                </w:tcPr>
                <w:p w14:paraId="41714D3E">
                  <w:pPr>
                    <w:pStyle w:val="100"/>
                    <w:rPr>
                      <w:rFonts w:hint="eastAsia" w:ascii="宋体" w:hAnsi="宋体" w:eastAsia="宋体" w:cs="宋体"/>
                      <w:color w:val="auto"/>
                      <w:sz w:val="21"/>
                      <w:szCs w:val="21"/>
                    </w:rPr>
                  </w:pPr>
                  <w:r>
                    <w:rPr>
                      <w:rFonts w:hint="eastAsia" w:ascii="宋体" w:hAnsi="宋体" w:eastAsia="宋体" w:cs="宋体"/>
                      <w:color w:val="auto"/>
                      <w:sz w:val="21"/>
                      <w:szCs w:val="21"/>
                    </w:rPr>
                    <w:t>1.园区建立环境应急体系，完善事故应急救援体系，加强应急物资装备储备，编制突发环境事件应急预案，定期开展演练。</w:t>
                  </w:r>
                </w:p>
              </w:tc>
              <w:tc>
                <w:tcPr>
                  <w:tcW w:w="1725" w:type="pct"/>
                  <w:vMerge w:val="restart"/>
                  <w:noWrap w:val="0"/>
                  <w:vAlign w:val="center"/>
                </w:tcPr>
                <w:p w14:paraId="6062AB12">
                  <w:pPr>
                    <w:pStyle w:val="100"/>
                    <w:rPr>
                      <w:rFonts w:hint="eastAsia" w:ascii="宋体" w:hAnsi="宋体" w:eastAsia="宋体" w:cs="宋体"/>
                      <w:color w:val="auto"/>
                      <w:sz w:val="21"/>
                      <w:szCs w:val="21"/>
                    </w:rPr>
                  </w:pPr>
                  <w:r>
                    <w:rPr>
                      <w:rFonts w:hint="eastAsia" w:ascii="宋体" w:hAnsi="宋体" w:eastAsia="宋体" w:cs="宋体"/>
                      <w:color w:val="auto"/>
                      <w:sz w:val="21"/>
                      <w:szCs w:val="21"/>
                    </w:rPr>
                    <w:t>本项目所在园区已建立环境应急体系，已加强应急物资装备储备，已编制突发环境事件应急预案并定期开展演练；项目建成后立即委托专业单位编制突发环境事件应急预案。</w:t>
                  </w:r>
                </w:p>
              </w:tc>
              <w:tc>
                <w:tcPr>
                  <w:tcW w:w="512" w:type="pct"/>
                  <w:vMerge w:val="restart"/>
                  <w:noWrap w:val="0"/>
                  <w:vAlign w:val="center"/>
                </w:tcPr>
                <w:p w14:paraId="3E2436A4">
                  <w:pPr>
                    <w:pStyle w:val="100"/>
                    <w:rPr>
                      <w:rFonts w:hint="eastAsia" w:ascii="宋体" w:hAnsi="宋体" w:eastAsia="宋体" w:cs="宋体"/>
                      <w:b/>
                      <w:bCs/>
                      <w:color w:val="auto"/>
                      <w:sz w:val="21"/>
                      <w:szCs w:val="21"/>
                      <w:lang w:eastAsia="zh-CN"/>
                    </w:rPr>
                  </w:pPr>
                  <w:r>
                    <w:rPr>
                      <w:rFonts w:hint="eastAsia" w:ascii="宋体" w:hAnsi="宋体" w:eastAsia="宋体" w:cs="宋体"/>
                      <w:color w:val="auto"/>
                      <w:sz w:val="21"/>
                      <w:szCs w:val="21"/>
                      <w:lang w:eastAsia="zh-CN"/>
                    </w:rPr>
                    <w:t>相符</w:t>
                  </w:r>
                </w:p>
              </w:tc>
            </w:tr>
            <w:tr w14:paraId="782A7C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8" w:type="pct"/>
                  <w:vMerge w:val="continue"/>
                  <w:noWrap w:val="0"/>
                  <w:vAlign w:val="center"/>
                </w:tcPr>
                <w:p w14:paraId="064BDE20">
                  <w:pPr>
                    <w:pStyle w:val="100"/>
                    <w:rPr>
                      <w:rFonts w:hint="eastAsia" w:ascii="宋体" w:hAnsi="宋体" w:eastAsia="宋体" w:cs="宋体"/>
                      <w:color w:val="auto"/>
                      <w:sz w:val="21"/>
                      <w:szCs w:val="21"/>
                    </w:rPr>
                  </w:pPr>
                </w:p>
              </w:tc>
              <w:tc>
                <w:tcPr>
                  <w:tcW w:w="2093" w:type="pct"/>
                  <w:noWrap w:val="0"/>
                  <w:vAlign w:val="center"/>
                </w:tcPr>
                <w:p w14:paraId="4553538D">
                  <w:pPr>
                    <w:pStyle w:val="100"/>
                    <w:rPr>
                      <w:rFonts w:hint="eastAsia" w:ascii="宋体" w:hAnsi="宋体" w:eastAsia="宋体" w:cs="宋体"/>
                      <w:color w:val="auto"/>
                      <w:sz w:val="21"/>
                      <w:szCs w:val="21"/>
                    </w:rPr>
                  </w:pPr>
                  <w:r>
                    <w:rPr>
                      <w:rFonts w:hint="eastAsia" w:ascii="宋体" w:hAnsi="宋体" w:eastAsia="宋体" w:cs="宋体"/>
                      <w:color w:val="auto"/>
                      <w:sz w:val="21"/>
                      <w:szCs w:val="21"/>
                    </w:rPr>
                    <w:t>2.生产、使用、储存危险化学品或其他存在环境风险的企事业单位，应当制定风险防范措施，编制完善突发环境事件应急预案，防止发生环境污染事故。</w:t>
                  </w:r>
                </w:p>
              </w:tc>
              <w:tc>
                <w:tcPr>
                  <w:tcW w:w="1725" w:type="pct"/>
                  <w:vMerge w:val="continue"/>
                  <w:noWrap w:val="0"/>
                  <w:vAlign w:val="center"/>
                </w:tcPr>
                <w:p w14:paraId="3DAAE376">
                  <w:pPr>
                    <w:pStyle w:val="100"/>
                    <w:rPr>
                      <w:rFonts w:hint="eastAsia" w:ascii="宋体" w:hAnsi="宋体" w:eastAsia="宋体" w:cs="宋体"/>
                      <w:b/>
                      <w:bCs/>
                      <w:color w:val="auto"/>
                      <w:sz w:val="21"/>
                      <w:szCs w:val="21"/>
                    </w:rPr>
                  </w:pPr>
                </w:p>
              </w:tc>
              <w:tc>
                <w:tcPr>
                  <w:tcW w:w="512" w:type="pct"/>
                  <w:vMerge w:val="continue"/>
                  <w:noWrap w:val="0"/>
                  <w:vAlign w:val="center"/>
                </w:tcPr>
                <w:p w14:paraId="67760893">
                  <w:pPr>
                    <w:pStyle w:val="100"/>
                    <w:rPr>
                      <w:rFonts w:hint="eastAsia" w:ascii="宋体" w:hAnsi="宋体" w:eastAsia="宋体" w:cs="宋体"/>
                      <w:b/>
                      <w:bCs/>
                      <w:color w:val="auto"/>
                      <w:sz w:val="21"/>
                      <w:szCs w:val="21"/>
                    </w:rPr>
                  </w:pPr>
                </w:p>
              </w:tc>
            </w:tr>
            <w:tr w14:paraId="2316F8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8" w:type="pct"/>
                  <w:vMerge w:val="restart"/>
                  <w:noWrap w:val="0"/>
                  <w:vAlign w:val="center"/>
                </w:tcPr>
                <w:p w14:paraId="2B6E8CA9">
                  <w:pPr>
                    <w:pStyle w:val="100"/>
                    <w:rPr>
                      <w:rFonts w:hint="eastAsia" w:ascii="宋体" w:hAnsi="宋体" w:eastAsia="宋体" w:cs="宋体"/>
                      <w:color w:val="auto"/>
                      <w:sz w:val="21"/>
                      <w:szCs w:val="21"/>
                    </w:rPr>
                  </w:pPr>
                  <w:r>
                    <w:rPr>
                      <w:rFonts w:hint="eastAsia" w:ascii="宋体" w:hAnsi="宋体" w:eastAsia="宋体" w:cs="宋体"/>
                      <w:color w:val="auto"/>
                      <w:sz w:val="21"/>
                      <w:szCs w:val="21"/>
                    </w:rPr>
                    <w:t>资源开发效率要求</w:t>
                  </w:r>
                </w:p>
              </w:tc>
              <w:tc>
                <w:tcPr>
                  <w:tcW w:w="2093" w:type="pct"/>
                  <w:noWrap w:val="0"/>
                  <w:vAlign w:val="center"/>
                </w:tcPr>
                <w:p w14:paraId="2B44B756">
                  <w:pPr>
                    <w:pStyle w:val="100"/>
                    <w:rPr>
                      <w:rFonts w:hint="eastAsia" w:ascii="宋体" w:hAnsi="宋体" w:eastAsia="宋体" w:cs="宋体"/>
                      <w:color w:val="auto"/>
                      <w:sz w:val="21"/>
                      <w:szCs w:val="21"/>
                    </w:rPr>
                  </w:pPr>
                  <w:r>
                    <w:rPr>
                      <w:rFonts w:hint="eastAsia" w:ascii="宋体" w:hAnsi="宋体" w:eastAsia="宋体" w:cs="宋体"/>
                      <w:color w:val="auto"/>
                      <w:sz w:val="21"/>
                      <w:szCs w:val="21"/>
                    </w:rPr>
                    <w:t>1.大力倡导使用清洁能源。</w:t>
                  </w:r>
                </w:p>
              </w:tc>
              <w:tc>
                <w:tcPr>
                  <w:tcW w:w="1725" w:type="pct"/>
                  <w:vMerge w:val="restart"/>
                  <w:noWrap w:val="0"/>
                  <w:vAlign w:val="center"/>
                </w:tcPr>
                <w:p w14:paraId="79010CCA">
                  <w:pPr>
                    <w:pStyle w:val="100"/>
                    <w:rPr>
                      <w:rFonts w:hint="eastAsia" w:ascii="宋体" w:hAnsi="宋体" w:eastAsia="宋体" w:cs="宋体"/>
                      <w:color w:val="auto"/>
                      <w:sz w:val="21"/>
                      <w:szCs w:val="21"/>
                    </w:rPr>
                  </w:pPr>
                  <w:r>
                    <w:rPr>
                      <w:rFonts w:hint="eastAsia" w:ascii="宋体" w:hAnsi="宋体" w:eastAsia="宋体" w:cs="宋体"/>
                      <w:color w:val="auto"/>
                      <w:sz w:val="21"/>
                      <w:szCs w:val="21"/>
                    </w:rPr>
                    <w:t>本项目使用清洁能源电力；项目</w:t>
                  </w:r>
                  <w:r>
                    <w:rPr>
                      <w:rFonts w:hint="eastAsia" w:ascii="宋体" w:hAnsi="宋体" w:cs="宋体"/>
                      <w:color w:val="auto"/>
                      <w:sz w:val="21"/>
                      <w:szCs w:val="21"/>
                      <w:lang w:val="en-US" w:eastAsia="zh-CN"/>
                    </w:rPr>
                    <w:t>使用节水型器具，员工生活用水量较低</w:t>
                  </w:r>
                  <w:r>
                    <w:rPr>
                      <w:rFonts w:hint="eastAsia" w:ascii="宋体" w:hAnsi="宋体" w:eastAsia="宋体" w:cs="宋体"/>
                      <w:color w:val="auto"/>
                      <w:sz w:val="21"/>
                      <w:szCs w:val="21"/>
                    </w:rPr>
                    <w:t>；项目无燃煤设施。</w:t>
                  </w:r>
                </w:p>
              </w:tc>
              <w:tc>
                <w:tcPr>
                  <w:tcW w:w="512" w:type="pct"/>
                  <w:vMerge w:val="restart"/>
                  <w:noWrap w:val="0"/>
                  <w:vAlign w:val="center"/>
                </w:tcPr>
                <w:p w14:paraId="0E1B25EE">
                  <w:pPr>
                    <w:pStyle w:val="1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相符</w:t>
                  </w:r>
                </w:p>
              </w:tc>
            </w:tr>
            <w:tr w14:paraId="345A10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8" w:type="pct"/>
                  <w:vMerge w:val="continue"/>
                  <w:noWrap w:val="0"/>
                  <w:vAlign w:val="center"/>
                </w:tcPr>
                <w:p w14:paraId="6465B91E">
                  <w:pPr>
                    <w:pStyle w:val="100"/>
                    <w:rPr>
                      <w:rFonts w:hint="eastAsia" w:ascii="宋体" w:hAnsi="宋体" w:eastAsia="宋体" w:cs="宋体"/>
                      <w:color w:val="auto"/>
                      <w:sz w:val="21"/>
                      <w:szCs w:val="21"/>
                    </w:rPr>
                  </w:pPr>
                </w:p>
              </w:tc>
              <w:tc>
                <w:tcPr>
                  <w:tcW w:w="2093" w:type="pct"/>
                  <w:noWrap w:val="0"/>
                  <w:vAlign w:val="center"/>
                </w:tcPr>
                <w:p w14:paraId="423719BC">
                  <w:pPr>
                    <w:pStyle w:val="100"/>
                    <w:rPr>
                      <w:rFonts w:hint="eastAsia" w:ascii="宋体" w:hAnsi="宋体" w:eastAsia="宋体" w:cs="宋体"/>
                      <w:color w:val="auto"/>
                      <w:sz w:val="21"/>
                      <w:szCs w:val="21"/>
                    </w:rPr>
                  </w:pPr>
                  <w:r>
                    <w:rPr>
                      <w:rFonts w:hint="eastAsia" w:ascii="宋体" w:hAnsi="宋体" w:eastAsia="宋体" w:cs="宋体"/>
                      <w:color w:val="auto"/>
                      <w:sz w:val="21"/>
                      <w:szCs w:val="21"/>
                    </w:rPr>
                    <w:t>2.提升废水资源化技术，提高水资源回用率。</w:t>
                  </w:r>
                </w:p>
              </w:tc>
              <w:tc>
                <w:tcPr>
                  <w:tcW w:w="1725" w:type="pct"/>
                  <w:vMerge w:val="continue"/>
                  <w:noWrap w:val="0"/>
                  <w:vAlign w:val="center"/>
                </w:tcPr>
                <w:p w14:paraId="0337124C">
                  <w:pPr>
                    <w:pStyle w:val="100"/>
                    <w:rPr>
                      <w:rFonts w:hint="eastAsia" w:ascii="宋体" w:hAnsi="宋体" w:eastAsia="宋体" w:cs="宋体"/>
                      <w:color w:val="auto"/>
                      <w:sz w:val="21"/>
                      <w:szCs w:val="21"/>
                    </w:rPr>
                  </w:pPr>
                </w:p>
              </w:tc>
              <w:tc>
                <w:tcPr>
                  <w:tcW w:w="512" w:type="pct"/>
                  <w:vMerge w:val="continue"/>
                  <w:noWrap w:val="0"/>
                  <w:vAlign w:val="center"/>
                </w:tcPr>
                <w:p w14:paraId="6902ED39">
                  <w:pPr>
                    <w:pStyle w:val="100"/>
                    <w:rPr>
                      <w:rFonts w:hint="eastAsia" w:ascii="宋体" w:hAnsi="宋体" w:eastAsia="宋体" w:cs="宋体"/>
                      <w:color w:val="auto"/>
                      <w:sz w:val="21"/>
                      <w:szCs w:val="21"/>
                    </w:rPr>
                  </w:pPr>
                </w:p>
              </w:tc>
            </w:tr>
            <w:tr w14:paraId="736CF5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8" w:type="pct"/>
                  <w:vMerge w:val="continue"/>
                  <w:noWrap w:val="0"/>
                  <w:vAlign w:val="center"/>
                </w:tcPr>
                <w:p w14:paraId="2CF57746">
                  <w:pPr>
                    <w:pStyle w:val="100"/>
                    <w:rPr>
                      <w:rFonts w:hint="eastAsia" w:ascii="宋体" w:hAnsi="宋体" w:eastAsia="宋体" w:cs="宋体"/>
                      <w:color w:val="auto"/>
                      <w:sz w:val="21"/>
                      <w:szCs w:val="21"/>
                    </w:rPr>
                  </w:pPr>
                </w:p>
              </w:tc>
              <w:tc>
                <w:tcPr>
                  <w:tcW w:w="2093" w:type="pct"/>
                  <w:noWrap w:val="0"/>
                  <w:vAlign w:val="center"/>
                </w:tcPr>
                <w:p w14:paraId="338BF795">
                  <w:pPr>
                    <w:pStyle w:val="100"/>
                    <w:rPr>
                      <w:rFonts w:hint="eastAsia" w:ascii="宋体" w:hAnsi="宋体" w:eastAsia="宋体" w:cs="宋体"/>
                      <w:color w:val="auto"/>
                      <w:sz w:val="21"/>
                      <w:szCs w:val="21"/>
                    </w:rPr>
                  </w:pPr>
                  <w:r>
                    <w:rPr>
                      <w:rFonts w:hint="eastAsia" w:ascii="宋体" w:hAnsi="宋体" w:eastAsia="宋体" w:cs="宋体"/>
                      <w:color w:val="auto"/>
                      <w:sz w:val="21"/>
                      <w:szCs w:val="21"/>
                    </w:rPr>
                    <w:t>3.严禁自建燃煤设施。</w:t>
                  </w:r>
                </w:p>
              </w:tc>
              <w:tc>
                <w:tcPr>
                  <w:tcW w:w="1725" w:type="pct"/>
                  <w:vMerge w:val="continue"/>
                  <w:noWrap w:val="0"/>
                  <w:vAlign w:val="center"/>
                </w:tcPr>
                <w:p w14:paraId="3EE932C7">
                  <w:pPr>
                    <w:pStyle w:val="100"/>
                    <w:rPr>
                      <w:rFonts w:hint="eastAsia" w:ascii="宋体" w:hAnsi="宋体" w:eastAsia="宋体" w:cs="宋体"/>
                      <w:color w:val="auto"/>
                      <w:sz w:val="21"/>
                      <w:szCs w:val="21"/>
                    </w:rPr>
                  </w:pPr>
                </w:p>
              </w:tc>
              <w:tc>
                <w:tcPr>
                  <w:tcW w:w="512" w:type="pct"/>
                  <w:vMerge w:val="continue"/>
                  <w:noWrap w:val="0"/>
                  <w:vAlign w:val="center"/>
                </w:tcPr>
                <w:p w14:paraId="3883FB76">
                  <w:pPr>
                    <w:pStyle w:val="100"/>
                    <w:rPr>
                      <w:rFonts w:hint="eastAsia" w:ascii="宋体" w:hAnsi="宋体" w:eastAsia="宋体" w:cs="宋体"/>
                      <w:color w:val="auto"/>
                      <w:sz w:val="21"/>
                      <w:szCs w:val="21"/>
                    </w:rPr>
                  </w:pPr>
                </w:p>
              </w:tc>
            </w:tr>
          </w:tbl>
          <w:p w14:paraId="4664D873">
            <w:pPr>
              <w:autoSpaceDE w:val="0"/>
              <w:autoSpaceDN w:val="0"/>
              <w:adjustRightInd w:val="0"/>
              <w:snapToGrid w:val="0"/>
              <w:spacing w:line="500" w:lineRule="exact"/>
              <w:ind w:firstLine="420" w:firstLineChars="20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Cs/>
                <w:color w:val="auto"/>
                <w:sz w:val="21"/>
                <w:szCs w:val="21"/>
              </w:rPr>
              <w:t>综上，本项目与</w:t>
            </w:r>
            <w:r>
              <w:rPr>
                <w:rFonts w:hint="default" w:ascii="Times New Roman" w:hAnsi="Times New Roman" w:cs="Times New Roman"/>
                <w:bCs/>
                <w:color w:val="auto"/>
                <w:sz w:val="21"/>
                <w:szCs w:val="21"/>
                <w:lang w:eastAsia="zh-CN"/>
              </w:rPr>
              <w:t>《常州市生态环境分区管控动态更新成果》（2023年版）</w:t>
            </w:r>
            <w:r>
              <w:rPr>
                <w:rFonts w:hint="default" w:ascii="Times New Roman" w:hAnsi="Times New Roman" w:eastAsia="宋体" w:cs="Times New Roman"/>
                <w:bCs/>
                <w:color w:val="auto"/>
                <w:sz w:val="21"/>
                <w:szCs w:val="21"/>
              </w:rPr>
              <w:t>的要求相符。</w:t>
            </w:r>
          </w:p>
          <w:p w14:paraId="1139C6C0">
            <w:pPr>
              <w:autoSpaceDE w:val="0"/>
              <w:autoSpaceDN w:val="0"/>
              <w:adjustRightInd w:val="0"/>
              <w:snapToGrid w:val="0"/>
              <w:spacing w:line="500" w:lineRule="exact"/>
              <w:rPr>
                <w:rFonts w:hint="default" w:ascii="Times New Roman" w:hAnsi="Times New Roman" w:eastAsia="宋体" w:cs="Times New Roman"/>
                <w:b/>
                <w:bCs/>
                <w:color w:val="auto"/>
                <w:sz w:val="21"/>
                <w:szCs w:val="21"/>
              </w:rPr>
            </w:pP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rPr>
              <w:t>产业政策相符性分析</w:t>
            </w:r>
          </w:p>
          <w:p w14:paraId="4A1C5F11">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4  </w:t>
            </w:r>
            <w:r>
              <w:rPr>
                <w:rFonts w:hint="default" w:ascii="Times New Roman" w:hAnsi="Times New Roman" w:eastAsia="宋体" w:cs="Times New Roman"/>
                <w:b/>
                <w:bCs/>
                <w:color w:val="auto"/>
                <w:sz w:val="21"/>
                <w:szCs w:val="21"/>
              </w:rPr>
              <w:t>与</w:t>
            </w:r>
            <w:r>
              <w:rPr>
                <w:rFonts w:hint="eastAsia" w:cs="Times New Roman"/>
                <w:b/>
                <w:bCs/>
                <w:color w:val="auto"/>
                <w:sz w:val="21"/>
                <w:szCs w:val="21"/>
                <w:lang w:val="en-US" w:eastAsia="zh-CN"/>
              </w:rPr>
              <w:t>产业政策</w:t>
            </w:r>
            <w:r>
              <w:rPr>
                <w:rFonts w:hint="default" w:ascii="Times New Roman" w:hAnsi="Times New Roman" w:eastAsia="宋体" w:cs="Times New Roman"/>
                <w:b/>
                <w:bCs/>
                <w:color w:val="auto"/>
                <w:sz w:val="21"/>
                <w:szCs w:val="21"/>
              </w:rPr>
              <w:t>相符性分析</w:t>
            </w:r>
          </w:p>
          <w:tbl>
            <w:tblPr>
              <w:tblStyle w:val="3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0"/>
              <w:gridCol w:w="6642"/>
              <w:gridCol w:w="974"/>
            </w:tblGrid>
            <w:tr w14:paraId="66FCB6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Align w:val="center"/>
                </w:tcPr>
                <w:p w14:paraId="5769706E">
                  <w:pPr>
                    <w:adjustRightInd w:val="0"/>
                    <w:snapToGrid w:val="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序号</w:t>
                  </w:r>
                </w:p>
              </w:tc>
              <w:tc>
                <w:tcPr>
                  <w:tcW w:w="4116" w:type="pct"/>
                  <w:vAlign w:val="center"/>
                </w:tcPr>
                <w:p w14:paraId="4481EE41">
                  <w:pPr>
                    <w:adjustRightInd w:val="0"/>
                    <w:snapToGrid w:val="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对照简析</w:t>
                  </w:r>
                </w:p>
              </w:tc>
              <w:tc>
                <w:tcPr>
                  <w:tcW w:w="603" w:type="pct"/>
                  <w:vAlign w:val="center"/>
                </w:tcPr>
                <w:p w14:paraId="1BD870CB">
                  <w:pPr>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bCs/>
                      <w:color w:val="auto"/>
                      <w:sz w:val="21"/>
                      <w:szCs w:val="21"/>
                    </w:rPr>
                    <w:t>相符性</w:t>
                  </w:r>
                </w:p>
              </w:tc>
            </w:tr>
            <w:tr w14:paraId="36EAFE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tcBorders>
                    <w:bottom w:val="single" w:color="auto" w:sz="2" w:space="0"/>
                  </w:tcBorders>
                  <w:vAlign w:val="center"/>
                </w:tcPr>
                <w:p w14:paraId="7209FF0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4116" w:type="pct"/>
                  <w:tcBorders>
                    <w:bottom w:val="single" w:color="auto" w:sz="2" w:space="0"/>
                  </w:tcBorders>
                  <w:vAlign w:val="center"/>
                </w:tcPr>
                <w:p w14:paraId="4B6F45D6">
                  <w:pPr>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本项目不属于国家发改委《产业结构调整指导目录（2024年本）》中限制类和淘汰类项目</w:t>
                  </w:r>
                </w:p>
              </w:tc>
              <w:tc>
                <w:tcPr>
                  <w:tcW w:w="603" w:type="pct"/>
                  <w:tcBorders>
                    <w:bottom w:val="single" w:color="auto" w:sz="2" w:space="0"/>
                  </w:tcBorders>
                  <w:vAlign w:val="center"/>
                </w:tcPr>
                <w:p w14:paraId="55E8553C">
                  <w:pPr>
                    <w:jc w:val="center"/>
                    <w:rPr>
                      <w:rFonts w:hint="default" w:ascii="Times New Roman" w:hAnsi="Times New Roman" w:eastAsia="宋体" w:cs="Times New Roman"/>
                      <w:color w:val="auto"/>
                      <w:sz w:val="21"/>
                      <w:szCs w:val="21"/>
                      <w:lang w:val="en-US"/>
                    </w:rPr>
                  </w:pPr>
                  <w:r>
                    <w:rPr>
                      <w:rFonts w:hint="eastAsia" w:cs="Times New Roman"/>
                      <w:color w:val="auto"/>
                      <w:kern w:val="2"/>
                      <w:sz w:val="21"/>
                      <w:szCs w:val="21"/>
                      <w:lang w:val="en-US" w:eastAsia="zh-CN" w:bidi="ar-SA"/>
                    </w:rPr>
                    <w:t>相符</w:t>
                  </w:r>
                </w:p>
              </w:tc>
            </w:tr>
            <w:tr w14:paraId="38B380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tcBorders>
                    <w:top w:val="single" w:color="auto" w:sz="2" w:space="0"/>
                    <w:bottom w:val="single" w:color="auto" w:sz="2" w:space="0"/>
                  </w:tcBorders>
                  <w:vAlign w:val="center"/>
                </w:tcPr>
                <w:p w14:paraId="38C8730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4116" w:type="pct"/>
                  <w:tcBorders>
                    <w:top w:val="single" w:color="auto" w:sz="2" w:space="0"/>
                    <w:bottom w:val="single" w:color="auto" w:sz="2" w:space="0"/>
                  </w:tcBorders>
                  <w:vAlign w:val="center"/>
                </w:tcPr>
                <w:p w14:paraId="7C06E11C">
                  <w:pPr>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w:t>
                  </w:r>
                  <w:r>
                    <w:rPr>
                      <w:rFonts w:hint="eastAsia" w:eastAsia="宋体" w:cs="Times New Roman"/>
                      <w:b w:val="0"/>
                      <w:bCs w:val="0"/>
                      <w:color w:val="auto"/>
                      <w:kern w:val="2"/>
                      <w:sz w:val="21"/>
                      <w:szCs w:val="21"/>
                      <w:highlight w:val="none"/>
                      <w:lang w:val="en-US" w:eastAsia="zh-CN" w:bidi="ar-SA"/>
                    </w:rPr>
                    <w:t>产品、设备及生产工艺均</w:t>
                  </w:r>
                  <w:r>
                    <w:rPr>
                      <w:rFonts w:hint="default" w:ascii="Times New Roman" w:hAnsi="Times New Roman" w:eastAsia="宋体" w:cs="Times New Roman"/>
                      <w:b w:val="0"/>
                      <w:bCs w:val="0"/>
                      <w:color w:val="auto"/>
                      <w:kern w:val="2"/>
                      <w:sz w:val="21"/>
                      <w:szCs w:val="21"/>
                      <w:highlight w:val="none"/>
                      <w:lang w:val="en-US" w:eastAsia="zh-CN" w:bidi="ar-SA"/>
                    </w:rPr>
                    <w:t>不属于</w:t>
                  </w:r>
                  <w:r>
                    <w:rPr>
                      <w:rFonts w:hint="eastAsia" w:ascii="Times New Roman" w:hAnsi="Times New Roman" w:eastAsia="宋体" w:cs="Times New Roman"/>
                      <w:b w:val="0"/>
                      <w:bCs w:val="0"/>
                      <w:color w:val="auto"/>
                      <w:kern w:val="2"/>
                      <w:sz w:val="21"/>
                      <w:szCs w:val="21"/>
                      <w:highlight w:val="none"/>
                      <w:lang w:val="en-US" w:eastAsia="zh-CN" w:bidi="ar-SA"/>
                    </w:rPr>
                    <w:t>《江苏省产业结构调整限制、淘汰和禁止目录（2018年本）》中限制、淘汰和禁止类有关条款</w:t>
                  </w:r>
                  <w:r>
                    <w:rPr>
                      <w:rFonts w:hint="eastAsia" w:cs="Times New Roman"/>
                      <w:b w:val="0"/>
                      <w:bCs w:val="0"/>
                      <w:color w:val="auto"/>
                      <w:kern w:val="2"/>
                      <w:sz w:val="21"/>
                      <w:szCs w:val="21"/>
                      <w:highlight w:val="none"/>
                      <w:lang w:val="en-US" w:eastAsia="zh-CN" w:bidi="ar-SA"/>
                    </w:rPr>
                    <w:t>。</w:t>
                  </w:r>
                </w:p>
              </w:tc>
              <w:tc>
                <w:tcPr>
                  <w:tcW w:w="603" w:type="pct"/>
                  <w:tcBorders>
                    <w:top w:val="single" w:color="auto" w:sz="2" w:space="0"/>
                    <w:bottom w:val="single" w:color="auto" w:sz="2" w:space="0"/>
                  </w:tcBorders>
                  <w:vAlign w:val="center"/>
                </w:tcPr>
                <w:p w14:paraId="2C65EDAA">
                  <w:pPr>
                    <w:jc w:val="center"/>
                    <w:rPr>
                      <w:rFonts w:hint="default" w:ascii="Times New Roman" w:hAnsi="Times New Roman" w:eastAsia="宋体" w:cs="Times New Roman"/>
                      <w:color w:val="auto"/>
                      <w:sz w:val="21"/>
                      <w:szCs w:val="21"/>
                    </w:rPr>
                  </w:pPr>
                  <w:r>
                    <w:rPr>
                      <w:rFonts w:hint="eastAsia" w:cs="Times New Roman"/>
                      <w:color w:val="auto"/>
                      <w:kern w:val="2"/>
                      <w:sz w:val="21"/>
                      <w:szCs w:val="21"/>
                      <w:lang w:val="en-US" w:eastAsia="zh-CN" w:bidi="ar-SA"/>
                    </w:rPr>
                    <w:t>相符</w:t>
                  </w:r>
                </w:p>
              </w:tc>
            </w:tr>
            <w:tr w14:paraId="3B88AD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tcBorders>
                    <w:top w:val="single" w:color="auto" w:sz="2" w:space="0"/>
                    <w:bottom w:val="single" w:color="auto" w:sz="2" w:space="0"/>
                  </w:tcBorders>
                  <w:vAlign w:val="center"/>
                </w:tcPr>
                <w:p w14:paraId="00F4BC3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4116" w:type="pct"/>
                  <w:tcBorders>
                    <w:top w:val="single" w:color="auto" w:sz="2" w:space="0"/>
                    <w:bottom w:val="single" w:color="auto" w:sz="2" w:space="0"/>
                  </w:tcBorders>
                  <w:vAlign w:val="center"/>
                </w:tcPr>
                <w:p w14:paraId="17126025">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kern w:val="2"/>
                      <w:sz w:val="21"/>
                      <w:szCs w:val="21"/>
                      <w:lang w:val="en-US" w:eastAsia="zh-CN" w:bidi="ar-SA"/>
                    </w:rPr>
                    <w:t>不属于《长江经济带发展负面清单指南（试行，2022年版）》未列入长江经济带发展负面清单，也不属于《市场准入负面清单（202</w:t>
                  </w:r>
                  <w:r>
                    <w:rPr>
                      <w:rFonts w:hint="eastAsia" w:cs="Times New Roman"/>
                      <w:color w:val="auto"/>
                      <w:kern w:val="2"/>
                      <w:sz w:val="21"/>
                      <w:szCs w:val="21"/>
                      <w:lang w:val="en-US" w:eastAsia="zh-CN" w:bidi="ar-SA"/>
                    </w:rPr>
                    <w:t>5</w:t>
                  </w:r>
                  <w:r>
                    <w:rPr>
                      <w:rFonts w:hint="default" w:ascii="Times New Roman" w:hAnsi="Times New Roman" w:eastAsia="宋体" w:cs="Times New Roman"/>
                      <w:color w:val="auto"/>
                      <w:kern w:val="2"/>
                      <w:sz w:val="21"/>
                      <w:szCs w:val="21"/>
                      <w:lang w:val="en-US" w:eastAsia="zh-CN" w:bidi="ar-SA"/>
                    </w:rPr>
                    <w:t>年版）》中禁止准入类</w:t>
                  </w:r>
                </w:p>
              </w:tc>
              <w:tc>
                <w:tcPr>
                  <w:tcW w:w="603" w:type="pct"/>
                  <w:tcBorders>
                    <w:top w:val="single" w:color="auto" w:sz="2" w:space="0"/>
                    <w:bottom w:val="single" w:color="auto" w:sz="2" w:space="0"/>
                  </w:tcBorders>
                  <w:vAlign w:val="center"/>
                </w:tcPr>
                <w:p w14:paraId="505AA9F5">
                  <w:pPr>
                    <w:jc w:val="center"/>
                    <w:rPr>
                      <w:rFonts w:hint="default" w:ascii="Times New Roman" w:hAnsi="Times New Roman" w:eastAsia="宋体" w:cs="Times New Roman"/>
                      <w:color w:val="auto"/>
                      <w:sz w:val="21"/>
                      <w:szCs w:val="21"/>
                    </w:rPr>
                  </w:pPr>
                  <w:r>
                    <w:rPr>
                      <w:rFonts w:hint="eastAsia" w:cs="Times New Roman"/>
                      <w:color w:val="auto"/>
                      <w:kern w:val="2"/>
                      <w:sz w:val="21"/>
                      <w:szCs w:val="21"/>
                      <w:lang w:val="en-US" w:eastAsia="zh-CN" w:bidi="ar-SA"/>
                    </w:rPr>
                    <w:t>相符</w:t>
                  </w:r>
                </w:p>
              </w:tc>
            </w:tr>
            <w:tr w14:paraId="1B56AA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tcBorders>
                    <w:top w:val="single" w:color="auto" w:sz="2" w:space="0"/>
                    <w:bottom w:val="single" w:color="auto" w:sz="2" w:space="0"/>
                  </w:tcBorders>
                  <w:vAlign w:val="center"/>
                </w:tcPr>
                <w:p w14:paraId="0D16E00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4116" w:type="pct"/>
                  <w:tcBorders>
                    <w:top w:val="single" w:color="auto" w:sz="2" w:space="0"/>
                    <w:bottom w:val="single" w:color="auto" w:sz="2" w:space="0"/>
                  </w:tcBorders>
                  <w:vAlign w:val="center"/>
                </w:tcPr>
                <w:p w14:paraId="3B047451">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本项目产品不在《江苏省太湖流域禁止和限制的产品目录（2024年本）》（苏发改规发〔2024〕3号）中禁止和限制的产业产品目录范围</w:t>
                  </w:r>
                  <w:r>
                    <w:rPr>
                      <w:rFonts w:hint="default" w:ascii="Times New Roman" w:hAnsi="Times New Roman" w:eastAsia="宋体" w:cs="Times New Roman"/>
                      <w:color w:val="auto"/>
                      <w:kern w:val="2"/>
                      <w:sz w:val="21"/>
                      <w:szCs w:val="21"/>
                      <w:lang w:val="en-US" w:eastAsia="zh-CN" w:bidi="ar-SA"/>
                    </w:rPr>
                    <w:tab/>
                  </w:r>
                </w:p>
              </w:tc>
              <w:tc>
                <w:tcPr>
                  <w:tcW w:w="603" w:type="pct"/>
                  <w:tcBorders>
                    <w:top w:val="single" w:color="auto" w:sz="2" w:space="0"/>
                    <w:bottom w:val="single" w:color="auto" w:sz="2" w:space="0"/>
                  </w:tcBorders>
                  <w:vAlign w:val="center"/>
                </w:tcPr>
                <w:p w14:paraId="0AB94AD6">
                  <w:pPr>
                    <w:jc w:val="center"/>
                    <w:rPr>
                      <w:rFonts w:hint="default" w:ascii="Times New Roman" w:hAnsi="Times New Roman" w:eastAsia="宋体" w:cs="Times New Roman"/>
                      <w:color w:val="auto"/>
                      <w:sz w:val="21"/>
                      <w:szCs w:val="21"/>
                    </w:rPr>
                  </w:pPr>
                  <w:r>
                    <w:rPr>
                      <w:rFonts w:hint="eastAsia" w:cs="Times New Roman"/>
                      <w:color w:val="auto"/>
                      <w:kern w:val="2"/>
                      <w:sz w:val="21"/>
                      <w:szCs w:val="21"/>
                      <w:lang w:val="en-US" w:eastAsia="zh-CN" w:bidi="ar-SA"/>
                    </w:rPr>
                    <w:t>相符</w:t>
                  </w:r>
                </w:p>
              </w:tc>
            </w:tr>
            <w:tr w14:paraId="0BA46F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tcBorders>
                    <w:top w:val="single" w:color="auto" w:sz="2" w:space="0"/>
                    <w:bottom w:val="single" w:color="auto" w:sz="2" w:space="0"/>
                  </w:tcBorders>
                  <w:vAlign w:val="center"/>
                </w:tcPr>
                <w:p w14:paraId="415C5A4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4116" w:type="pct"/>
                  <w:tcBorders>
                    <w:top w:val="single" w:color="auto" w:sz="2" w:space="0"/>
                    <w:bottom w:val="single" w:color="auto" w:sz="2" w:space="0"/>
                  </w:tcBorders>
                  <w:vAlign w:val="center"/>
                </w:tcPr>
                <w:p w14:paraId="2FA87A61">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本项目产品</w:t>
                  </w:r>
                  <w:r>
                    <w:rPr>
                      <w:rFonts w:hint="eastAsia" w:cs="Times New Roman"/>
                      <w:color w:val="auto"/>
                      <w:kern w:val="2"/>
                      <w:sz w:val="21"/>
                      <w:szCs w:val="21"/>
                      <w:lang w:val="en-US" w:eastAsia="zh-CN" w:bidi="ar-SA"/>
                    </w:rPr>
                    <w:t>为塑料膜和塑料袋，</w:t>
                  </w:r>
                  <w:r>
                    <w:rPr>
                      <w:rFonts w:hint="default" w:ascii="Times New Roman" w:hAnsi="Times New Roman" w:eastAsia="宋体" w:cs="Times New Roman"/>
                      <w:color w:val="auto"/>
                      <w:kern w:val="2"/>
                      <w:sz w:val="21"/>
                      <w:szCs w:val="21"/>
                      <w:lang w:val="en-US" w:eastAsia="zh-CN" w:bidi="ar-SA"/>
                    </w:rPr>
                    <w:t>不属于《环境保护综合名录》（2021年版）中“高污染、高环境风险”产品名录范围</w:t>
                  </w:r>
                  <w:r>
                    <w:rPr>
                      <w:rFonts w:hint="default" w:ascii="Times New Roman" w:hAnsi="Times New Roman" w:eastAsia="宋体" w:cs="Times New Roman"/>
                      <w:color w:val="auto"/>
                      <w:kern w:val="2"/>
                      <w:sz w:val="21"/>
                      <w:szCs w:val="21"/>
                      <w:lang w:val="en-US" w:eastAsia="zh-CN" w:bidi="ar-SA"/>
                    </w:rPr>
                    <w:tab/>
                  </w:r>
                </w:p>
              </w:tc>
              <w:tc>
                <w:tcPr>
                  <w:tcW w:w="603" w:type="pct"/>
                  <w:tcBorders>
                    <w:top w:val="single" w:color="auto" w:sz="2" w:space="0"/>
                    <w:bottom w:val="single" w:color="auto" w:sz="2" w:space="0"/>
                  </w:tcBorders>
                  <w:vAlign w:val="center"/>
                </w:tcPr>
                <w:p w14:paraId="52EBE04D">
                  <w:pPr>
                    <w:jc w:val="center"/>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相符</w:t>
                  </w:r>
                </w:p>
              </w:tc>
            </w:tr>
            <w:tr w14:paraId="32A884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tcBorders>
                    <w:top w:val="single" w:color="auto" w:sz="2" w:space="0"/>
                    <w:bottom w:val="single" w:color="auto" w:sz="2" w:space="0"/>
                  </w:tcBorders>
                  <w:vAlign w:val="center"/>
                </w:tcPr>
                <w:p w14:paraId="7C2BEF1A">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c>
                <w:tcPr>
                  <w:tcW w:w="4116" w:type="pct"/>
                  <w:tcBorders>
                    <w:top w:val="single" w:color="auto" w:sz="2" w:space="0"/>
                    <w:bottom w:val="single" w:color="auto" w:sz="2" w:space="0"/>
                  </w:tcBorders>
                  <w:vAlign w:val="center"/>
                </w:tcPr>
                <w:p w14:paraId="7C60328D">
                  <w:pPr>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本项目不属于《江苏省 “两高” 项目管理目录（202</w:t>
                  </w:r>
                  <w:r>
                    <w:rPr>
                      <w:rFonts w:hint="eastAsia" w:eastAsia="宋体" w:cs="Times New Roman"/>
                      <w:color w:val="auto"/>
                      <w:kern w:val="2"/>
                      <w:sz w:val="21"/>
                      <w:szCs w:val="21"/>
                      <w:lang w:val="en-US" w:eastAsia="zh-CN" w:bidi="ar-SA"/>
                    </w:rPr>
                    <w:t>5</w:t>
                  </w:r>
                  <w:r>
                    <w:rPr>
                      <w:rFonts w:hint="default" w:ascii="Times New Roman" w:hAnsi="Times New Roman" w:eastAsia="宋体" w:cs="Times New Roman"/>
                      <w:color w:val="auto"/>
                      <w:kern w:val="2"/>
                      <w:sz w:val="21"/>
                      <w:szCs w:val="21"/>
                      <w:lang w:val="en-US" w:eastAsia="zh-CN" w:bidi="ar-SA"/>
                    </w:rPr>
                    <w:t xml:space="preserve"> 年版）》中“两高” 项目范围</w:t>
                  </w:r>
                  <w:r>
                    <w:rPr>
                      <w:rFonts w:hint="default" w:ascii="Times New Roman" w:hAnsi="Times New Roman" w:eastAsia="宋体" w:cs="Times New Roman"/>
                      <w:color w:val="auto"/>
                      <w:kern w:val="2"/>
                      <w:sz w:val="21"/>
                      <w:szCs w:val="21"/>
                      <w:lang w:val="en-US" w:eastAsia="zh-CN" w:bidi="ar-SA"/>
                    </w:rPr>
                    <w:tab/>
                  </w:r>
                </w:p>
              </w:tc>
              <w:tc>
                <w:tcPr>
                  <w:tcW w:w="603" w:type="pct"/>
                  <w:tcBorders>
                    <w:top w:val="single" w:color="auto" w:sz="2" w:space="0"/>
                    <w:bottom w:val="single" w:color="auto" w:sz="2" w:space="0"/>
                  </w:tcBorders>
                  <w:vAlign w:val="center"/>
                </w:tcPr>
                <w:p w14:paraId="46E7662F">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相符</w:t>
                  </w:r>
                </w:p>
              </w:tc>
            </w:tr>
            <w:tr w14:paraId="00D646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tcBorders>
                    <w:top w:val="single" w:color="auto" w:sz="2" w:space="0"/>
                    <w:bottom w:val="single" w:color="auto" w:sz="2" w:space="0"/>
                  </w:tcBorders>
                  <w:vAlign w:val="center"/>
                </w:tcPr>
                <w:p w14:paraId="3D5C21AE">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w:t>
                  </w:r>
                </w:p>
              </w:tc>
              <w:tc>
                <w:tcPr>
                  <w:tcW w:w="4116" w:type="pct"/>
                  <w:tcBorders>
                    <w:top w:val="single" w:color="auto" w:sz="2" w:space="0"/>
                    <w:bottom w:val="single" w:color="auto" w:sz="2" w:space="0"/>
                  </w:tcBorders>
                  <w:vAlign w:val="center"/>
                </w:tcPr>
                <w:p w14:paraId="52F9BA91">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本项目已</w:t>
                  </w:r>
                  <w:r>
                    <w:rPr>
                      <w:rFonts w:hint="default" w:ascii="Times New Roman" w:hAnsi="Times New Roman" w:eastAsia="宋体" w:cs="Times New Roman"/>
                      <w:b w:val="0"/>
                      <w:bCs/>
                      <w:color w:val="auto"/>
                      <w:sz w:val="21"/>
                      <w:szCs w:val="21"/>
                      <w:lang w:val="en-US" w:eastAsia="zh-CN"/>
                    </w:rPr>
                    <w:t>于</w:t>
                  </w:r>
                  <w:r>
                    <w:rPr>
                      <w:rFonts w:hint="default" w:ascii="Times New Roman" w:hAnsi="Times New Roman" w:eastAsia="宋体" w:cs="Times New Roman"/>
                      <w:color w:val="auto"/>
                      <w:sz w:val="21"/>
                      <w:szCs w:val="21"/>
                      <w:lang w:eastAsia="zh-CN"/>
                    </w:rPr>
                    <w:t>202</w:t>
                  </w: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lang w:eastAsia="zh-CN"/>
                    </w:rPr>
                    <w:t>年</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月</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日</w:t>
                  </w:r>
                  <w:r>
                    <w:rPr>
                      <w:rFonts w:hint="default" w:ascii="Times New Roman" w:hAnsi="Times New Roman" w:eastAsia="宋体" w:cs="Times New Roman"/>
                      <w:color w:val="auto"/>
                      <w:kern w:val="2"/>
                      <w:sz w:val="21"/>
                      <w:szCs w:val="21"/>
                      <w:lang w:val="en-US" w:eastAsia="zh-CN" w:bidi="ar-SA"/>
                    </w:rPr>
                    <w:t>在</w:t>
                  </w:r>
                  <w:r>
                    <w:rPr>
                      <w:rFonts w:hint="eastAsia" w:cs="Times New Roman"/>
                      <w:b w:val="0"/>
                      <w:bCs/>
                      <w:color w:val="auto"/>
                      <w:sz w:val="21"/>
                      <w:szCs w:val="21"/>
                      <w:lang w:val="en-US" w:eastAsia="zh-CN"/>
                    </w:rPr>
                    <w:t>常州市金坛区发展和改革局</w:t>
                  </w:r>
                  <w:r>
                    <w:rPr>
                      <w:rFonts w:hint="default" w:ascii="Times New Roman" w:hAnsi="Times New Roman" w:eastAsia="宋体" w:cs="Times New Roman"/>
                      <w:color w:val="auto"/>
                      <w:kern w:val="2"/>
                      <w:sz w:val="21"/>
                      <w:szCs w:val="21"/>
                      <w:lang w:val="en-US" w:eastAsia="zh-CN" w:bidi="ar-SA"/>
                    </w:rPr>
                    <w:t>进行了备案（</w:t>
                  </w:r>
                  <w:r>
                    <w:rPr>
                      <w:rFonts w:hint="eastAsia" w:cs="Times New Roman"/>
                      <w:color w:val="auto"/>
                      <w:sz w:val="21"/>
                      <w:szCs w:val="21"/>
                      <w:lang w:eastAsia="zh-CN"/>
                    </w:rPr>
                    <w:t>坛发改备〔2026〕126号</w:t>
                  </w:r>
                  <w:r>
                    <w:rPr>
                      <w:rFonts w:hint="default" w:ascii="Times New Roman" w:hAnsi="Times New Roman" w:eastAsia="宋体" w:cs="Times New Roman"/>
                      <w:color w:val="auto"/>
                      <w:kern w:val="2"/>
                      <w:sz w:val="21"/>
                      <w:szCs w:val="21"/>
                      <w:lang w:val="en-US" w:eastAsia="zh-CN" w:bidi="ar-SA"/>
                    </w:rPr>
                    <w:t>，见附件1），符合区域产业政策</w:t>
                  </w:r>
                  <w:r>
                    <w:rPr>
                      <w:rFonts w:hint="default" w:ascii="Times New Roman" w:hAnsi="Times New Roman" w:eastAsia="宋体" w:cs="Times New Roman"/>
                      <w:color w:val="auto"/>
                      <w:kern w:val="2"/>
                      <w:sz w:val="21"/>
                      <w:szCs w:val="21"/>
                      <w:lang w:val="en-US" w:eastAsia="zh-CN" w:bidi="ar-SA"/>
                    </w:rPr>
                    <w:tab/>
                  </w:r>
                </w:p>
              </w:tc>
              <w:tc>
                <w:tcPr>
                  <w:tcW w:w="603" w:type="pct"/>
                  <w:tcBorders>
                    <w:top w:val="single" w:color="auto" w:sz="2" w:space="0"/>
                    <w:bottom w:val="single" w:color="auto" w:sz="2" w:space="0"/>
                  </w:tcBorders>
                  <w:vAlign w:val="center"/>
                </w:tcPr>
                <w:p w14:paraId="1F5487D2">
                  <w:pPr>
                    <w:jc w:val="center"/>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相符</w:t>
                  </w:r>
                </w:p>
              </w:tc>
            </w:tr>
          </w:tbl>
          <w:p w14:paraId="6C606410">
            <w:pPr>
              <w:autoSpaceDE w:val="0"/>
              <w:autoSpaceDN w:val="0"/>
              <w:adjustRightInd w:val="0"/>
              <w:snapToGrid w:val="0"/>
              <w:spacing w:line="500" w:lineRule="exact"/>
              <w:jc w:val="left"/>
              <w:rPr>
                <w:rFonts w:hint="default" w:ascii="Times New Roman" w:hAnsi="Times New Roman" w:eastAsia="宋体" w:cs="Times New Roman"/>
                <w:b/>
                <w:bCs/>
                <w:color w:val="auto"/>
                <w:sz w:val="21"/>
                <w:szCs w:val="21"/>
              </w:rPr>
            </w:pPr>
            <w:r>
              <w:rPr>
                <w:rFonts w:hint="eastAsia" w:cs="Times New Roman"/>
                <w:b/>
                <w:color w:val="auto"/>
                <w:sz w:val="21"/>
                <w:szCs w:val="21"/>
                <w:lang w:val="en-US" w:eastAsia="zh-CN"/>
              </w:rPr>
              <w:t>6、本项目位于</w:t>
            </w:r>
            <w:r>
              <w:rPr>
                <w:rFonts w:hint="default" w:ascii="Times New Roman" w:hAnsi="Times New Roman" w:eastAsia="宋体" w:cs="Times New Roman"/>
                <w:b/>
                <w:bCs w:val="0"/>
                <w:color w:val="auto"/>
                <w:sz w:val="21"/>
                <w:szCs w:val="21"/>
              </w:rPr>
              <w:t>太湖流域</w:t>
            </w:r>
            <w:r>
              <w:rPr>
                <w:rFonts w:hint="eastAsia" w:cs="Times New Roman"/>
                <w:b/>
                <w:bCs w:val="0"/>
                <w:color w:val="auto"/>
                <w:sz w:val="21"/>
                <w:szCs w:val="21"/>
                <w:lang w:val="en-US" w:eastAsia="zh-CN"/>
              </w:rPr>
              <w:t>三级保护区，项目</w:t>
            </w:r>
            <w:r>
              <w:rPr>
                <w:rFonts w:hint="default" w:ascii="Times New Roman" w:hAnsi="Times New Roman" w:eastAsia="宋体" w:cs="Times New Roman"/>
                <w:b/>
                <w:color w:val="auto"/>
                <w:sz w:val="21"/>
                <w:szCs w:val="21"/>
              </w:rPr>
              <w:t>与</w:t>
            </w:r>
            <w:r>
              <w:rPr>
                <w:rFonts w:hint="default" w:ascii="Times New Roman" w:hAnsi="Times New Roman" w:eastAsia="宋体" w:cs="Times New Roman"/>
                <w:b/>
                <w:bCs w:val="0"/>
                <w:color w:val="auto"/>
                <w:sz w:val="21"/>
                <w:szCs w:val="21"/>
              </w:rPr>
              <w:t>《太湖流域管理条例》（国务院令第604号）</w:t>
            </w:r>
            <w:r>
              <w:rPr>
                <w:rFonts w:hint="eastAsia" w:cs="Times New Roman"/>
                <w:b/>
                <w:color w:val="auto"/>
                <w:sz w:val="21"/>
                <w:szCs w:val="21"/>
                <w:lang w:eastAsia="zh-CN"/>
              </w:rPr>
              <w:t>、</w:t>
            </w:r>
            <w:r>
              <w:rPr>
                <w:rFonts w:hint="default" w:ascii="Times New Roman" w:hAnsi="Times New Roman" w:eastAsia="宋体" w:cs="Times New Roman"/>
                <w:b/>
                <w:bCs/>
                <w:color w:val="auto"/>
                <w:sz w:val="21"/>
                <w:szCs w:val="21"/>
              </w:rPr>
              <w:t>《江苏省太湖水污染防治条例》</w:t>
            </w:r>
            <w:r>
              <w:rPr>
                <w:rFonts w:hint="default" w:ascii="Times New Roman" w:hAnsi="Times New Roman" w:eastAsia="宋体" w:cs="Times New Roman"/>
                <w:b/>
                <w:color w:val="auto"/>
                <w:sz w:val="21"/>
                <w:szCs w:val="21"/>
              </w:rPr>
              <w:t>相符性分析</w:t>
            </w:r>
            <w:r>
              <w:rPr>
                <w:rFonts w:hint="eastAsia" w:cs="Times New Roman"/>
                <w:b/>
                <w:color w:val="auto"/>
                <w:sz w:val="21"/>
                <w:szCs w:val="21"/>
                <w:lang w:val="en-US" w:eastAsia="zh-CN"/>
              </w:rPr>
              <w:t>如下</w:t>
            </w:r>
          </w:p>
          <w:p w14:paraId="7CE7359F">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p>
          <w:p w14:paraId="493BDA13">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5 </w:t>
            </w:r>
            <w:r>
              <w:rPr>
                <w:rFonts w:hint="default" w:ascii="Times New Roman" w:hAnsi="Times New Roman" w:eastAsia="宋体" w:cs="Times New Roman"/>
                <w:b/>
                <w:bCs/>
                <w:color w:val="auto"/>
                <w:sz w:val="21"/>
                <w:szCs w:val="21"/>
              </w:rPr>
              <w:t>与《太湖流域管理条例》相符性分析</w:t>
            </w:r>
          </w:p>
          <w:tbl>
            <w:tblPr>
              <w:tblStyle w:val="3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4"/>
              <w:gridCol w:w="5120"/>
              <w:gridCol w:w="1315"/>
              <w:gridCol w:w="1007"/>
            </w:tblGrid>
            <w:tr w14:paraId="608600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Align w:val="center"/>
                </w:tcPr>
                <w:p w14:paraId="4F54C87B">
                  <w:pPr>
                    <w:adjustRightInd w:val="0"/>
                    <w:snapToGrid w:val="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条款</w:t>
                  </w:r>
                </w:p>
              </w:tc>
              <w:tc>
                <w:tcPr>
                  <w:tcW w:w="3173" w:type="pct"/>
                  <w:vAlign w:val="center"/>
                </w:tcPr>
                <w:p w14:paraId="0EE5E7F1">
                  <w:pPr>
                    <w:adjustRightInd w:val="0"/>
                    <w:snapToGrid w:val="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内容</w:t>
                  </w:r>
                </w:p>
              </w:tc>
              <w:tc>
                <w:tcPr>
                  <w:tcW w:w="815" w:type="pct"/>
                  <w:vAlign w:val="center"/>
                </w:tcPr>
                <w:p w14:paraId="292E8A3B">
                  <w:pPr>
                    <w:jc w:val="center"/>
                    <w:rPr>
                      <w:rFonts w:hint="eastAsia" w:ascii="Times New Roman" w:hAnsi="Times New Roman" w:eastAsia="宋体" w:cs="Times New Roman"/>
                      <w:b/>
                      <w:color w:val="auto"/>
                      <w:sz w:val="21"/>
                      <w:szCs w:val="21"/>
                      <w:lang w:eastAsia="zh-CN"/>
                    </w:rPr>
                  </w:pPr>
                  <w:r>
                    <w:rPr>
                      <w:rFonts w:hint="eastAsia" w:cs="Times New Roman"/>
                      <w:b/>
                      <w:color w:val="auto"/>
                      <w:sz w:val="21"/>
                      <w:szCs w:val="21"/>
                      <w:lang w:val="en-US" w:eastAsia="zh-CN"/>
                    </w:rPr>
                    <w:t>本项目</w:t>
                  </w:r>
                </w:p>
              </w:tc>
              <w:tc>
                <w:tcPr>
                  <w:tcW w:w="624" w:type="pct"/>
                  <w:vAlign w:val="center"/>
                </w:tcPr>
                <w:p w14:paraId="24654030">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相符性</w:t>
                  </w:r>
                </w:p>
              </w:tc>
            </w:tr>
            <w:tr w14:paraId="17AB3F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387" w:type="pct"/>
                  <w:tcBorders>
                    <w:bottom w:val="single" w:color="auto" w:sz="2" w:space="0"/>
                  </w:tcBorders>
                  <w:vAlign w:val="center"/>
                </w:tcPr>
                <w:p w14:paraId="4379524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第二十八条</w:t>
                  </w:r>
                </w:p>
              </w:tc>
              <w:tc>
                <w:tcPr>
                  <w:tcW w:w="3173" w:type="pct"/>
                  <w:tcBorders>
                    <w:bottom w:val="single" w:color="auto" w:sz="2" w:space="0"/>
                  </w:tcBorders>
                  <w:vAlign w:val="center"/>
                </w:tcPr>
                <w:p w14:paraId="59EDD2F3">
                  <w:pPr>
                    <w:adjustRightInd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排污单位排放水污染物，不得超过经核定的水污染物排放总量，并应当按照规定设置便于检查、采样的规范化排污口，悬挂标志牌；不得私设暗管或者采取其他规避监管的方式排放水污染物。</w:t>
                  </w:r>
                </w:p>
                <w:p w14:paraId="11FC9E86">
                  <w:pPr>
                    <w:adjustRightInd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禁止在太湖流域设置不符合国家产业政策和水环境综合治理要求的造纸、制革、</w:t>
                  </w:r>
                  <w:r>
                    <w:rPr>
                      <w:rFonts w:hint="eastAsia" w:cs="Times New Roman"/>
                      <w:color w:val="auto"/>
                      <w:sz w:val="21"/>
                      <w:szCs w:val="21"/>
                      <w:lang w:eastAsia="zh-CN"/>
                    </w:rPr>
                    <w:t>乙醇</w:t>
                  </w:r>
                  <w:r>
                    <w:rPr>
                      <w:rFonts w:hint="default" w:ascii="Times New Roman" w:hAnsi="Times New Roman" w:eastAsia="宋体" w:cs="Times New Roman"/>
                      <w:color w:val="auto"/>
                      <w:sz w:val="21"/>
                      <w:szCs w:val="21"/>
                    </w:rPr>
                    <w:t>、淀粉、冶金、酿造、印染、电镀等排放水污染物的生产项目，现有的生产项目不能实现达标排放的，应当依法关闭。</w:t>
                  </w:r>
                </w:p>
                <w:p w14:paraId="44BF69EB">
                  <w:pPr>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在太湖流域新设企业应当符合国家规定的清洁生产要求，现有的企业尚未达到清洁生产要求的，应当按照清洁生产规划要求进行技术改造，两省一市人民政府应当加强监督检查。</w:t>
                  </w:r>
                </w:p>
              </w:tc>
              <w:tc>
                <w:tcPr>
                  <w:tcW w:w="815" w:type="pct"/>
                  <w:tcBorders>
                    <w:bottom w:val="single" w:color="auto" w:sz="2" w:space="0"/>
                  </w:tcBorders>
                  <w:vAlign w:val="center"/>
                </w:tcPr>
                <w:p w14:paraId="37F6E163">
                  <w:pPr>
                    <w:ind w:firstLine="420" w:firstLineChars="2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本项目属于</w:t>
                  </w:r>
                  <w:r>
                    <w:rPr>
                      <w:rFonts w:hint="eastAsia" w:ascii="Times New Roman" w:hAnsi="Times New Roman" w:eastAsia="宋体" w:cs="Times New Roman"/>
                      <w:color w:val="auto"/>
                      <w:kern w:val="2"/>
                      <w:sz w:val="21"/>
                      <w:szCs w:val="21"/>
                      <w:lang w:val="en-US" w:eastAsia="zh-CN" w:bidi="ar-SA"/>
                    </w:rPr>
                    <w:t>C2921塑料薄膜制造</w:t>
                  </w:r>
                  <w:r>
                    <w:rPr>
                      <w:rFonts w:hint="eastAsia" w:cs="Times New Roman"/>
                      <w:color w:val="auto"/>
                      <w:kern w:val="2"/>
                      <w:sz w:val="21"/>
                      <w:szCs w:val="21"/>
                      <w:lang w:val="en-US" w:eastAsia="zh-CN" w:bidi="ar-SA"/>
                    </w:rPr>
                    <w:t>和</w:t>
                  </w:r>
                  <w:r>
                    <w:rPr>
                      <w:rFonts w:hint="eastAsia" w:cs="Times New Roman"/>
                      <w:color w:val="auto"/>
                      <w:sz w:val="21"/>
                      <w:szCs w:val="21"/>
                      <w:lang w:val="en-US" w:eastAsia="zh-CN"/>
                    </w:rPr>
                    <w:t>C2923塑料丝、绳及编织品制造</w:t>
                  </w:r>
                  <w:r>
                    <w:rPr>
                      <w:rFonts w:hint="default" w:ascii="Times New Roman" w:hAnsi="Times New Roman" w:eastAsia="宋体" w:cs="Times New Roman"/>
                      <w:color w:val="auto"/>
                      <w:sz w:val="21"/>
                      <w:szCs w:val="21"/>
                    </w:rPr>
                    <w:t>，不属于禁止类项目。</w:t>
                  </w:r>
                </w:p>
              </w:tc>
              <w:tc>
                <w:tcPr>
                  <w:tcW w:w="624" w:type="pct"/>
                  <w:tcBorders>
                    <w:bottom w:val="single" w:color="auto" w:sz="2" w:space="0"/>
                  </w:tcBorders>
                  <w:vAlign w:val="center"/>
                </w:tcPr>
                <w:p w14:paraId="034A57D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相符</w:t>
                  </w:r>
                </w:p>
              </w:tc>
            </w:tr>
            <w:tr w14:paraId="17888D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3" w:hRule="atLeast"/>
                <w:jc w:val="center"/>
              </w:trPr>
              <w:tc>
                <w:tcPr>
                  <w:tcW w:w="387" w:type="pct"/>
                  <w:tcBorders>
                    <w:top w:val="single" w:color="auto" w:sz="2" w:space="0"/>
                    <w:bottom w:val="single" w:color="auto" w:sz="2" w:space="0"/>
                  </w:tcBorders>
                  <w:vAlign w:val="center"/>
                </w:tcPr>
                <w:p w14:paraId="456B333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第二十九条</w:t>
                  </w:r>
                </w:p>
              </w:tc>
              <w:tc>
                <w:tcPr>
                  <w:tcW w:w="3173" w:type="pct"/>
                  <w:tcBorders>
                    <w:top w:val="single" w:color="auto" w:sz="2" w:space="0"/>
                    <w:bottom w:val="single" w:color="auto" w:sz="2" w:space="0"/>
                  </w:tcBorders>
                  <w:vAlign w:val="center"/>
                </w:tcPr>
                <w:p w14:paraId="4E8CEBED">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新孟河、望虞河以外的其他主要入太湖河道，自河口1万米上溯至5万米河道岸线内及其岸线两侧各1000米范围内，禁止下列行为：</w:t>
                  </w:r>
                </w:p>
                <w:p w14:paraId="7039B320">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（一）新建、扩建化工、医药生产项目；</w:t>
                  </w:r>
                </w:p>
                <w:p w14:paraId="1A40BF55">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（二）新建、扩建污水集中处理设施排污口以外的排污口；</w:t>
                  </w:r>
                </w:p>
                <w:p w14:paraId="0BDAE0D4">
                  <w:pPr>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（三）扩大水产养殖规模。</w:t>
                  </w:r>
                </w:p>
              </w:tc>
              <w:tc>
                <w:tcPr>
                  <w:tcW w:w="815" w:type="pct"/>
                  <w:tcBorders>
                    <w:top w:val="single" w:color="auto" w:sz="2" w:space="0"/>
                    <w:bottom w:val="single" w:color="auto" w:sz="2" w:space="0"/>
                  </w:tcBorders>
                  <w:vAlign w:val="center"/>
                </w:tcPr>
                <w:p w14:paraId="637E0EA5">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本项目周边不涉及入太湖河道。</w:t>
                  </w:r>
                </w:p>
              </w:tc>
              <w:tc>
                <w:tcPr>
                  <w:tcW w:w="624" w:type="pct"/>
                  <w:tcBorders>
                    <w:top w:val="single" w:color="auto" w:sz="2" w:space="0"/>
                    <w:bottom w:val="single" w:color="auto" w:sz="2" w:space="0"/>
                  </w:tcBorders>
                  <w:vAlign w:val="center"/>
                </w:tcPr>
                <w:p w14:paraId="46A20DF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相符</w:t>
                  </w:r>
                </w:p>
              </w:tc>
            </w:tr>
            <w:tr w14:paraId="7BB561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387" w:type="pct"/>
                  <w:tcBorders>
                    <w:top w:val="single" w:color="auto" w:sz="2" w:space="0"/>
                  </w:tcBorders>
                  <w:vAlign w:val="center"/>
                </w:tcPr>
                <w:p w14:paraId="07D18F2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第三十条</w:t>
                  </w:r>
                </w:p>
              </w:tc>
              <w:tc>
                <w:tcPr>
                  <w:tcW w:w="3173" w:type="pct"/>
                  <w:tcBorders>
                    <w:top w:val="single" w:color="auto" w:sz="2" w:space="0"/>
                  </w:tcBorders>
                  <w:vAlign w:val="center"/>
                </w:tcPr>
                <w:p w14:paraId="43D2D728">
                  <w:pPr>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一）设置剧毒物质、危险化学品的贮存、输送设施和废物回收场、垃圾场；（二）设置水上餐饮经营设施；（三）新建、扩建高尔夫球场；（四）新建、扩建畜禽养殖场；（五）新建、扩建向水体排放污染物的建设项目；（六）本条例第二十九条规定的行为。已经设置前款第一项、第二项规定设施的，当地县级人民政府应当责令拆除或者关闭的项目。</w:t>
                  </w:r>
                </w:p>
              </w:tc>
              <w:tc>
                <w:tcPr>
                  <w:tcW w:w="815" w:type="pct"/>
                  <w:tcBorders>
                    <w:top w:val="single" w:color="auto" w:sz="2" w:space="0"/>
                  </w:tcBorders>
                  <w:vAlign w:val="center"/>
                </w:tcPr>
                <w:p w14:paraId="6BF42F30">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本项目不属于上述区域内。</w:t>
                  </w:r>
                </w:p>
              </w:tc>
              <w:tc>
                <w:tcPr>
                  <w:tcW w:w="624" w:type="pct"/>
                  <w:tcBorders>
                    <w:top w:val="single" w:color="auto" w:sz="2" w:space="0"/>
                  </w:tcBorders>
                  <w:vAlign w:val="center"/>
                </w:tcPr>
                <w:p w14:paraId="6C41E4D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相符</w:t>
                  </w:r>
                </w:p>
              </w:tc>
            </w:tr>
          </w:tbl>
          <w:p w14:paraId="043BA86F">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7 </w:t>
            </w:r>
            <w:r>
              <w:rPr>
                <w:rFonts w:hint="default" w:ascii="Times New Roman" w:hAnsi="Times New Roman" w:eastAsia="宋体" w:cs="Times New Roman"/>
                <w:b/>
                <w:bCs/>
                <w:color w:val="auto"/>
                <w:sz w:val="21"/>
                <w:szCs w:val="21"/>
              </w:rPr>
              <w:t>《江苏省太湖水污染防治条例》分析对照表</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3"/>
              <w:gridCol w:w="5117"/>
              <w:gridCol w:w="1459"/>
              <w:gridCol w:w="867"/>
            </w:tblGrid>
            <w:tr w14:paraId="5CEE36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6" w:type="pct"/>
                  <w:noWrap w:val="0"/>
                  <w:vAlign w:val="center"/>
                </w:tcPr>
                <w:p w14:paraId="13FA458F">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条款</w:t>
                  </w:r>
                </w:p>
              </w:tc>
              <w:tc>
                <w:tcPr>
                  <w:tcW w:w="3170" w:type="pct"/>
                  <w:noWrap w:val="0"/>
                  <w:vAlign w:val="center"/>
                </w:tcPr>
                <w:p w14:paraId="04CAC49D">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内容</w:t>
                  </w:r>
                </w:p>
              </w:tc>
              <w:tc>
                <w:tcPr>
                  <w:tcW w:w="904" w:type="pct"/>
                  <w:noWrap w:val="0"/>
                  <w:vAlign w:val="center"/>
                </w:tcPr>
                <w:p w14:paraId="0686CE29">
                  <w:pPr>
                    <w:adjustRightInd w:val="0"/>
                    <w:snapToGrid w:val="0"/>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本项目</w:t>
                  </w:r>
                </w:p>
              </w:tc>
              <w:tc>
                <w:tcPr>
                  <w:tcW w:w="537" w:type="pct"/>
                  <w:noWrap w:val="0"/>
                  <w:vAlign w:val="center"/>
                </w:tcPr>
                <w:p w14:paraId="708C37E6">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相符性</w:t>
                  </w:r>
                </w:p>
              </w:tc>
            </w:tr>
            <w:tr w14:paraId="4503E0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86" w:type="pct"/>
                  <w:noWrap w:val="0"/>
                  <w:vAlign w:val="center"/>
                </w:tcPr>
                <w:p w14:paraId="4B87E8C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第四十三条</w:t>
                  </w:r>
                </w:p>
              </w:tc>
              <w:tc>
                <w:tcPr>
                  <w:tcW w:w="3170" w:type="pct"/>
                  <w:noWrap w:val="0"/>
                  <w:vAlign w:val="center"/>
                </w:tcPr>
                <w:p w14:paraId="7F766F4F">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太湖流域一、二、三级保护区禁止下列行为：</w:t>
                  </w:r>
                </w:p>
                <w:p w14:paraId="4F8A813C">
                  <w:pPr>
                    <w:spacing w:line="240" w:lineRule="auto"/>
                    <w:ind w:firstLine="420" w:firstLineChars="200"/>
                    <w:rPr>
                      <w:rFonts w:hint="default" w:ascii="Times New Roman" w:hAnsi="Times New Roman" w:eastAsia="宋体" w:cs="Times New Roman"/>
                      <w:i w:val="0"/>
                      <w:iCs w:val="0"/>
                      <w:caps w:val="0"/>
                      <w:color w:val="auto"/>
                      <w:spacing w:val="0"/>
                      <w:kern w:val="0"/>
                      <w:sz w:val="21"/>
                      <w:szCs w:val="21"/>
                      <w:lang w:val="en-US" w:eastAsia="zh-CN" w:bidi="ar"/>
                    </w:rPr>
                  </w:pPr>
                  <w:r>
                    <w:rPr>
                      <w:rFonts w:hint="default" w:ascii="Times New Roman" w:hAnsi="Times New Roman" w:eastAsia="宋体" w:cs="Times New Roman"/>
                      <w:color w:val="auto"/>
                      <w:sz w:val="21"/>
                      <w:szCs w:val="21"/>
                    </w:rPr>
                    <w:t>（一）</w:t>
                  </w:r>
                  <w:r>
                    <w:rPr>
                      <w:rFonts w:hint="default" w:ascii="Times New Roman" w:hAnsi="Times New Roman" w:eastAsia="宋体" w:cs="Times New Roman"/>
                      <w:i w:val="0"/>
                      <w:iCs w:val="0"/>
                      <w:caps w:val="0"/>
                      <w:color w:val="auto"/>
                      <w:spacing w:val="0"/>
                      <w:kern w:val="0"/>
                      <w:sz w:val="21"/>
                      <w:szCs w:val="21"/>
                      <w:lang w:val="en-US" w:eastAsia="zh-CN" w:bidi="ar"/>
                    </w:rPr>
                    <w:t>新建、改建、扩建化学制浆造纸、制革、酿造、染料、印染、电镀以及其他排放含磷、氮等污染物的企业和项目，城镇污水集中处理等环境基础设施项目和第四十六条规定的情形除外；</w:t>
                  </w:r>
                </w:p>
                <w:p w14:paraId="442F052D">
                  <w:pPr>
                    <w:spacing w:line="240" w:lineRule="auto"/>
                    <w:ind w:firstLine="420" w:firstLineChars="200"/>
                    <w:rPr>
                      <w:rFonts w:hint="default" w:ascii="Times New Roman" w:hAnsi="Times New Roman" w:eastAsia="宋体" w:cs="Times New Roman"/>
                      <w:i w:val="0"/>
                      <w:iCs w:val="0"/>
                      <w:caps w:val="0"/>
                      <w:color w:val="auto"/>
                      <w:spacing w:val="0"/>
                      <w:kern w:val="0"/>
                      <w:sz w:val="21"/>
                      <w:szCs w:val="21"/>
                      <w:lang w:val="en-US" w:eastAsia="zh-CN" w:bidi="ar"/>
                    </w:rPr>
                  </w:pPr>
                  <w:r>
                    <w:rPr>
                      <w:rFonts w:hint="default" w:ascii="Times New Roman" w:hAnsi="Times New Roman" w:eastAsia="宋体" w:cs="Times New Roman"/>
                      <w:i w:val="0"/>
                      <w:iCs w:val="0"/>
                      <w:caps w:val="0"/>
                      <w:color w:val="auto"/>
                      <w:spacing w:val="0"/>
                      <w:kern w:val="0"/>
                      <w:sz w:val="21"/>
                      <w:szCs w:val="21"/>
                      <w:lang w:val="en-US" w:eastAsia="zh-CN" w:bidi="ar"/>
                    </w:rPr>
                    <w:t>（二）销售、使用含磷洗涤用品；</w:t>
                  </w:r>
                </w:p>
                <w:p w14:paraId="42201273">
                  <w:pPr>
                    <w:spacing w:line="240" w:lineRule="auto"/>
                    <w:ind w:firstLine="420" w:firstLineChars="200"/>
                    <w:rPr>
                      <w:rFonts w:hint="default" w:ascii="Times New Roman" w:hAnsi="Times New Roman" w:eastAsia="宋体" w:cs="Times New Roman"/>
                      <w:i w:val="0"/>
                      <w:iCs w:val="0"/>
                      <w:caps w:val="0"/>
                      <w:color w:val="auto"/>
                      <w:spacing w:val="0"/>
                      <w:kern w:val="0"/>
                      <w:sz w:val="21"/>
                      <w:szCs w:val="21"/>
                      <w:lang w:val="en-US" w:eastAsia="zh-CN" w:bidi="ar"/>
                    </w:rPr>
                  </w:pPr>
                  <w:r>
                    <w:rPr>
                      <w:rFonts w:hint="default" w:ascii="Times New Roman" w:hAnsi="Times New Roman" w:eastAsia="宋体" w:cs="Times New Roman"/>
                      <w:i w:val="0"/>
                      <w:iCs w:val="0"/>
                      <w:caps w:val="0"/>
                      <w:color w:val="auto"/>
                      <w:spacing w:val="0"/>
                      <w:kern w:val="0"/>
                      <w:sz w:val="21"/>
                      <w:szCs w:val="21"/>
                      <w:lang w:val="en-US" w:eastAsia="zh-CN" w:bidi="ar"/>
                    </w:rPr>
                    <w:t>（三）向水体排放或者倾倒油类、酸液、碱液、剧毒废渣废液、含放射性废渣废液、含病原体污水、工业废渣以及其他废弃物；</w:t>
                  </w:r>
                </w:p>
                <w:p w14:paraId="118E1886">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（四）在水体清洗装贮过油类或者有毒有害污染物的车辆、船舶和容器等</w:t>
                  </w:r>
                  <w:r>
                    <w:rPr>
                      <w:rFonts w:hint="default" w:ascii="Times New Roman" w:hAnsi="Times New Roman" w:eastAsia="宋体" w:cs="Times New Roman"/>
                      <w:color w:val="auto"/>
                      <w:sz w:val="21"/>
                      <w:szCs w:val="21"/>
                    </w:rPr>
                    <w:t>；</w:t>
                  </w:r>
                </w:p>
                <w:p w14:paraId="1162FC13">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（五）使用农药等有毒物毒杀水生生物；</w:t>
                  </w:r>
                </w:p>
                <w:p w14:paraId="4D99483C">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（六）向水体直接排放人畜粪便、倾倒垃圾；</w:t>
                  </w:r>
                </w:p>
                <w:p w14:paraId="73E97F5C">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（七）围湖造地；</w:t>
                  </w:r>
                </w:p>
                <w:p w14:paraId="1E9F2ECC">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（八）违法开山采石，或者进行破坏林木、植被、水生生物的活动；</w:t>
                  </w:r>
                </w:p>
                <w:p w14:paraId="596ECE39">
                  <w:pPr>
                    <w:adjustRightInd w:val="0"/>
                    <w:snapToGrid w:val="0"/>
                    <w:spacing w:line="240" w:lineRule="auto"/>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（九）法律、法规禁止的其他行为。</w:t>
                  </w:r>
                </w:p>
              </w:tc>
              <w:tc>
                <w:tcPr>
                  <w:tcW w:w="904" w:type="pct"/>
                  <w:noWrap w:val="0"/>
                  <w:vAlign w:val="center"/>
                </w:tcPr>
                <w:p w14:paraId="543E8832">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本项目属于</w:t>
                  </w:r>
                  <w:r>
                    <w:rPr>
                      <w:rFonts w:hint="eastAsia" w:ascii="Times New Roman" w:hAnsi="Times New Roman" w:eastAsia="宋体" w:cs="Times New Roman"/>
                      <w:color w:val="auto"/>
                      <w:kern w:val="2"/>
                      <w:sz w:val="21"/>
                      <w:szCs w:val="21"/>
                      <w:lang w:val="en-US" w:eastAsia="zh-CN" w:bidi="ar-SA"/>
                    </w:rPr>
                    <w:t>C2921塑料薄膜制造</w:t>
                  </w:r>
                  <w:r>
                    <w:rPr>
                      <w:rFonts w:hint="eastAsia" w:cs="Times New Roman"/>
                      <w:color w:val="auto"/>
                      <w:kern w:val="2"/>
                      <w:sz w:val="21"/>
                      <w:szCs w:val="21"/>
                      <w:lang w:val="en-US" w:eastAsia="zh-CN" w:bidi="ar-SA"/>
                    </w:rPr>
                    <w:t>和</w:t>
                  </w:r>
                  <w:r>
                    <w:rPr>
                      <w:rFonts w:hint="eastAsia" w:cs="Times New Roman"/>
                      <w:color w:val="auto"/>
                      <w:sz w:val="21"/>
                      <w:szCs w:val="21"/>
                      <w:lang w:eastAsia="zh-CN"/>
                    </w:rPr>
                    <w:t>C2923塑料丝、绳及编织品制造</w:t>
                  </w:r>
                  <w:r>
                    <w:rPr>
                      <w:rFonts w:hint="default" w:ascii="Times New Roman" w:hAnsi="Times New Roman" w:eastAsia="宋体" w:cs="Times New Roman"/>
                      <w:color w:val="auto"/>
                      <w:sz w:val="21"/>
                      <w:szCs w:val="21"/>
                    </w:rPr>
                    <w:t>，位于太湖流域三级保护区内，生产过程中无含磷、氮生产废水排放</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不属于禁止类。</w:t>
                  </w:r>
                </w:p>
              </w:tc>
              <w:tc>
                <w:tcPr>
                  <w:tcW w:w="537" w:type="pct"/>
                  <w:noWrap w:val="0"/>
                  <w:vAlign w:val="center"/>
                </w:tcPr>
                <w:p w14:paraId="3BE3668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相符</w:t>
                  </w:r>
                </w:p>
              </w:tc>
            </w:tr>
          </w:tbl>
          <w:p w14:paraId="5CED9C0C">
            <w:pPr>
              <w:keepNext w:val="0"/>
              <w:keepLines w:val="0"/>
              <w:pageBreakBefore w:val="0"/>
              <w:widowControl w:val="0"/>
              <w:kinsoku/>
              <w:wordWrap/>
              <w:overflowPunct/>
              <w:topLinePunct w:val="0"/>
              <w:autoSpaceDE w:val="0"/>
              <w:autoSpaceDN w:val="0"/>
              <w:bidi w:val="0"/>
              <w:adjustRightInd w:val="0"/>
              <w:snapToGrid w:val="0"/>
              <w:spacing w:line="500" w:lineRule="exact"/>
              <w:jc w:val="left"/>
              <w:textAlignment w:val="auto"/>
              <w:rPr>
                <w:rFonts w:hint="default" w:ascii="Times New Roman" w:hAnsi="Times New Roman" w:eastAsia="宋体" w:cs="Times New Roman"/>
                <w:b/>
                <w:bCs/>
                <w:color w:val="auto"/>
                <w:sz w:val="21"/>
                <w:szCs w:val="21"/>
              </w:rPr>
            </w:pPr>
            <w:r>
              <w:rPr>
                <w:rFonts w:hint="eastAsia" w:cs="Times New Roman"/>
                <w:b/>
                <w:color w:val="auto"/>
                <w:sz w:val="21"/>
                <w:szCs w:val="21"/>
                <w:lang w:val="en-US" w:eastAsia="zh-CN"/>
              </w:rPr>
              <w:t>7</w:t>
            </w:r>
            <w:r>
              <w:rPr>
                <w:rFonts w:hint="default" w:ascii="Times New Roman" w:hAnsi="Times New Roman" w:eastAsia="宋体" w:cs="Times New Roman"/>
                <w:b/>
                <w:color w:val="auto"/>
                <w:sz w:val="21"/>
                <w:szCs w:val="21"/>
              </w:rPr>
              <w:t>、</w:t>
            </w:r>
            <w:r>
              <w:rPr>
                <w:rFonts w:hint="default" w:ascii="Times New Roman" w:hAnsi="Times New Roman" w:eastAsia="宋体" w:cs="Times New Roman"/>
                <w:b/>
                <w:bCs/>
                <w:color w:val="auto"/>
                <w:sz w:val="21"/>
                <w:szCs w:val="21"/>
              </w:rPr>
              <w:t>与其他环境保护管理要求的相符性分析</w:t>
            </w:r>
          </w:p>
          <w:p w14:paraId="1FBAF975">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w:t>
            </w:r>
            <w:r>
              <w:rPr>
                <w:rFonts w:hint="eastAsia" w:cs="Times New Roman"/>
                <w:b/>
                <w:bCs/>
                <w:color w:val="auto"/>
                <w:sz w:val="21"/>
                <w:szCs w:val="21"/>
                <w:lang w:val="en-US" w:eastAsia="zh-CN"/>
              </w:rPr>
              <w:t>1</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与《</w:t>
            </w:r>
            <w:r>
              <w:rPr>
                <w:rFonts w:hint="default" w:ascii="Times New Roman" w:hAnsi="Times New Roman" w:eastAsia="宋体" w:cs="Times New Roman"/>
                <w:b/>
                <w:bCs/>
                <w:color w:val="auto"/>
                <w:sz w:val="21"/>
                <w:szCs w:val="21"/>
              </w:rPr>
              <w:t>关于印发</w:t>
            </w:r>
            <w:r>
              <w:rPr>
                <w:rFonts w:hint="default" w:ascii="Times New Roman" w:hAnsi="Times New Roman" w:eastAsia="宋体" w:cs="Times New Roman"/>
                <w:b/>
                <w:bCs/>
                <w:color w:val="auto"/>
                <w:sz w:val="21"/>
                <w:szCs w:val="21"/>
                <w:lang w:val="en-US" w:eastAsia="zh-CN"/>
              </w:rPr>
              <w:t>&lt;</w:t>
            </w:r>
            <w:r>
              <w:rPr>
                <w:rFonts w:hint="default" w:ascii="Times New Roman" w:hAnsi="Times New Roman" w:eastAsia="宋体" w:cs="Times New Roman"/>
                <w:b/>
                <w:bCs/>
                <w:color w:val="auto"/>
                <w:sz w:val="21"/>
                <w:szCs w:val="21"/>
              </w:rPr>
              <w:t>深入打好重污染天气消除、臭氧污染防治和柴油货车污染治理攻坚战行动方案</w:t>
            </w:r>
            <w:r>
              <w:rPr>
                <w:rFonts w:hint="default" w:ascii="Times New Roman" w:hAnsi="Times New Roman" w:eastAsia="宋体" w:cs="Times New Roman"/>
                <w:b/>
                <w:bCs/>
                <w:color w:val="auto"/>
                <w:sz w:val="21"/>
                <w:szCs w:val="21"/>
                <w:lang w:val="en-US" w:eastAsia="zh-CN"/>
              </w:rPr>
              <w:t>&gt;</w:t>
            </w:r>
            <w:r>
              <w:rPr>
                <w:rFonts w:hint="default" w:ascii="Times New Roman" w:hAnsi="Times New Roman" w:eastAsia="宋体" w:cs="Times New Roman"/>
                <w:b/>
                <w:bCs/>
                <w:color w:val="auto"/>
                <w:sz w:val="21"/>
                <w:szCs w:val="21"/>
              </w:rPr>
              <w:t>的通知</w:t>
            </w:r>
            <w:r>
              <w:rPr>
                <w:rFonts w:hint="default"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rPr>
              <w:t>环大气〔2022〕68号</w:t>
            </w:r>
            <w:r>
              <w:rPr>
                <w:rFonts w:hint="default"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rPr>
              <w:t>相符性分析</w:t>
            </w:r>
          </w:p>
          <w:p w14:paraId="4FA46CBD">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表1-</w:t>
            </w:r>
            <w:r>
              <w:rPr>
                <w:rFonts w:hint="eastAsia" w:cs="Times New Roman"/>
                <w:b/>
                <w:bCs/>
                <w:color w:val="auto"/>
                <w:sz w:val="21"/>
                <w:szCs w:val="21"/>
                <w:lang w:val="en-US" w:eastAsia="zh-CN"/>
              </w:rPr>
              <w:t xml:space="preserve">6 </w:t>
            </w:r>
            <w:r>
              <w:rPr>
                <w:rFonts w:hint="default" w:ascii="Times New Roman" w:hAnsi="Times New Roman" w:cs="Times New Roman"/>
                <w:b/>
                <w:bCs/>
                <w:color w:val="auto"/>
                <w:sz w:val="21"/>
                <w:szCs w:val="21"/>
              </w:rPr>
              <w:t>与</w:t>
            </w:r>
            <w:r>
              <w:rPr>
                <w:rFonts w:hint="default" w:ascii="Times New Roman" w:hAnsi="Times New Roman" w:eastAsia="宋体" w:cs="Times New Roman"/>
                <w:b/>
                <w:bCs/>
                <w:color w:val="auto"/>
                <w:sz w:val="21"/>
                <w:szCs w:val="21"/>
              </w:rPr>
              <w:t>环大气〔2022〕68号</w:t>
            </w:r>
            <w:r>
              <w:rPr>
                <w:rFonts w:hint="default" w:ascii="Times New Roman" w:hAnsi="Times New Roman" w:cs="Times New Roman"/>
                <w:b/>
                <w:bCs/>
                <w:color w:val="auto"/>
                <w:sz w:val="21"/>
                <w:szCs w:val="21"/>
              </w:rPr>
              <w:t>的相符性分析</w:t>
            </w:r>
          </w:p>
          <w:tbl>
            <w:tblPr>
              <w:tblStyle w:val="3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5"/>
              <w:gridCol w:w="3484"/>
              <w:gridCol w:w="3100"/>
              <w:gridCol w:w="1057"/>
            </w:tblGrid>
            <w:tr w14:paraId="3EDBE4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3" w:type="pct"/>
                  <w:gridSpan w:val="2"/>
                  <w:noWrap w:val="0"/>
                  <w:vAlign w:val="center"/>
                </w:tcPr>
                <w:p w14:paraId="3F3CA0F7">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rPr>
                  </w:pPr>
                  <w:r>
                    <w:rPr>
                      <w:rFonts w:hint="eastAsia" w:cs="Times New Roman"/>
                      <w:b/>
                      <w:color w:val="auto"/>
                      <w:sz w:val="21"/>
                      <w:szCs w:val="21"/>
                      <w:lang w:val="en-US" w:eastAsia="zh-CN"/>
                    </w:rPr>
                    <w:t>文件</w:t>
                  </w:r>
                  <w:r>
                    <w:rPr>
                      <w:rFonts w:hint="default" w:ascii="Times New Roman" w:hAnsi="Times New Roman" w:cs="Times New Roman"/>
                      <w:b/>
                      <w:color w:val="auto"/>
                      <w:sz w:val="21"/>
                      <w:szCs w:val="21"/>
                    </w:rPr>
                    <w:t>要求</w:t>
                  </w:r>
                </w:p>
              </w:tc>
              <w:tc>
                <w:tcPr>
                  <w:tcW w:w="1921" w:type="pct"/>
                  <w:noWrap w:val="0"/>
                  <w:vAlign w:val="center"/>
                </w:tcPr>
                <w:p w14:paraId="332409F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color w:val="auto"/>
                      <w:sz w:val="21"/>
                      <w:szCs w:val="21"/>
                    </w:rPr>
                  </w:pPr>
                  <w:r>
                    <w:rPr>
                      <w:rFonts w:hint="default" w:ascii="Times New Roman" w:hAnsi="Times New Roman" w:eastAsia="宋体" w:cs="Times New Roman"/>
                      <w:b/>
                      <w:bCs/>
                      <w:color w:val="auto"/>
                      <w:sz w:val="21"/>
                      <w:szCs w:val="21"/>
                    </w:rPr>
                    <w:t>本项目</w:t>
                  </w:r>
                </w:p>
              </w:tc>
              <w:tc>
                <w:tcPr>
                  <w:tcW w:w="655" w:type="pct"/>
                  <w:noWrap w:val="0"/>
                  <w:vAlign w:val="center"/>
                </w:tcPr>
                <w:p w14:paraId="78DF7B0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color w:val="auto"/>
                      <w:sz w:val="21"/>
                      <w:szCs w:val="21"/>
                    </w:rPr>
                  </w:pPr>
                  <w:r>
                    <w:rPr>
                      <w:rFonts w:hint="default" w:ascii="Times New Roman" w:hAnsi="Times New Roman" w:eastAsia="宋体" w:cs="Times New Roman"/>
                      <w:b/>
                      <w:bCs/>
                      <w:color w:val="auto"/>
                      <w:sz w:val="21"/>
                      <w:szCs w:val="21"/>
                      <w:lang w:val="en-US" w:eastAsia="zh-CN"/>
                    </w:rPr>
                    <w:t>相符性</w:t>
                  </w:r>
                </w:p>
              </w:tc>
            </w:tr>
            <w:tr w14:paraId="4D6FA7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vMerge w:val="restart"/>
                  <w:noWrap w:val="0"/>
                  <w:vAlign w:val="center"/>
                </w:tcPr>
                <w:p w14:paraId="06680188">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推进重点工程</w:t>
                  </w:r>
                </w:p>
              </w:tc>
              <w:tc>
                <w:tcPr>
                  <w:tcW w:w="2159" w:type="pct"/>
                  <w:noWrap w:val="0"/>
                  <w:vAlign w:val="center"/>
                </w:tcPr>
                <w:p w14:paraId="48D4ACC2">
                  <w:pPr>
                    <w:keepNext w:val="0"/>
                    <w:keepLines w:val="0"/>
                    <w:widowControl/>
                    <w:suppressLineNumbers w:val="0"/>
                    <w:adjustRightInd w:val="0"/>
                    <w:snapToGrid w:val="0"/>
                    <w:spacing w:before="0" w:beforeAutospacing="0" w:after="0" w:afterAutospacing="0"/>
                    <w:ind w:left="0" w:right="0" w:firstLine="420" w:firstLineChars="200"/>
                    <w:jc w:val="both"/>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促进产业绿色转型升级，坚决遏制高耗能、高排放、低水平项目盲目发展，开展传统产业集群升级改造。推动能源清洁低碳转型，开展分散、低效煤炭综合治理。</w:t>
                  </w:r>
                </w:p>
              </w:tc>
              <w:tc>
                <w:tcPr>
                  <w:tcW w:w="1921" w:type="pct"/>
                  <w:noWrap w:val="0"/>
                  <w:vAlign w:val="center"/>
                </w:tcPr>
                <w:p w14:paraId="1FA8CE4E">
                  <w:pPr>
                    <w:keepNext w:val="0"/>
                    <w:keepLines w:val="0"/>
                    <w:widowControl/>
                    <w:suppressLineNumbers w:val="0"/>
                    <w:adjustRightInd w:val="0"/>
                    <w:snapToGrid w:val="0"/>
                    <w:spacing w:before="0" w:beforeAutospacing="0" w:after="0" w:afterAutospacing="0"/>
                    <w:ind w:left="0" w:right="0" w:firstLine="420" w:firstLineChars="200"/>
                    <w:jc w:val="both"/>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w:t>
                  </w:r>
                  <w:r>
                    <w:rPr>
                      <w:rFonts w:hint="default" w:ascii="Times New Roman" w:hAnsi="Times New Roman" w:eastAsia="宋体" w:cs="Times New Roman"/>
                      <w:bCs/>
                      <w:color w:val="auto"/>
                      <w:sz w:val="21"/>
                      <w:szCs w:val="21"/>
                      <w:lang w:val="en-US" w:eastAsia="zh-CN"/>
                    </w:rPr>
                    <w:t>采用清洁能源，不属于</w:t>
                  </w:r>
                  <w:r>
                    <w:rPr>
                      <w:rFonts w:hint="default" w:ascii="Times New Roman" w:hAnsi="Times New Roman" w:eastAsia="宋体" w:cs="Times New Roman"/>
                      <w:bCs/>
                      <w:color w:val="auto"/>
                      <w:sz w:val="21"/>
                      <w:szCs w:val="21"/>
                    </w:rPr>
                    <w:t>高耗能、高排放、低水平</w:t>
                  </w:r>
                  <w:r>
                    <w:rPr>
                      <w:rFonts w:hint="default" w:ascii="Times New Roman" w:hAnsi="Times New Roman" w:eastAsia="宋体" w:cs="Times New Roman"/>
                      <w:bCs/>
                      <w:color w:val="auto"/>
                      <w:sz w:val="21"/>
                      <w:szCs w:val="21"/>
                      <w:lang w:val="en-US" w:eastAsia="zh-CN"/>
                    </w:rPr>
                    <w:t>项目</w:t>
                  </w:r>
                  <w:r>
                    <w:rPr>
                      <w:rFonts w:hint="default" w:ascii="Times New Roman" w:hAnsi="Times New Roman" w:eastAsia="宋体" w:cs="Times New Roman"/>
                      <w:bCs/>
                      <w:color w:val="auto"/>
                      <w:sz w:val="21"/>
                      <w:szCs w:val="21"/>
                    </w:rPr>
                    <w:t>。</w:t>
                  </w:r>
                </w:p>
              </w:tc>
              <w:tc>
                <w:tcPr>
                  <w:tcW w:w="655" w:type="pct"/>
                  <w:noWrap w:val="0"/>
                  <w:vAlign w:val="center"/>
                </w:tcPr>
                <w:p w14:paraId="4DFBD2CD">
                  <w:pPr>
                    <w:keepNext w:val="0"/>
                    <w:keepLines w:val="0"/>
                    <w:widowControl/>
                    <w:suppressLineNumbers w:val="0"/>
                    <w:adjustRightInd w:val="0"/>
                    <w:snapToGrid w:val="0"/>
                    <w:spacing w:before="0" w:beforeAutospacing="0" w:after="0" w:afterAutospacing="0"/>
                    <w:ind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相符</w:t>
                  </w:r>
                </w:p>
              </w:tc>
            </w:tr>
            <w:tr w14:paraId="491E2A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vMerge w:val="continue"/>
                  <w:noWrap w:val="0"/>
                  <w:vAlign w:val="center"/>
                </w:tcPr>
                <w:p w14:paraId="282BA9EB">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color w:val="auto"/>
                      <w:sz w:val="21"/>
                      <w:szCs w:val="21"/>
                    </w:rPr>
                  </w:pPr>
                </w:p>
              </w:tc>
              <w:tc>
                <w:tcPr>
                  <w:tcW w:w="2159" w:type="pct"/>
                  <w:noWrap w:val="0"/>
                  <w:vAlign w:val="center"/>
                </w:tcPr>
                <w:p w14:paraId="70E9C6D0">
                  <w:pPr>
                    <w:keepNext w:val="0"/>
                    <w:keepLines w:val="0"/>
                    <w:widowControl/>
                    <w:suppressLineNumbers w:val="0"/>
                    <w:adjustRightInd w:val="0"/>
                    <w:snapToGrid w:val="0"/>
                    <w:spacing w:before="0" w:beforeAutospacing="0" w:after="0" w:afterAutospacing="0"/>
                    <w:ind w:left="0" w:right="0" w:firstLine="420" w:firstLineChars="200"/>
                    <w:jc w:val="both"/>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强化挥发性有机物（VOCs）、氮氧化物等多污染物协同减排，以石化、化工、涂装、制药、包装印刷和油品储运销等为重点，加强VOCs源头、过程、末端全流程治理</w:t>
                  </w:r>
                  <w:r>
                    <w:rPr>
                      <w:rFonts w:hint="default" w:ascii="Times New Roman" w:hAnsi="Times New Roman" w:eastAsia="宋体" w:cs="Times New Roman"/>
                      <w:bCs/>
                      <w:color w:val="auto"/>
                      <w:sz w:val="21"/>
                      <w:szCs w:val="21"/>
                      <w:lang w:eastAsia="zh-CN"/>
                    </w:rPr>
                    <w:t>。</w:t>
                  </w:r>
                </w:p>
              </w:tc>
              <w:tc>
                <w:tcPr>
                  <w:tcW w:w="1921" w:type="pct"/>
                  <w:noWrap w:val="0"/>
                  <w:vAlign w:val="center"/>
                </w:tcPr>
                <w:p w14:paraId="0D8A20B9">
                  <w:pPr>
                    <w:keepNext w:val="0"/>
                    <w:keepLines w:val="0"/>
                    <w:widowControl/>
                    <w:suppressLineNumbers w:val="0"/>
                    <w:adjustRightInd w:val="0"/>
                    <w:snapToGrid w:val="0"/>
                    <w:spacing w:before="0" w:beforeAutospacing="0" w:after="0" w:afterAutospacing="0"/>
                    <w:ind w:left="0" w:right="0" w:firstLine="420" w:firstLineChars="200"/>
                    <w:jc w:val="both"/>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本项目</w:t>
                  </w:r>
                  <w:r>
                    <w:rPr>
                      <w:rFonts w:hint="eastAsia"/>
                      <w:color w:val="auto"/>
                      <w:sz w:val="21"/>
                      <w:szCs w:val="21"/>
                    </w:rPr>
                    <w:t>印刷、复合、熟化废气</w:t>
                  </w:r>
                  <w:r>
                    <w:rPr>
                      <w:color w:val="auto"/>
                      <w:sz w:val="21"/>
                      <w:szCs w:val="21"/>
                    </w:rPr>
                    <w:t>通过</w:t>
                  </w:r>
                  <w:r>
                    <w:rPr>
                      <w:rFonts w:hint="eastAsia"/>
                      <w:color w:val="auto"/>
                      <w:sz w:val="21"/>
                      <w:szCs w:val="21"/>
                    </w:rPr>
                    <w:t>密闭空间负压</w:t>
                  </w:r>
                  <w:r>
                    <w:rPr>
                      <w:color w:val="auto"/>
                      <w:sz w:val="21"/>
                      <w:szCs w:val="21"/>
                    </w:rPr>
                    <w:t>收集后进入“</w:t>
                  </w:r>
                  <w:r>
                    <w:rPr>
                      <w:rFonts w:hint="eastAsia"/>
                      <w:color w:val="auto"/>
                      <w:sz w:val="21"/>
                      <w:szCs w:val="21"/>
                      <w:lang w:val="en-US" w:eastAsia="zh-CN"/>
                    </w:rPr>
                    <w:t>二级活性炭吸附</w:t>
                  </w:r>
                  <w:r>
                    <w:rPr>
                      <w:color w:val="auto"/>
                      <w:sz w:val="21"/>
                      <w:szCs w:val="21"/>
                    </w:rPr>
                    <w:t>”装置进行处理</w:t>
                  </w:r>
                </w:p>
              </w:tc>
              <w:tc>
                <w:tcPr>
                  <w:tcW w:w="655" w:type="pct"/>
                  <w:noWrap w:val="0"/>
                  <w:vAlign w:val="center"/>
                </w:tcPr>
                <w:p w14:paraId="71C09AB3">
                  <w:pPr>
                    <w:keepNext w:val="0"/>
                    <w:keepLines w:val="0"/>
                    <w:widowControl/>
                    <w:suppressLineNumbers w:val="0"/>
                    <w:adjustRightInd w:val="0"/>
                    <w:snapToGrid w:val="0"/>
                    <w:spacing w:before="0" w:beforeAutospacing="0" w:after="0" w:afterAutospacing="0"/>
                    <w:ind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相符</w:t>
                  </w:r>
                </w:p>
              </w:tc>
            </w:tr>
          </w:tbl>
          <w:p w14:paraId="25E2D54C">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lang w:val="en-US" w:eastAsia="zh-CN"/>
              </w:rPr>
              <w:t>（</w:t>
            </w:r>
            <w:r>
              <w:rPr>
                <w:rFonts w:hint="eastAsia" w:cs="Times New Roman"/>
                <w:b/>
                <w:bCs/>
                <w:color w:val="auto"/>
                <w:sz w:val="21"/>
                <w:szCs w:val="21"/>
                <w:lang w:val="en-US" w:eastAsia="zh-CN"/>
              </w:rPr>
              <w:t>2</w:t>
            </w:r>
            <w:r>
              <w:rPr>
                <w:rFonts w:hint="default" w:ascii="Times New Roman" w:hAnsi="Times New Roman" w:cs="Times New Roman"/>
                <w:b/>
                <w:bCs/>
                <w:color w:val="auto"/>
                <w:sz w:val="21"/>
                <w:szCs w:val="21"/>
                <w:lang w:val="en-US" w:eastAsia="zh-CN"/>
              </w:rPr>
              <w:t>）</w:t>
            </w:r>
            <w:r>
              <w:rPr>
                <w:rFonts w:hint="default" w:ascii="Times New Roman" w:hAnsi="Times New Roman" w:eastAsia="宋体" w:cs="Times New Roman"/>
                <w:b/>
                <w:bCs/>
                <w:color w:val="auto"/>
                <w:sz w:val="21"/>
                <w:szCs w:val="21"/>
                <w:lang w:val="en-US" w:eastAsia="zh-CN"/>
              </w:rPr>
              <w:t>与《</w:t>
            </w:r>
            <w:r>
              <w:rPr>
                <w:rFonts w:hint="default" w:ascii="Times New Roman" w:hAnsi="Times New Roman" w:cs="Times New Roman"/>
                <w:b/>
                <w:bCs/>
                <w:color w:val="auto"/>
                <w:sz w:val="21"/>
                <w:szCs w:val="21"/>
                <w:lang w:val="en-US" w:eastAsia="zh-CN"/>
              </w:rPr>
              <w:t>江苏省</w:t>
            </w:r>
            <w:r>
              <w:rPr>
                <w:rFonts w:hint="default" w:ascii="Times New Roman" w:hAnsi="Times New Roman" w:eastAsia="宋体" w:cs="Times New Roman"/>
                <w:b/>
                <w:bCs/>
                <w:color w:val="auto"/>
                <w:sz w:val="21"/>
                <w:szCs w:val="21"/>
              </w:rPr>
              <w:t>深入打好重污染天气消除、臭氧污染防治和柴油货车污染治理攻坚战行动</w:t>
            </w:r>
            <w:r>
              <w:rPr>
                <w:rFonts w:hint="default" w:ascii="Times New Roman" w:hAnsi="Times New Roman" w:cs="Times New Roman"/>
                <w:b/>
                <w:bCs/>
                <w:color w:val="auto"/>
                <w:sz w:val="21"/>
                <w:szCs w:val="21"/>
                <w:lang w:eastAsia="zh-CN"/>
              </w:rPr>
              <w:t>实施</w:t>
            </w:r>
            <w:r>
              <w:rPr>
                <w:rFonts w:hint="default" w:ascii="Times New Roman" w:hAnsi="Times New Roman" w:eastAsia="宋体" w:cs="Times New Roman"/>
                <w:b/>
                <w:bCs/>
                <w:color w:val="auto"/>
                <w:sz w:val="21"/>
                <w:szCs w:val="21"/>
              </w:rPr>
              <w:t>方案</w:t>
            </w:r>
            <w:r>
              <w:rPr>
                <w:rFonts w:hint="default"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rPr>
              <w:t>苏环办</w:t>
            </w:r>
            <w:r>
              <w:rPr>
                <w:rFonts w:hint="eastAsia" w:cs="Times New Roman"/>
                <w:b/>
                <w:bCs/>
                <w:color w:val="auto"/>
                <w:sz w:val="21"/>
                <w:szCs w:val="21"/>
                <w:lang w:eastAsia="zh-CN"/>
              </w:rPr>
              <w:t>〔2023〕35号</w:t>
            </w:r>
            <w:r>
              <w:rPr>
                <w:rFonts w:hint="default" w:ascii="Times New Roman" w:hAnsi="Times New Roman" w:eastAsia="宋体" w:cs="Times New Roman"/>
                <w:b/>
                <w:bCs/>
                <w:color w:val="auto"/>
                <w:sz w:val="21"/>
                <w:szCs w:val="21"/>
              </w:rPr>
              <w:t>文</w:t>
            </w:r>
            <w:r>
              <w:rPr>
                <w:rFonts w:hint="default"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rPr>
              <w:t>相符性分析</w:t>
            </w:r>
          </w:p>
          <w:p w14:paraId="07F1ECA6">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7 </w:t>
            </w:r>
            <w:r>
              <w:rPr>
                <w:rFonts w:hint="default" w:ascii="Times New Roman" w:hAnsi="Times New Roman" w:eastAsia="宋体" w:cs="Times New Roman"/>
                <w:b/>
                <w:bCs/>
                <w:color w:val="auto"/>
                <w:sz w:val="21"/>
                <w:szCs w:val="21"/>
              </w:rPr>
              <w:t>与苏环办</w:t>
            </w:r>
            <w:r>
              <w:rPr>
                <w:rFonts w:hint="eastAsia" w:cs="Times New Roman"/>
                <w:b/>
                <w:bCs/>
                <w:color w:val="auto"/>
                <w:sz w:val="21"/>
                <w:szCs w:val="21"/>
                <w:lang w:eastAsia="zh-CN"/>
              </w:rPr>
              <w:t>〔2023〕35号</w:t>
            </w:r>
            <w:r>
              <w:rPr>
                <w:rFonts w:hint="default" w:ascii="Times New Roman" w:hAnsi="Times New Roman" w:cs="Times New Roman"/>
                <w:b/>
                <w:bCs/>
                <w:color w:val="auto"/>
                <w:sz w:val="21"/>
                <w:szCs w:val="21"/>
                <w:lang w:eastAsia="zh-CN"/>
              </w:rPr>
              <w:t>文</w:t>
            </w:r>
            <w:r>
              <w:rPr>
                <w:rFonts w:hint="default" w:ascii="Times New Roman" w:hAnsi="Times New Roman" w:eastAsia="宋体" w:cs="Times New Roman"/>
                <w:b/>
                <w:bCs/>
                <w:color w:val="auto"/>
                <w:sz w:val="21"/>
                <w:szCs w:val="21"/>
              </w:rPr>
              <w:t>的相符性分析</w:t>
            </w:r>
          </w:p>
          <w:tbl>
            <w:tblPr>
              <w:tblStyle w:val="3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10"/>
              <w:gridCol w:w="2359"/>
              <w:gridCol w:w="1097"/>
            </w:tblGrid>
            <w:tr w14:paraId="519F85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7" w:type="pct"/>
                  <w:noWrap w:val="0"/>
                  <w:vAlign w:val="center"/>
                </w:tcPr>
                <w:p w14:paraId="27786DA7">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eastAsia" w:cs="Times New Roman"/>
                      <w:b/>
                      <w:color w:val="auto"/>
                      <w:sz w:val="21"/>
                      <w:szCs w:val="21"/>
                      <w:lang w:val="en-US" w:eastAsia="zh-CN"/>
                    </w:rPr>
                    <w:t>文件</w:t>
                  </w:r>
                  <w:r>
                    <w:rPr>
                      <w:rFonts w:hint="default" w:ascii="Times New Roman" w:hAnsi="Times New Roman" w:cs="Times New Roman"/>
                      <w:b/>
                      <w:color w:val="auto"/>
                      <w:sz w:val="21"/>
                      <w:szCs w:val="21"/>
                    </w:rPr>
                    <w:t>要求</w:t>
                  </w:r>
                </w:p>
              </w:tc>
              <w:tc>
                <w:tcPr>
                  <w:tcW w:w="1462" w:type="pct"/>
                  <w:noWrap w:val="0"/>
                  <w:vAlign w:val="center"/>
                </w:tcPr>
                <w:p w14:paraId="7E1E79A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本项目</w:t>
                  </w:r>
                </w:p>
              </w:tc>
              <w:tc>
                <w:tcPr>
                  <w:tcW w:w="680" w:type="pct"/>
                  <w:noWrap w:val="0"/>
                  <w:vAlign w:val="center"/>
                </w:tcPr>
                <w:p w14:paraId="50A20C7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lang w:val="en-US" w:eastAsia="zh-CN"/>
                    </w:rPr>
                    <w:t>相符性</w:t>
                  </w:r>
                </w:p>
              </w:tc>
            </w:tr>
            <w:tr w14:paraId="147BB3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2857" w:type="pct"/>
                  <w:noWrap w:val="0"/>
                  <w:vAlign w:val="center"/>
                </w:tcPr>
                <w:p w14:paraId="089900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right="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大气减污降碳协同增效行动。大力推动产业转型升级和布局调整优化。坚决遏制高耗能、高排放、低水平项目盲目发展，严格落实国家和省产业规划、产业政策、“三线一单”、规划环评，以及</w:t>
                  </w:r>
                </w:p>
                <w:p w14:paraId="666DB1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right="0"/>
                    <w:jc w:val="both"/>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产能置换、煤炭消费减量替代、污染物排放总量控制、区域污染物削减、碳排放达峰目标等要求，坚决叫停不符合要求的高耗能、高排放、低水平项目。……严格依法依规淘汰落后产能。强化法规标准等约束，利用能耗、环保、安全、质量、技术等综合标准，依法依规淘汰落后产能、落后工艺、落后产品，持续推进化工行业安全环保整治提升，大幅提升行业整体绿色发展水平</w:t>
                  </w:r>
                </w:p>
              </w:tc>
              <w:tc>
                <w:tcPr>
                  <w:tcW w:w="1462" w:type="pct"/>
                  <w:noWrap w:val="0"/>
                  <w:vAlign w:val="center"/>
                </w:tcPr>
                <w:p w14:paraId="792038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right="0"/>
                    <w:jc w:val="both"/>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本项目属于</w:t>
                  </w:r>
                  <w:r>
                    <w:rPr>
                      <w:rFonts w:hint="eastAsia" w:ascii="Times New Roman" w:hAnsi="Times New Roman" w:eastAsia="宋体" w:cs="Times New Roman"/>
                      <w:color w:val="auto"/>
                      <w:kern w:val="2"/>
                      <w:sz w:val="21"/>
                      <w:szCs w:val="21"/>
                      <w:lang w:val="en-US" w:eastAsia="zh-CN" w:bidi="ar-SA"/>
                    </w:rPr>
                    <w:t>C2921塑料薄膜制造</w:t>
                  </w:r>
                  <w:r>
                    <w:rPr>
                      <w:rFonts w:hint="eastAsia" w:cs="Times New Roman"/>
                      <w:color w:val="auto"/>
                      <w:kern w:val="2"/>
                      <w:sz w:val="21"/>
                      <w:szCs w:val="21"/>
                      <w:lang w:val="en-US" w:eastAsia="zh-CN" w:bidi="ar-SA"/>
                    </w:rPr>
                    <w:t>和</w:t>
                  </w:r>
                  <w:r>
                    <w:rPr>
                      <w:rFonts w:hint="eastAsia" w:cs="Times New Roman"/>
                      <w:bCs/>
                      <w:color w:val="auto"/>
                      <w:sz w:val="21"/>
                      <w:szCs w:val="21"/>
                      <w:lang w:val="en-US" w:eastAsia="zh-CN"/>
                    </w:rPr>
                    <w:t>C2923塑料丝、绳及编织品制造</w:t>
                  </w:r>
                  <w:r>
                    <w:rPr>
                      <w:rFonts w:hint="default" w:ascii="Times New Roman" w:hAnsi="Times New Roman" w:eastAsia="宋体" w:cs="Times New Roman"/>
                      <w:bCs/>
                      <w:color w:val="auto"/>
                      <w:sz w:val="21"/>
                      <w:szCs w:val="21"/>
                      <w:lang w:val="en-US" w:eastAsia="zh-CN"/>
                    </w:rPr>
                    <w:t>，不属于高耗能、高排放、低水平项目。本项目产品为</w:t>
                  </w:r>
                  <w:r>
                    <w:rPr>
                      <w:rFonts w:hint="eastAsia" w:cs="Times New Roman"/>
                      <w:bCs/>
                      <w:color w:val="auto"/>
                      <w:sz w:val="21"/>
                      <w:szCs w:val="21"/>
                      <w:lang w:val="en-US" w:eastAsia="zh-CN"/>
                    </w:rPr>
                    <w:t>复合膜和复合包装袋</w:t>
                  </w:r>
                  <w:r>
                    <w:rPr>
                      <w:rFonts w:hint="default" w:ascii="Times New Roman" w:hAnsi="Times New Roman" w:eastAsia="宋体" w:cs="Times New Roman"/>
                      <w:bCs/>
                      <w:color w:val="auto"/>
                      <w:sz w:val="21"/>
                      <w:szCs w:val="21"/>
                      <w:lang w:val="en-US" w:eastAsia="zh-CN"/>
                    </w:rPr>
                    <w:t>，不涉及落后工艺、落后产品。</w:t>
                  </w:r>
                </w:p>
              </w:tc>
              <w:tc>
                <w:tcPr>
                  <w:tcW w:w="680" w:type="pct"/>
                  <w:noWrap w:val="0"/>
                  <w:vAlign w:val="center"/>
                </w:tcPr>
                <w:p w14:paraId="525013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相符</w:t>
                  </w:r>
                </w:p>
              </w:tc>
            </w:tr>
          </w:tbl>
          <w:p w14:paraId="20576FFC">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422" w:firstLineChars="200"/>
              <w:jc w:val="lef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2"/>
                <w:sz w:val="21"/>
                <w:szCs w:val="21"/>
                <w:lang w:val="en-US" w:eastAsia="zh-CN" w:bidi="ar-SA"/>
              </w:rPr>
              <w:t>（</w:t>
            </w:r>
            <w:r>
              <w:rPr>
                <w:rFonts w:hint="eastAsia" w:ascii="Times New Roman" w:hAnsi="Times New Roman" w:cs="Times New Roman"/>
                <w:b/>
                <w:bCs/>
                <w:color w:val="auto"/>
                <w:kern w:val="2"/>
                <w:sz w:val="21"/>
                <w:szCs w:val="21"/>
                <w:lang w:val="en-US" w:eastAsia="zh-CN" w:bidi="ar-SA"/>
              </w:rPr>
              <w:t>3</w:t>
            </w:r>
            <w:r>
              <w:rPr>
                <w:rFonts w:hint="default" w:ascii="Times New Roman" w:hAnsi="Times New Roman" w:eastAsia="宋体" w:cs="Times New Roman"/>
                <w:b/>
                <w:bCs/>
                <w:color w:val="auto"/>
                <w:kern w:val="2"/>
                <w:sz w:val="21"/>
                <w:szCs w:val="21"/>
                <w:lang w:val="en-US" w:eastAsia="zh-CN" w:bidi="ar-SA"/>
              </w:rPr>
              <w:t>）与</w:t>
            </w:r>
            <w:r>
              <w:rPr>
                <w:rFonts w:hint="eastAsia" w:ascii="Times New Roman" w:hAnsi="Times New Roman" w:eastAsia="宋体" w:cs="Times New Roman"/>
                <w:b/>
                <w:bCs/>
                <w:color w:val="auto"/>
                <w:kern w:val="2"/>
                <w:sz w:val="21"/>
                <w:szCs w:val="21"/>
                <w:lang w:val="en-US" w:eastAsia="zh-CN" w:bidi="ar-SA"/>
              </w:rPr>
              <w:t>《省政府关于印发江苏省空气质量持续改善行动计划实施方案的通知》（</w:t>
            </w:r>
            <w:r>
              <w:rPr>
                <w:rFonts w:hint="default" w:ascii="Times New Roman" w:hAnsi="Times New Roman" w:eastAsia="宋体" w:cs="Times New Roman"/>
                <w:b/>
                <w:bCs/>
                <w:color w:val="auto"/>
                <w:kern w:val="2"/>
                <w:sz w:val="21"/>
                <w:szCs w:val="21"/>
                <w:lang w:val="en-US" w:eastAsia="zh-CN" w:bidi="ar-SA"/>
              </w:rPr>
              <w:t>苏政发〔2024〕53号</w:t>
            </w:r>
            <w:r>
              <w:rPr>
                <w:rFonts w:hint="eastAsia" w:ascii="Times New Roman" w:hAnsi="Times New Roman" w:eastAsia="宋体" w:cs="Times New Roman"/>
                <w:b/>
                <w:bCs/>
                <w:color w:val="auto"/>
                <w:kern w:val="2"/>
                <w:sz w:val="21"/>
                <w:szCs w:val="21"/>
                <w:lang w:val="en-US" w:eastAsia="zh-CN" w:bidi="ar-SA"/>
              </w:rPr>
              <w:t>）</w:t>
            </w:r>
            <w:r>
              <w:rPr>
                <w:rFonts w:hint="default" w:ascii="Times New Roman" w:hAnsi="Times New Roman" w:eastAsia="宋体" w:cs="Times New Roman"/>
                <w:b/>
                <w:bCs/>
                <w:color w:val="auto"/>
                <w:kern w:val="2"/>
                <w:sz w:val="21"/>
                <w:szCs w:val="21"/>
                <w:lang w:val="en-US" w:eastAsia="zh-CN" w:bidi="ar-SA"/>
              </w:rPr>
              <w:t>的对照分析</w:t>
            </w:r>
            <w:r>
              <w:rPr>
                <w:rFonts w:hint="default" w:ascii="Times New Roman" w:hAnsi="Times New Roman" w:eastAsia="宋体" w:cs="Times New Roman"/>
                <w:b/>
                <w:bCs/>
                <w:color w:val="auto"/>
                <w:sz w:val="21"/>
                <w:szCs w:val="21"/>
              </w:rPr>
              <w:br w:type="textWrapping"/>
            </w:r>
            <w:r>
              <w:rPr>
                <w:rFonts w:hint="eastAsia" w:ascii="Times New Roman" w:hAnsi="Times New Roman" w:cs="Times New Roman"/>
                <w:b/>
                <w:bCs/>
                <w:color w:val="auto"/>
                <w:sz w:val="21"/>
                <w:szCs w:val="21"/>
                <w:lang w:val="en-US" w:eastAsia="zh-CN"/>
              </w:rPr>
              <w:t xml:space="preserve">               </w:t>
            </w:r>
            <w:r>
              <w:rPr>
                <w:rFonts w:hint="default" w:ascii="Times New Roman" w:hAnsi="Times New Roman" w:eastAsia="宋体" w:cs="Times New Roman"/>
                <w:b/>
                <w:bCs/>
                <w:color w:val="auto"/>
                <w:kern w:val="0"/>
                <w:sz w:val="21"/>
                <w:szCs w:val="21"/>
                <w:lang w:val="en-US" w:eastAsia="zh-CN" w:bidi="ar-SA"/>
              </w:rPr>
              <w:t>表1-</w:t>
            </w:r>
            <w:r>
              <w:rPr>
                <w:rFonts w:hint="eastAsia" w:cs="Times New Roman"/>
                <w:b/>
                <w:bCs/>
                <w:color w:val="auto"/>
                <w:kern w:val="0"/>
                <w:sz w:val="21"/>
                <w:szCs w:val="21"/>
                <w:lang w:val="en-US" w:eastAsia="zh-CN" w:bidi="ar-SA"/>
              </w:rPr>
              <w:t>8</w:t>
            </w:r>
            <w:r>
              <w:rPr>
                <w:rFonts w:hint="eastAsia" w:ascii="Times New Roman" w:hAnsi="Times New Roman" w:eastAsia="宋体" w:cs="Times New Roman"/>
                <w:b/>
                <w:bCs/>
                <w:color w:val="auto"/>
                <w:kern w:val="0"/>
                <w:sz w:val="21"/>
                <w:szCs w:val="21"/>
                <w:lang w:val="en-US" w:eastAsia="zh-CN" w:bidi="ar-SA"/>
              </w:rPr>
              <w:t xml:space="preserve"> </w:t>
            </w:r>
            <w:r>
              <w:rPr>
                <w:rFonts w:hint="default" w:ascii="Times New Roman" w:hAnsi="Times New Roman" w:eastAsia="宋体" w:cs="Times New Roman"/>
                <w:b/>
                <w:bCs/>
                <w:color w:val="auto"/>
                <w:kern w:val="0"/>
                <w:sz w:val="21"/>
                <w:szCs w:val="21"/>
                <w:lang w:val="en-US" w:eastAsia="zh-CN" w:bidi="ar-SA"/>
              </w:rPr>
              <w:t>与苏政发〔2024〕53号</w:t>
            </w:r>
            <w:r>
              <w:rPr>
                <w:rFonts w:hint="eastAsia" w:ascii="Times New Roman" w:hAnsi="Times New Roman" w:eastAsia="宋体" w:cs="Times New Roman"/>
                <w:b/>
                <w:bCs/>
                <w:color w:val="auto"/>
                <w:kern w:val="0"/>
                <w:sz w:val="21"/>
                <w:szCs w:val="21"/>
                <w:lang w:val="en-US" w:eastAsia="zh-CN" w:bidi="ar-SA"/>
              </w:rPr>
              <w:t>文</w:t>
            </w:r>
            <w:r>
              <w:rPr>
                <w:rFonts w:hint="default" w:ascii="Times New Roman" w:hAnsi="Times New Roman" w:eastAsia="宋体" w:cs="Times New Roman"/>
                <w:b/>
                <w:bCs/>
                <w:color w:val="auto"/>
                <w:kern w:val="0"/>
                <w:sz w:val="21"/>
                <w:szCs w:val="21"/>
                <w:lang w:val="en-US" w:eastAsia="zh-CN" w:bidi="ar-SA"/>
              </w:rPr>
              <w:t>相符性分析</w:t>
            </w:r>
          </w:p>
          <w:tbl>
            <w:tblPr>
              <w:tblStyle w:val="3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65"/>
              <w:gridCol w:w="2610"/>
              <w:gridCol w:w="691"/>
            </w:tblGrid>
            <w:tr w14:paraId="3B03BC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953" w:type="pct"/>
                  <w:noWrap w:val="0"/>
                  <w:tcMar>
                    <w:top w:w="0" w:type="dxa"/>
                    <w:left w:w="28" w:type="dxa"/>
                    <w:bottom w:w="0" w:type="dxa"/>
                    <w:right w:w="28" w:type="dxa"/>
                  </w:tcMar>
                  <w:vAlign w:val="center"/>
                </w:tcPr>
                <w:p w14:paraId="109BD572">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rPr>
                    <w:t>文件要求</w:t>
                  </w:r>
                </w:p>
              </w:tc>
              <w:tc>
                <w:tcPr>
                  <w:tcW w:w="1617" w:type="pct"/>
                  <w:noWrap w:val="0"/>
                  <w:tcMar>
                    <w:top w:w="0" w:type="dxa"/>
                    <w:left w:w="28" w:type="dxa"/>
                    <w:bottom w:w="0" w:type="dxa"/>
                    <w:right w:w="28" w:type="dxa"/>
                  </w:tcMar>
                  <w:vAlign w:val="center"/>
                </w:tcPr>
                <w:p w14:paraId="0F24F486">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rPr>
                    <w:t>本项目</w:t>
                  </w:r>
                </w:p>
              </w:tc>
              <w:tc>
                <w:tcPr>
                  <w:tcW w:w="428" w:type="pct"/>
                  <w:noWrap w:val="0"/>
                  <w:tcMar>
                    <w:top w:w="0" w:type="dxa"/>
                    <w:left w:w="28" w:type="dxa"/>
                    <w:bottom w:w="0" w:type="dxa"/>
                    <w:right w:w="28" w:type="dxa"/>
                  </w:tcMar>
                  <w:vAlign w:val="center"/>
                </w:tcPr>
                <w:p w14:paraId="1A51C1C5">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color w:val="auto"/>
                      <w:sz w:val="21"/>
                      <w:szCs w:val="21"/>
                      <w:lang w:val="en-US" w:eastAsia="zh-CN"/>
                    </w:rPr>
                    <w:t>相符性</w:t>
                  </w:r>
                </w:p>
              </w:tc>
            </w:tr>
            <w:tr w14:paraId="2C1437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953" w:type="pct"/>
                  <w:noWrap w:val="0"/>
                  <w:tcMar>
                    <w:top w:w="0" w:type="dxa"/>
                    <w:left w:w="28" w:type="dxa"/>
                    <w:bottom w:w="0" w:type="dxa"/>
                    <w:right w:w="28" w:type="dxa"/>
                  </w:tcMar>
                  <w:vAlign w:val="center"/>
                </w:tcPr>
                <w:p w14:paraId="6E67C65C">
                  <w:pPr>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一）坚决遏制高耗能、高排放、低水平项目盲目上马。研究制定“两高”项目管理目录。严禁核准或备案钢铁（炼钢、炼铁）、焦化、电解铝、水泥（熟料）、平板玻璃（不含光伏压延玻璃）和炼化（纳入国家产业规划除外）等行业新增产能的项目。到2025年，短流程炼钢产量占比力争达20%以上。</w:t>
                  </w:r>
                </w:p>
              </w:tc>
              <w:tc>
                <w:tcPr>
                  <w:tcW w:w="1617" w:type="pct"/>
                  <w:noWrap w:val="0"/>
                  <w:tcMar>
                    <w:top w:w="0" w:type="dxa"/>
                    <w:left w:w="28" w:type="dxa"/>
                    <w:bottom w:w="0" w:type="dxa"/>
                    <w:right w:w="28" w:type="dxa"/>
                  </w:tcMar>
                  <w:vAlign w:val="center"/>
                </w:tcPr>
                <w:p w14:paraId="18ABAABC">
                  <w:pPr>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本项目为</w:t>
                  </w:r>
                  <w:r>
                    <w:rPr>
                      <w:rFonts w:hint="eastAsia" w:ascii="Times New Roman" w:hAnsi="Times New Roman" w:eastAsia="宋体" w:cs="Times New Roman"/>
                      <w:color w:val="auto"/>
                      <w:kern w:val="2"/>
                      <w:sz w:val="21"/>
                      <w:szCs w:val="21"/>
                      <w:lang w:val="en-US" w:eastAsia="zh-CN" w:bidi="ar-SA"/>
                    </w:rPr>
                    <w:t>C2921塑料薄膜制造</w:t>
                  </w:r>
                  <w:r>
                    <w:rPr>
                      <w:rFonts w:hint="eastAsia" w:cs="Times New Roman"/>
                      <w:color w:val="auto"/>
                      <w:kern w:val="2"/>
                      <w:sz w:val="21"/>
                      <w:szCs w:val="21"/>
                      <w:lang w:val="en-US" w:eastAsia="zh-CN" w:bidi="ar-SA"/>
                    </w:rPr>
                    <w:t>和</w:t>
                  </w:r>
                  <w:r>
                    <w:rPr>
                      <w:rFonts w:hint="eastAsia" w:cs="Times New Roman"/>
                      <w:b w:val="0"/>
                      <w:bCs w:val="0"/>
                      <w:color w:val="auto"/>
                      <w:kern w:val="0"/>
                      <w:sz w:val="21"/>
                      <w:szCs w:val="21"/>
                      <w:vertAlign w:val="baseline"/>
                      <w:lang w:val="en-US" w:eastAsia="zh-CN" w:bidi="ar-SA"/>
                    </w:rPr>
                    <w:t>C2923塑料丝、绳及编织品制造</w:t>
                  </w:r>
                  <w:r>
                    <w:rPr>
                      <w:rFonts w:hint="default" w:ascii="Times New Roman" w:hAnsi="Times New Roman" w:eastAsia="宋体" w:cs="Times New Roman"/>
                      <w:b w:val="0"/>
                      <w:bCs w:val="0"/>
                      <w:color w:val="auto"/>
                      <w:kern w:val="0"/>
                      <w:sz w:val="21"/>
                      <w:szCs w:val="21"/>
                      <w:vertAlign w:val="baseline"/>
                      <w:lang w:val="en-US" w:eastAsia="zh-CN" w:bidi="ar-SA"/>
                    </w:rPr>
                    <w:t>，不属于</w:t>
                  </w:r>
                  <w:r>
                    <w:rPr>
                      <w:rFonts w:hint="eastAsia" w:cs="Times New Roman"/>
                      <w:b w:val="0"/>
                      <w:bCs w:val="0"/>
                      <w:color w:val="auto"/>
                      <w:kern w:val="0"/>
                      <w:sz w:val="21"/>
                      <w:szCs w:val="21"/>
                      <w:vertAlign w:val="baseline"/>
                      <w:lang w:val="en-US" w:eastAsia="zh-CN" w:bidi="ar-SA"/>
                    </w:rPr>
                    <w:t>“</w:t>
                  </w:r>
                  <w:r>
                    <w:rPr>
                      <w:rFonts w:hint="default" w:ascii="Times New Roman" w:hAnsi="Times New Roman" w:eastAsia="宋体" w:cs="Times New Roman"/>
                      <w:b w:val="0"/>
                      <w:bCs w:val="0"/>
                      <w:color w:val="auto"/>
                      <w:kern w:val="0"/>
                      <w:sz w:val="21"/>
                      <w:szCs w:val="21"/>
                      <w:vertAlign w:val="baseline"/>
                      <w:lang w:val="en-US" w:eastAsia="zh-CN" w:bidi="ar-SA"/>
                    </w:rPr>
                    <w:t>两高</w:t>
                  </w:r>
                  <w:r>
                    <w:rPr>
                      <w:rFonts w:hint="eastAsia" w:cs="Times New Roman"/>
                      <w:b w:val="0"/>
                      <w:bCs w:val="0"/>
                      <w:color w:val="auto"/>
                      <w:kern w:val="0"/>
                      <w:sz w:val="21"/>
                      <w:szCs w:val="21"/>
                      <w:vertAlign w:val="baseline"/>
                      <w:lang w:val="en-US" w:eastAsia="zh-CN" w:bidi="ar-SA"/>
                    </w:rPr>
                    <w:t>”</w:t>
                  </w:r>
                  <w:r>
                    <w:rPr>
                      <w:rFonts w:hint="default" w:ascii="Times New Roman" w:hAnsi="Times New Roman" w:eastAsia="宋体" w:cs="Times New Roman"/>
                      <w:b w:val="0"/>
                      <w:bCs w:val="0"/>
                      <w:color w:val="auto"/>
                      <w:kern w:val="0"/>
                      <w:sz w:val="21"/>
                      <w:szCs w:val="21"/>
                      <w:vertAlign w:val="baseline"/>
                      <w:lang w:val="en-US" w:eastAsia="zh-CN" w:bidi="ar-SA"/>
                    </w:rPr>
                    <w:t>项目。</w:t>
                  </w:r>
                </w:p>
              </w:tc>
              <w:tc>
                <w:tcPr>
                  <w:tcW w:w="428" w:type="pct"/>
                  <w:noWrap w:val="0"/>
                  <w:tcMar>
                    <w:top w:w="0" w:type="dxa"/>
                    <w:left w:w="28" w:type="dxa"/>
                    <w:bottom w:w="0" w:type="dxa"/>
                    <w:right w:w="28" w:type="dxa"/>
                  </w:tcMar>
                  <w:vAlign w:val="center"/>
                </w:tcPr>
                <w:p w14:paraId="008C4B99">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相符</w:t>
                  </w:r>
                </w:p>
              </w:tc>
            </w:tr>
            <w:tr w14:paraId="187E1B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953" w:type="pct"/>
                  <w:noWrap w:val="0"/>
                  <w:tcMar>
                    <w:top w:w="0" w:type="dxa"/>
                    <w:left w:w="28" w:type="dxa"/>
                    <w:bottom w:w="0" w:type="dxa"/>
                    <w:right w:w="28" w:type="dxa"/>
                  </w:tcMar>
                  <w:vAlign w:val="center"/>
                </w:tcPr>
                <w:p w14:paraId="2CB9C275">
                  <w:pPr>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四）优化含VOCs原辅材料和产品结构。严格控制生产和使用高VOCs含量涂料、油墨、胶粘剂、清洗剂等建设项目。加大工业涂装、包装印刷和电子行业清洁原料替代力度。鼓励和推进汽车4S店、大型汽修厂实施水性涂料替代。</w:t>
                  </w:r>
                </w:p>
              </w:tc>
              <w:tc>
                <w:tcPr>
                  <w:tcW w:w="1617" w:type="pct"/>
                  <w:noWrap w:val="0"/>
                  <w:tcMar>
                    <w:top w:w="0" w:type="dxa"/>
                    <w:left w:w="28" w:type="dxa"/>
                    <w:bottom w:w="0" w:type="dxa"/>
                    <w:right w:w="28" w:type="dxa"/>
                  </w:tcMar>
                  <w:vAlign w:val="center"/>
                </w:tcPr>
                <w:p w14:paraId="48219C95">
                  <w:pPr>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cs="Times New Roman"/>
                      <w:color w:val="auto"/>
                      <w:sz w:val="21"/>
                      <w:szCs w:val="21"/>
                      <w:lang w:val="en-US" w:eastAsia="zh-CN"/>
                    </w:rPr>
                    <w:t>本项目使用低</w:t>
                  </w:r>
                  <w:r>
                    <w:rPr>
                      <w:rFonts w:hint="default" w:ascii="Times New Roman" w:hAnsi="Times New Roman" w:eastAsia="宋体" w:cs="Times New Roman"/>
                      <w:b w:val="0"/>
                      <w:bCs w:val="0"/>
                      <w:color w:val="auto"/>
                      <w:kern w:val="0"/>
                      <w:sz w:val="21"/>
                      <w:szCs w:val="21"/>
                      <w:vertAlign w:val="baseline"/>
                      <w:lang w:val="en-US" w:eastAsia="zh-CN" w:bidi="ar-SA"/>
                    </w:rPr>
                    <w:t>VOCs</w:t>
                  </w:r>
                  <w:r>
                    <w:rPr>
                      <w:rFonts w:hint="eastAsia" w:ascii="Times New Roman" w:hAnsi="Times New Roman" w:eastAsia="宋体" w:cs="Times New Roman"/>
                      <w:b w:val="0"/>
                      <w:bCs w:val="0"/>
                      <w:color w:val="auto"/>
                      <w:kern w:val="0"/>
                      <w:sz w:val="21"/>
                      <w:szCs w:val="21"/>
                      <w:vertAlign w:val="baseline"/>
                      <w:lang w:val="en-US" w:eastAsia="zh-CN" w:bidi="ar-SA"/>
                    </w:rPr>
                    <w:t>水性油墨和无溶剂胶水</w:t>
                  </w:r>
                  <w:r>
                    <w:rPr>
                      <w:rFonts w:hint="default" w:ascii="Times New Roman" w:hAnsi="Times New Roman" w:eastAsia="宋体" w:cs="Times New Roman"/>
                      <w:color w:val="auto"/>
                      <w:sz w:val="21"/>
                      <w:szCs w:val="21"/>
                    </w:rPr>
                    <w:t>。</w:t>
                  </w:r>
                </w:p>
              </w:tc>
              <w:tc>
                <w:tcPr>
                  <w:tcW w:w="428" w:type="pct"/>
                  <w:noWrap w:val="0"/>
                  <w:tcMar>
                    <w:top w:w="0" w:type="dxa"/>
                    <w:left w:w="28" w:type="dxa"/>
                    <w:bottom w:w="0" w:type="dxa"/>
                    <w:right w:w="28" w:type="dxa"/>
                  </w:tcMar>
                  <w:vAlign w:val="center"/>
                </w:tcPr>
                <w:p w14:paraId="62F7BC34">
                  <w:pPr>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相符</w:t>
                  </w:r>
                </w:p>
              </w:tc>
            </w:tr>
          </w:tbl>
          <w:p w14:paraId="32794087">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rPr>
                <w:rFonts w:hint="default" w:ascii="Times New Roman" w:hAnsi="Times New Roman" w:eastAsia="宋体" w:cs="Times New Roman"/>
                <w:b/>
                <w:bCs/>
                <w:color w:val="auto"/>
                <w:sz w:val="21"/>
                <w:szCs w:val="21"/>
              </w:rPr>
            </w:pPr>
            <w:r>
              <w:rPr>
                <w:rFonts w:hint="eastAsia" w:cs="Times New Roman"/>
                <w:b/>
                <w:bCs w:val="0"/>
                <w:color w:val="auto"/>
                <w:sz w:val="21"/>
                <w:szCs w:val="21"/>
                <w:lang w:eastAsia="zh-CN"/>
              </w:rPr>
              <w:t>（</w:t>
            </w:r>
            <w:r>
              <w:rPr>
                <w:rFonts w:hint="eastAsia" w:cs="Times New Roman"/>
                <w:b/>
                <w:bCs w:val="0"/>
                <w:color w:val="auto"/>
                <w:sz w:val="21"/>
                <w:szCs w:val="21"/>
                <w:lang w:val="en-US" w:eastAsia="zh-CN"/>
              </w:rPr>
              <w:t>4</w:t>
            </w:r>
            <w:r>
              <w:rPr>
                <w:rFonts w:hint="eastAsia" w:cs="Times New Roman"/>
                <w:b/>
                <w:bCs w:val="0"/>
                <w:color w:val="auto"/>
                <w:sz w:val="21"/>
                <w:szCs w:val="21"/>
                <w:lang w:eastAsia="zh-CN"/>
              </w:rPr>
              <w:t>）</w:t>
            </w:r>
            <w:r>
              <w:rPr>
                <w:rFonts w:hint="default" w:ascii="Times New Roman" w:hAnsi="Times New Roman" w:eastAsia="宋体" w:cs="Times New Roman"/>
                <w:b/>
                <w:bCs/>
                <w:color w:val="auto"/>
                <w:sz w:val="21"/>
                <w:szCs w:val="21"/>
                <w:lang w:val="en-US" w:eastAsia="zh-CN"/>
              </w:rPr>
              <w:t>与</w:t>
            </w:r>
            <w:r>
              <w:rPr>
                <w:rFonts w:hint="default" w:ascii="Times New Roman" w:hAnsi="Times New Roman" w:eastAsia="宋体" w:cs="Times New Roman"/>
                <w:b/>
                <w:bCs/>
                <w:color w:val="auto"/>
                <w:sz w:val="21"/>
                <w:szCs w:val="21"/>
              </w:rPr>
              <w:t>《挥发性有机物无组织排放控制标准》（GB37822-2019）相符性分析</w:t>
            </w:r>
          </w:p>
          <w:p w14:paraId="4C2568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9 </w:t>
            </w:r>
            <w:r>
              <w:rPr>
                <w:rFonts w:hint="default" w:ascii="Times New Roman" w:hAnsi="Times New Roman" w:eastAsia="宋体" w:cs="Times New Roman"/>
                <w:b/>
                <w:bCs/>
                <w:color w:val="auto"/>
                <w:sz w:val="21"/>
                <w:szCs w:val="21"/>
              </w:rPr>
              <w:t>与《挥发性有机物无组织排放控制标准》相符性分析</w:t>
            </w:r>
          </w:p>
          <w:tbl>
            <w:tblPr>
              <w:tblStyle w:val="31"/>
              <w:tblW w:w="900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4"/>
              <w:gridCol w:w="1010"/>
              <w:gridCol w:w="3050"/>
              <w:gridCol w:w="2515"/>
              <w:gridCol w:w="1518"/>
            </w:tblGrid>
            <w:tr w14:paraId="37D8FF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74" w:type="dxa"/>
                  <w:gridSpan w:val="3"/>
                  <w:noWrap w:val="0"/>
                  <w:vAlign w:val="center"/>
                </w:tcPr>
                <w:p w14:paraId="2F97E1F9">
                  <w:pPr>
                    <w:pStyle w:val="2"/>
                    <w:spacing w:before="0" w:after="0" w:line="240" w:lineRule="auto"/>
                    <w:ind w:right="0"/>
                    <w:jc w:val="center"/>
                    <w:rPr>
                      <w:color w:val="auto"/>
                      <w:sz w:val="21"/>
                      <w:szCs w:val="21"/>
                    </w:rPr>
                  </w:pPr>
                  <w:r>
                    <w:rPr>
                      <w:color w:val="auto"/>
                      <w:sz w:val="21"/>
                      <w:szCs w:val="21"/>
                    </w:rPr>
                    <w:t>相关控制要求</w:t>
                  </w:r>
                </w:p>
              </w:tc>
              <w:tc>
                <w:tcPr>
                  <w:tcW w:w="2515" w:type="dxa"/>
                  <w:noWrap w:val="0"/>
                  <w:vAlign w:val="center"/>
                </w:tcPr>
                <w:p w14:paraId="5036C67A">
                  <w:pPr>
                    <w:pStyle w:val="2"/>
                    <w:spacing w:before="0" w:after="0" w:line="240" w:lineRule="auto"/>
                    <w:ind w:right="0"/>
                    <w:jc w:val="center"/>
                    <w:rPr>
                      <w:color w:val="auto"/>
                      <w:sz w:val="21"/>
                      <w:szCs w:val="21"/>
                    </w:rPr>
                  </w:pPr>
                  <w:r>
                    <w:rPr>
                      <w:color w:val="auto"/>
                      <w:sz w:val="21"/>
                      <w:szCs w:val="21"/>
                    </w:rPr>
                    <w:t>本项目情况</w:t>
                  </w:r>
                </w:p>
              </w:tc>
              <w:tc>
                <w:tcPr>
                  <w:tcW w:w="1518" w:type="dxa"/>
                  <w:noWrap w:val="0"/>
                  <w:vAlign w:val="center"/>
                </w:tcPr>
                <w:p w14:paraId="02BBB73A">
                  <w:pPr>
                    <w:pStyle w:val="2"/>
                    <w:spacing w:before="0" w:after="0" w:line="240" w:lineRule="auto"/>
                    <w:ind w:right="0"/>
                    <w:jc w:val="center"/>
                    <w:rPr>
                      <w:color w:val="auto"/>
                      <w:sz w:val="21"/>
                      <w:szCs w:val="21"/>
                    </w:rPr>
                  </w:pPr>
                  <w:r>
                    <w:rPr>
                      <w:color w:val="auto"/>
                      <w:sz w:val="21"/>
                      <w:szCs w:val="21"/>
                    </w:rPr>
                    <w:t>是否满足要求</w:t>
                  </w:r>
                </w:p>
              </w:tc>
            </w:tr>
            <w:tr w14:paraId="7D3312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4" w:type="dxa"/>
                  <w:vMerge w:val="restart"/>
                  <w:noWrap w:val="0"/>
                  <w:vAlign w:val="center"/>
                </w:tcPr>
                <w:p w14:paraId="4498BE9A">
                  <w:pPr>
                    <w:widowControl/>
                    <w:jc w:val="center"/>
                    <w:rPr>
                      <w:color w:val="auto"/>
                      <w:sz w:val="21"/>
                      <w:szCs w:val="21"/>
                    </w:rPr>
                  </w:pPr>
                  <w:r>
                    <w:rPr>
                      <w:color w:val="auto"/>
                      <w:kern w:val="0"/>
                      <w:sz w:val="21"/>
                      <w:szCs w:val="21"/>
                      <w:lang w:bidi="ar"/>
                    </w:rPr>
                    <w:t>7 工艺过程VOCs无组织排放控制要求</w:t>
                  </w:r>
                </w:p>
              </w:tc>
              <w:tc>
                <w:tcPr>
                  <w:tcW w:w="1010" w:type="dxa"/>
                  <w:noWrap w:val="0"/>
                  <w:vAlign w:val="center"/>
                </w:tcPr>
                <w:p w14:paraId="0C1CAC93">
                  <w:pPr>
                    <w:widowControl/>
                    <w:jc w:val="center"/>
                    <w:rPr>
                      <w:color w:val="auto"/>
                      <w:sz w:val="21"/>
                      <w:szCs w:val="21"/>
                    </w:rPr>
                  </w:pPr>
                  <w:r>
                    <w:rPr>
                      <w:color w:val="auto"/>
                      <w:kern w:val="0"/>
                      <w:sz w:val="21"/>
                      <w:szCs w:val="21"/>
                      <w:lang w:bidi="ar"/>
                    </w:rPr>
                    <w:t>7.2</w:t>
                  </w:r>
                  <w:r>
                    <w:rPr>
                      <w:color w:val="auto"/>
                      <w:sz w:val="21"/>
                      <w:szCs w:val="21"/>
                    </w:rPr>
                    <w:t xml:space="preserve"> </w:t>
                  </w:r>
                  <w:r>
                    <w:rPr>
                      <w:color w:val="auto"/>
                      <w:kern w:val="0"/>
                      <w:sz w:val="21"/>
                      <w:szCs w:val="21"/>
                      <w:lang w:bidi="ar"/>
                    </w:rPr>
                    <w:t>含VOCs产品的使用过程</w:t>
                  </w:r>
                </w:p>
              </w:tc>
              <w:tc>
                <w:tcPr>
                  <w:tcW w:w="3050" w:type="dxa"/>
                  <w:noWrap w:val="0"/>
                  <w:vAlign w:val="center"/>
                </w:tcPr>
                <w:p w14:paraId="002573E1">
                  <w:pPr>
                    <w:widowControl/>
                    <w:rPr>
                      <w:color w:val="auto"/>
                      <w:sz w:val="21"/>
                      <w:szCs w:val="21"/>
                    </w:rPr>
                  </w:pPr>
                  <w:r>
                    <w:rPr>
                      <w:color w:val="auto"/>
                      <w:kern w:val="0"/>
                      <w:sz w:val="21"/>
                      <w:szCs w:val="21"/>
                      <w:lang w:bidi="ar"/>
                    </w:rPr>
                    <w:t>7.2.1 VOCs质量占比大于等于10%的含VOCs产品，其使用过程应采用密闭设备或在密闭空间内操作，废气应排至VOCs废气收集处理系统；无法密闭的，应采取局部气体收集措施，废气应排至VOCs废气收集处理系统。含VOCs产品的使用过程包括但不限于以下作业：a）调配（混合、搅拌等）；b）涂装（喷涂、浸涂、淋涂、辊涂、刷涂、涂布等）；f）干燥（烘干、风干、晾干等）；</w:t>
                  </w:r>
                </w:p>
              </w:tc>
              <w:tc>
                <w:tcPr>
                  <w:tcW w:w="2515" w:type="dxa"/>
                  <w:noWrap w:val="0"/>
                  <w:vAlign w:val="center"/>
                </w:tcPr>
                <w:p w14:paraId="6EED4F75">
                  <w:pPr>
                    <w:rPr>
                      <w:color w:val="auto"/>
                      <w:kern w:val="0"/>
                      <w:sz w:val="21"/>
                      <w:szCs w:val="21"/>
                      <w:lang w:bidi="ar"/>
                    </w:rPr>
                  </w:pPr>
                  <w:r>
                    <w:rPr>
                      <w:color w:val="auto"/>
                      <w:kern w:val="0"/>
                      <w:sz w:val="21"/>
                      <w:szCs w:val="21"/>
                    </w:rPr>
                    <w:t>本项目</w:t>
                  </w:r>
                  <w:r>
                    <w:rPr>
                      <w:rFonts w:hint="eastAsia"/>
                      <w:color w:val="auto"/>
                      <w:sz w:val="21"/>
                      <w:szCs w:val="21"/>
                    </w:rPr>
                    <w:t>印刷、复合、熟化废气</w:t>
                  </w:r>
                  <w:r>
                    <w:rPr>
                      <w:bCs/>
                      <w:color w:val="auto"/>
                      <w:kern w:val="0"/>
                      <w:sz w:val="21"/>
                      <w:szCs w:val="21"/>
                    </w:rPr>
                    <w:t>采用</w:t>
                  </w:r>
                  <w:r>
                    <w:rPr>
                      <w:rFonts w:hint="eastAsia"/>
                      <w:bCs/>
                      <w:color w:val="auto"/>
                      <w:kern w:val="0"/>
                      <w:sz w:val="21"/>
                      <w:szCs w:val="21"/>
                    </w:rPr>
                    <w:t>密闭空间负压</w:t>
                  </w:r>
                  <w:r>
                    <w:rPr>
                      <w:bCs/>
                      <w:color w:val="auto"/>
                      <w:kern w:val="0"/>
                      <w:sz w:val="21"/>
                      <w:szCs w:val="21"/>
                    </w:rPr>
                    <w:t>收集</w:t>
                  </w:r>
                  <w:r>
                    <w:rPr>
                      <w:color w:val="auto"/>
                      <w:kern w:val="0"/>
                      <w:sz w:val="21"/>
                      <w:szCs w:val="21"/>
                    </w:rPr>
                    <w:t>后进入“</w:t>
                  </w:r>
                  <w:r>
                    <w:rPr>
                      <w:rFonts w:hint="eastAsia"/>
                      <w:color w:val="auto"/>
                      <w:kern w:val="0"/>
                      <w:sz w:val="21"/>
                      <w:szCs w:val="21"/>
                      <w:lang w:eastAsia="zh-CN"/>
                    </w:rPr>
                    <w:t>二级活性炭吸附装置</w:t>
                  </w:r>
                  <w:r>
                    <w:rPr>
                      <w:color w:val="auto"/>
                      <w:kern w:val="0"/>
                      <w:sz w:val="21"/>
                      <w:szCs w:val="21"/>
                    </w:rPr>
                    <w:t>”装置处理</w:t>
                  </w:r>
                </w:p>
              </w:tc>
              <w:tc>
                <w:tcPr>
                  <w:tcW w:w="1518" w:type="dxa"/>
                  <w:noWrap w:val="0"/>
                  <w:vAlign w:val="center"/>
                </w:tcPr>
                <w:p w14:paraId="72EDB683">
                  <w:pPr>
                    <w:jc w:val="center"/>
                    <w:rPr>
                      <w:color w:val="auto"/>
                      <w:sz w:val="21"/>
                      <w:szCs w:val="21"/>
                    </w:rPr>
                  </w:pPr>
                  <w:r>
                    <w:rPr>
                      <w:color w:val="auto"/>
                      <w:sz w:val="21"/>
                      <w:szCs w:val="21"/>
                    </w:rPr>
                    <w:t>是</w:t>
                  </w:r>
                </w:p>
              </w:tc>
            </w:tr>
            <w:tr w14:paraId="47482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4" w:type="dxa"/>
                  <w:vMerge w:val="continue"/>
                  <w:noWrap w:val="0"/>
                  <w:vAlign w:val="center"/>
                </w:tcPr>
                <w:p w14:paraId="50E10CE4">
                  <w:pPr>
                    <w:pStyle w:val="2"/>
                    <w:spacing w:line="240" w:lineRule="auto"/>
                    <w:jc w:val="center"/>
                    <w:rPr>
                      <w:color w:val="auto"/>
                      <w:sz w:val="21"/>
                      <w:szCs w:val="21"/>
                    </w:rPr>
                  </w:pPr>
                </w:p>
              </w:tc>
              <w:tc>
                <w:tcPr>
                  <w:tcW w:w="1010" w:type="dxa"/>
                  <w:noWrap w:val="0"/>
                  <w:vAlign w:val="center"/>
                </w:tcPr>
                <w:p w14:paraId="668421D1">
                  <w:pPr>
                    <w:widowControl/>
                    <w:jc w:val="center"/>
                    <w:rPr>
                      <w:color w:val="auto"/>
                      <w:sz w:val="21"/>
                      <w:szCs w:val="21"/>
                    </w:rPr>
                  </w:pPr>
                  <w:r>
                    <w:rPr>
                      <w:color w:val="auto"/>
                      <w:kern w:val="0"/>
                      <w:sz w:val="21"/>
                      <w:szCs w:val="21"/>
                      <w:lang w:bidi="ar"/>
                    </w:rPr>
                    <w:t>7.3 其他要求</w:t>
                  </w:r>
                </w:p>
              </w:tc>
              <w:tc>
                <w:tcPr>
                  <w:tcW w:w="3050" w:type="dxa"/>
                  <w:noWrap w:val="0"/>
                  <w:vAlign w:val="center"/>
                </w:tcPr>
                <w:p w14:paraId="1363798D">
                  <w:pPr>
                    <w:widowControl/>
                    <w:rPr>
                      <w:color w:val="auto"/>
                      <w:sz w:val="21"/>
                      <w:szCs w:val="21"/>
                    </w:rPr>
                  </w:pPr>
                  <w:r>
                    <w:rPr>
                      <w:color w:val="auto"/>
                      <w:kern w:val="0"/>
                      <w:sz w:val="21"/>
                      <w:szCs w:val="21"/>
                      <w:lang w:bidi="ar"/>
                    </w:rPr>
                    <w:t>7.3.1 企业应建立台账，记录含VOCs原辅材料和含VOCs产品的名称、使用量、回收量、废弃量、去向以及VOCs含量等信息。台账保存期限不少于3年。</w:t>
                  </w:r>
                </w:p>
              </w:tc>
              <w:tc>
                <w:tcPr>
                  <w:tcW w:w="2515" w:type="dxa"/>
                  <w:noWrap w:val="0"/>
                  <w:vAlign w:val="center"/>
                </w:tcPr>
                <w:p w14:paraId="5AC716B7">
                  <w:pPr>
                    <w:widowControl/>
                    <w:rPr>
                      <w:color w:val="auto"/>
                      <w:kern w:val="0"/>
                      <w:sz w:val="21"/>
                      <w:szCs w:val="21"/>
                      <w:lang w:bidi="ar"/>
                    </w:rPr>
                  </w:pPr>
                  <w:r>
                    <w:rPr>
                      <w:color w:val="auto"/>
                      <w:kern w:val="0"/>
                      <w:sz w:val="21"/>
                      <w:szCs w:val="21"/>
                      <w:lang w:bidi="ar"/>
                    </w:rPr>
                    <w:t>项目建成后将严格遵照执行</w:t>
                  </w:r>
                </w:p>
              </w:tc>
              <w:tc>
                <w:tcPr>
                  <w:tcW w:w="1518" w:type="dxa"/>
                  <w:noWrap w:val="0"/>
                  <w:vAlign w:val="center"/>
                </w:tcPr>
                <w:p w14:paraId="62E5A7FA">
                  <w:pPr>
                    <w:jc w:val="center"/>
                    <w:rPr>
                      <w:color w:val="auto"/>
                      <w:sz w:val="21"/>
                      <w:szCs w:val="21"/>
                    </w:rPr>
                  </w:pPr>
                  <w:r>
                    <w:rPr>
                      <w:color w:val="auto"/>
                      <w:sz w:val="21"/>
                      <w:szCs w:val="21"/>
                    </w:rPr>
                    <w:t>是</w:t>
                  </w:r>
                </w:p>
              </w:tc>
            </w:tr>
            <w:tr w14:paraId="45E816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1" w:hRule="atLeast"/>
              </w:trPr>
              <w:tc>
                <w:tcPr>
                  <w:tcW w:w="914" w:type="dxa"/>
                  <w:vMerge w:val="restart"/>
                  <w:noWrap w:val="0"/>
                  <w:vAlign w:val="center"/>
                </w:tcPr>
                <w:p w14:paraId="298AF917">
                  <w:pPr>
                    <w:widowControl/>
                    <w:jc w:val="center"/>
                    <w:rPr>
                      <w:color w:val="auto"/>
                      <w:sz w:val="21"/>
                      <w:szCs w:val="21"/>
                    </w:rPr>
                  </w:pPr>
                  <w:r>
                    <w:rPr>
                      <w:color w:val="auto"/>
                      <w:kern w:val="0"/>
                      <w:sz w:val="21"/>
                      <w:szCs w:val="21"/>
                      <w:lang w:bidi="ar"/>
                    </w:rPr>
                    <w:t>10 VOCs</w:t>
                  </w:r>
                </w:p>
                <w:p w14:paraId="1514079E">
                  <w:pPr>
                    <w:widowControl/>
                    <w:jc w:val="center"/>
                    <w:rPr>
                      <w:color w:val="auto"/>
                      <w:sz w:val="21"/>
                      <w:szCs w:val="21"/>
                    </w:rPr>
                  </w:pPr>
                  <w:r>
                    <w:rPr>
                      <w:color w:val="auto"/>
                      <w:kern w:val="0"/>
                      <w:sz w:val="21"/>
                      <w:szCs w:val="21"/>
                      <w:lang w:bidi="ar"/>
                    </w:rPr>
                    <w:t>无组织排放废气收集处理系统要求</w:t>
                  </w:r>
                </w:p>
              </w:tc>
              <w:tc>
                <w:tcPr>
                  <w:tcW w:w="1010" w:type="dxa"/>
                  <w:noWrap w:val="0"/>
                  <w:vAlign w:val="center"/>
                </w:tcPr>
                <w:p w14:paraId="2B48774A">
                  <w:pPr>
                    <w:widowControl/>
                    <w:jc w:val="center"/>
                    <w:rPr>
                      <w:color w:val="auto"/>
                      <w:sz w:val="21"/>
                      <w:szCs w:val="21"/>
                    </w:rPr>
                  </w:pPr>
                  <w:r>
                    <w:rPr>
                      <w:color w:val="auto"/>
                      <w:kern w:val="0"/>
                      <w:sz w:val="21"/>
                      <w:szCs w:val="21"/>
                      <w:lang w:bidi="ar"/>
                    </w:rPr>
                    <w:t>10.1基本要求</w:t>
                  </w:r>
                </w:p>
              </w:tc>
              <w:tc>
                <w:tcPr>
                  <w:tcW w:w="3050" w:type="dxa"/>
                  <w:noWrap w:val="0"/>
                  <w:vAlign w:val="center"/>
                </w:tcPr>
                <w:p w14:paraId="409CF427">
                  <w:pPr>
                    <w:widowControl/>
                    <w:rPr>
                      <w:color w:val="auto"/>
                      <w:sz w:val="21"/>
                      <w:szCs w:val="21"/>
                    </w:rPr>
                  </w:pPr>
                  <w:r>
                    <w:rPr>
                      <w:color w:val="auto"/>
                      <w:kern w:val="0"/>
                      <w:sz w:val="21"/>
                      <w:szCs w:val="21"/>
                      <w:lang w:bidi="ar"/>
                    </w:rPr>
                    <w:t>10.1.2 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2515" w:type="dxa"/>
                  <w:noWrap w:val="0"/>
                  <w:vAlign w:val="center"/>
                </w:tcPr>
                <w:p w14:paraId="01ED2A60">
                  <w:pPr>
                    <w:widowControl/>
                    <w:rPr>
                      <w:color w:val="auto"/>
                      <w:kern w:val="0"/>
                      <w:sz w:val="21"/>
                      <w:szCs w:val="21"/>
                      <w:lang w:bidi="ar"/>
                    </w:rPr>
                  </w:pPr>
                  <w:r>
                    <w:rPr>
                      <w:color w:val="auto"/>
                      <w:kern w:val="0"/>
                      <w:sz w:val="21"/>
                      <w:szCs w:val="21"/>
                      <w:lang w:bidi="ar"/>
                    </w:rPr>
                    <w:t>本项目VOCs废气收集处理系统将先于各生产设施运转前开启，后于生产设施关闭而关闭。当VOCs废气收集处理系统发生故障或检修时，建设单位立即停止生产作业</w:t>
                  </w:r>
                </w:p>
              </w:tc>
              <w:tc>
                <w:tcPr>
                  <w:tcW w:w="1518" w:type="dxa"/>
                  <w:noWrap w:val="0"/>
                  <w:vAlign w:val="center"/>
                </w:tcPr>
                <w:p w14:paraId="09922044">
                  <w:pPr>
                    <w:jc w:val="center"/>
                    <w:rPr>
                      <w:color w:val="auto"/>
                      <w:sz w:val="21"/>
                      <w:szCs w:val="21"/>
                    </w:rPr>
                  </w:pPr>
                  <w:r>
                    <w:rPr>
                      <w:color w:val="auto"/>
                      <w:sz w:val="21"/>
                      <w:szCs w:val="21"/>
                    </w:rPr>
                    <w:t>是</w:t>
                  </w:r>
                </w:p>
              </w:tc>
            </w:tr>
            <w:tr w14:paraId="51A1BF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4" w:type="dxa"/>
                  <w:vMerge w:val="continue"/>
                  <w:noWrap w:val="0"/>
                  <w:vAlign w:val="center"/>
                </w:tcPr>
                <w:p w14:paraId="356AAE97">
                  <w:pPr>
                    <w:pStyle w:val="2"/>
                    <w:spacing w:line="240" w:lineRule="auto"/>
                    <w:jc w:val="center"/>
                    <w:rPr>
                      <w:color w:val="auto"/>
                      <w:sz w:val="21"/>
                      <w:szCs w:val="21"/>
                    </w:rPr>
                  </w:pPr>
                </w:p>
              </w:tc>
              <w:tc>
                <w:tcPr>
                  <w:tcW w:w="1010" w:type="dxa"/>
                  <w:vMerge w:val="restart"/>
                  <w:noWrap w:val="0"/>
                  <w:vAlign w:val="center"/>
                </w:tcPr>
                <w:p w14:paraId="452DE5DD">
                  <w:pPr>
                    <w:widowControl/>
                    <w:jc w:val="center"/>
                    <w:rPr>
                      <w:color w:val="auto"/>
                      <w:sz w:val="21"/>
                      <w:szCs w:val="21"/>
                    </w:rPr>
                  </w:pPr>
                  <w:r>
                    <w:rPr>
                      <w:color w:val="auto"/>
                      <w:kern w:val="0"/>
                      <w:sz w:val="21"/>
                      <w:szCs w:val="21"/>
                      <w:lang w:bidi="ar"/>
                    </w:rPr>
                    <w:t>10.2废气收集系统要求</w:t>
                  </w:r>
                </w:p>
              </w:tc>
              <w:tc>
                <w:tcPr>
                  <w:tcW w:w="3050" w:type="dxa"/>
                  <w:noWrap w:val="0"/>
                  <w:vAlign w:val="center"/>
                </w:tcPr>
                <w:p w14:paraId="3090CB73">
                  <w:pPr>
                    <w:widowControl/>
                    <w:rPr>
                      <w:color w:val="auto"/>
                      <w:sz w:val="21"/>
                      <w:szCs w:val="21"/>
                    </w:rPr>
                  </w:pPr>
                  <w:r>
                    <w:rPr>
                      <w:color w:val="auto"/>
                      <w:kern w:val="0"/>
                      <w:sz w:val="21"/>
                      <w:szCs w:val="21"/>
                      <w:lang w:bidi="ar"/>
                    </w:rPr>
                    <w:t>10.2.1 企业应考虑生产工艺、操作方式、废气性质、处理方法等因素，对VOCs废气进行分类收集。</w:t>
                  </w:r>
                </w:p>
              </w:tc>
              <w:tc>
                <w:tcPr>
                  <w:tcW w:w="2515" w:type="dxa"/>
                  <w:vMerge w:val="restart"/>
                  <w:noWrap w:val="0"/>
                  <w:vAlign w:val="center"/>
                </w:tcPr>
                <w:p w14:paraId="4301D926">
                  <w:pPr>
                    <w:pStyle w:val="2"/>
                    <w:spacing w:before="0" w:after="0" w:line="240" w:lineRule="auto"/>
                    <w:ind w:right="0"/>
                    <w:rPr>
                      <w:color w:val="auto"/>
                      <w:sz w:val="21"/>
                      <w:szCs w:val="21"/>
                    </w:rPr>
                  </w:pPr>
                  <w:r>
                    <w:rPr>
                      <w:color w:val="auto"/>
                      <w:sz w:val="21"/>
                      <w:szCs w:val="21"/>
                    </w:rPr>
                    <w:t>本项目</w:t>
                  </w:r>
                  <w:r>
                    <w:rPr>
                      <w:rFonts w:hint="eastAsia"/>
                      <w:color w:val="auto"/>
                      <w:sz w:val="21"/>
                      <w:szCs w:val="21"/>
                    </w:rPr>
                    <w:t>印刷、复合、熟化废气</w:t>
                  </w:r>
                  <w:r>
                    <w:rPr>
                      <w:bCs/>
                      <w:color w:val="auto"/>
                      <w:sz w:val="21"/>
                      <w:szCs w:val="21"/>
                    </w:rPr>
                    <w:t>采用</w:t>
                  </w:r>
                  <w:r>
                    <w:rPr>
                      <w:rFonts w:hint="eastAsia"/>
                      <w:bCs/>
                      <w:color w:val="auto"/>
                      <w:sz w:val="21"/>
                      <w:szCs w:val="21"/>
                    </w:rPr>
                    <w:t>密闭空间负压</w:t>
                  </w:r>
                  <w:r>
                    <w:rPr>
                      <w:bCs/>
                      <w:color w:val="auto"/>
                      <w:sz w:val="21"/>
                      <w:szCs w:val="21"/>
                    </w:rPr>
                    <w:t>收集</w:t>
                  </w:r>
                  <w:r>
                    <w:rPr>
                      <w:color w:val="auto"/>
                      <w:sz w:val="21"/>
                      <w:szCs w:val="21"/>
                    </w:rPr>
                    <w:t>后进入“</w:t>
                  </w:r>
                  <w:r>
                    <w:rPr>
                      <w:rFonts w:hint="eastAsia"/>
                      <w:color w:val="auto"/>
                      <w:sz w:val="21"/>
                      <w:szCs w:val="21"/>
                      <w:lang w:eastAsia="zh-CN"/>
                    </w:rPr>
                    <w:t>二级活性炭吸附装置</w:t>
                  </w:r>
                  <w:r>
                    <w:rPr>
                      <w:color w:val="auto"/>
                      <w:sz w:val="21"/>
                      <w:szCs w:val="21"/>
                    </w:rPr>
                    <w:t>”装置处理</w:t>
                  </w:r>
                </w:p>
              </w:tc>
              <w:tc>
                <w:tcPr>
                  <w:tcW w:w="1518" w:type="dxa"/>
                  <w:noWrap w:val="0"/>
                  <w:vAlign w:val="center"/>
                </w:tcPr>
                <w:p w14:paraId="671B71A6">
                  <w:pPr>
                    <w:jc w:val="center"/>
                    <w:rPr>
                      <w:color w:val="auto"/>
                      <w:sz w:val="21"/>
                      <w:szCs w:val="21"/>
                    </w:rPr>
                  </w:pPr>
                  <w:r>
                    <w:rPr>
                      <w:color w:val="auto"/>
                      <w:sz w:val="21"/>
                      <w:szCs w:val="21"/>
                    </w:rPr>
                    <w:t>是</w:t>
                  </w:r>
                </w:p>
              </w:tc>
            </w:tr>
            <w:tr w14:paraId="3BF535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4" w:type="dxa"/>
                  <w:vMerge w:val="continue"/>
                  <w:noWrap w:val="0"/>
                  <w:vAlign w:val="center"/>
                </w:tcPr>
                <w:p w14:paraId="7A476CE4">
                  <w:pPr>
                    <w:pStyle w:val="2"/>
                    <w:spacing w:line="240" w:lineRule="auto"/>
                    <w:jc w:val="center"/>
                    <w:rPr>
                      <w:color w:val="auto"/>
                      <w:sz w:val="21"/>
                      <w:szCs w:val="21"/>
                    </w:rPr>
                  </w:pPr>
                </w:p>
              </w:tc>
              <w:tc>
                <w:tcPr>
                  <w:tcW w:w="1010" w:type="dxa"/>
                  <w:vMerge w:val="continue"/>
                  <w:noWrap w:val="0"/>
                  <w:vAlign w:val="center"/>
                </w:tcPr>
                <w:p w14:paraId="4E263469">
                  <w:pPr>
                    <w:pStyle w:val="2"/>
                    <w:spacing w:line="240" w:lineRule="auto"/>
                    <w:jc w:val="center"/>
                    <w:rPr>
                      <w:color w:val="auto"/>
                      <w:sz w:val="21"/>
                      <w:szCs w:val="21"/>
                    </w:rPr>
                  </w:pPr>
                </w:p>
              </w:tc>
              <w:tc>
                <w:tcPr>
                  <w:tcW w:w="3050" w:type="dxa"/>
                  <w:noWrap w:val="0"/>
                  <w:vAlign w:val="center"/>
                </w:tcPr>
                <w:p w14:paraId="1AE5537A">
                  <w:pPr>
                    <w:widowControl/>
                    <w:rPr>
                      <w:color w:val="auto"/>
                      <w:sz w:val="21"/>
                      <w:szCs w:val="21"/>
                    </w:rPr>
                  </w:pPr>
                  <w:r>
                    <w:rPr>
                      <w:color w:val="auto"/>
                      <w:kern w:val="0"/>
                      <w:sz w:val="21"/>
                      <w:szCs w:val="21"/>
                      <w:lang w:bidi="ar"/>
                    </w:rPr>
                    <w:t>10.2.2 废气收集系统排风罩（集气罩）的设置应符合GB/T 16758的规定。采用外部排风罩的，应按GB/T 16758、AQT 4274- 2016规定的方法测量控制风速，测量点应选取在距排风罩开口面最远处的VOCs无组织排放位置，控制风速不应低于0.3 m/s（行业相关规范有具体规定的，按相关规定执行）。</w:t>
                  </w:r>
                </w:p>
              </w:tc>
              <w:tc>
                <w:tcPr>
                  <w:tcW w:w="2515" w:type="dxa"/>
                  <w:vMerge w:val="continue"/>
                  <w:noWrap w:val="0"/>
                  <w:vAlign w:val="center"/>
                </w:tcPr>
                <w:p w14:paraId="2D39771F">
                  <w:pPr>
                    <w:pStyle w:val="2"/>
                    <w:spacing w:line="240" w:lineRule="auto"/>
                    <w:rPr>
                      <w:color w:val="auto"/>
                      <w:sz w:val="21"/>
                      <w:szCs w:val="21"/>
                    </w:rPr>
                  </w:pPr>
                </w:p>
              </w:tc>
              <w:tc>
                <w:tcPr>
                  <w:tcW w:w="1518" w:type="dxa"/>
                  <w:noWrap w:val="0"/>
                  <w:vAlign w:val="center"/>
                </w:tcPr>
                <w:p w14:paraId="29E47713">
                  <w:pPr>
                    <w:jc w:val="center"/>
                    <w:rPr>
                      <w:color w:val="auto"/>
                      <w:sz w:val="21"/>
                      <w:szCs w:val="21"/>
                    </w:rPr>
                  </w:pPr>
                  <w:r>
                    <w:rPr>
                      <w:color w:val="auto"/>
                      <w:sz w:val="21"/>
                      <w:szCs w:val="21"/>
                    </w:rPr>
                    <w:t>是</w:t>
                  </w:r>
                </w:p>
              </w:tc>
            </w:tr>
            <w:tr w14:paraId="2A8762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4" w:type="dxa"/>
                  <w:vMerge w:val="continue"/>
                  <w:noWrap w:val="0"/>
                  <w:vAlign w:val="center"/>
                </w:tcPr>
                <w:p w14:paraId="4DFBB669">
                  <w:pPr>
                    <w:pStyle w:val="2"/>
                    <w:spacing w:line="240" w:lineRule="auto"/>
                    <w:jc w:val="center"/>
                    <w:rPr>
                      <w:color w:val="auto"/>
                      <w:sz w:val="21"/>
                      <w:szCs w:val="21"/>
                    </w:rPr>
                  </w:pPr>
                </w:p>
              </w:tc>
              <w:tc>
                <w:tcPr>
                  <w:tcW w:w="1010" w:type="dxa"/>
                  <w:vMerge w:val="restart"/>
                  <w:noWrap w:val="0"/>
                  <w:vAlign w:val="center"/>
                </w:tcPr>
                <w:p w14:paraId="333C78B6">
                  <w:pPr>
                    <w:widowControl/>
                    <w:jc w:val="center"/>
                    <w:rPr>
                      <w:color w:val="auto"/>
                      <w:sz w:val="21"/>
                      <w:szCs w:val="21"/>
                    </w:rPr>
                  </w:pPr>
                  <w:r>
                    <w:rPr>
                      <w:color w:val="auto"/>
                      <w:kern w:val="0"/>
                      <w:sz w:val="21"/>
                      <w:szCs w:val="21"/>
                      <w:lang w:bidi="ar"/>
                    </w:rPr>
                    <w:t>10.3</w:t>
                  </w:r>
                </w:p>
                <w:p w14:paraId="2C0DCBE1">
                  <w:pPr>
                    <w:widowControl/>
                    <w:rPr>
                      <w:color w:val="auto"/>
                      <w:sz w:val="21"/>
                      <w:szCs w:val="21"/>
                    </w:rPr>
                  </w:pPr>
                  <w:r>
                    <w:rPr>
                      <w:color w:val="auto"/>
                      <w:kern w:val="0"/>
                      <w:sz w:val="21"/>
                      <w:szCs w:val="21"/>
                      <w:lang w:bidi="ar"/>
                    </w:rPr>
                    <w:t>VOCs排放控制要求</w:t>
                  </w:r>
                </w:p>
              </w:tc>
              <w:tc>
                <w:tcPr>
                  <w:tcW w:w="3050" w:type="dxa"/>
                  <w:noWrap w:val="0"/>
                  <w:vAlign w:val="center"/>
                </w:tcPr>
                <w:p w14:paraId="09D8C712">
                  <w:pPr>
                    <w:widowControl/>
                    <w:rPr>
                      <w:color w:val="auto"/>
                      <w:sz w:val="21"/>
                      <w:szCs w:val="21"/>
                    </w:rPr>
                  </w:pPr>
                  <w:r>
                    <w:rPr>
                      <w:color w:val="auto"/>
                      <w:kern w:val="0"/>
                      <w:sz w:val="21"/>
                      <w:szCs w:val="21"/>
                      <w:lang w:bidi="ar"/>
                    </w:rPr>
                    <w:t>10.3.1 VOCs废气收集处理系统污染物排放应符合GB 16297或相关行业排放标准的规定。</w:t>
                  </w:r>
                </w:p>
              </w:tc>
              <w:tc>
                <w:tcPr>
                  <w:tcW w:w="2515" w:type="dxa"/>
                  <w:noWrap w:val="0"/>
                  <w:vAlign w:val="center"/>
                </w:tcPr>
                <w:p w14:paraId="2BC0346B">
                  <w:pPr>
                    <w:widowControl/>
                    <w:rPr>
                      <w:color w:val="auto"/>
                      <w:kern w:val="0"/>
                      <w:sz w:val="21"/>
                      <w:szCs w:val="21"/>
                      <w:lang w:bidi="ar"/>
                    </w:rPr>
                  </w:pPr>
                  <w:r>
                    <w:rPr>
                      <w:color w:val="auto"/>
                      <w:kern w:val="0"/>
                      <w:sz w:val="21"/>
                      <w:szCs w:val="21"/>
                      <w:lang w:bidi="ar"/>
                    </w:rPr>
                    <w:t>本项目有机废气排放满足《印刷工业大气污染物排放标准》（DB32/ 4438-2022）要求</w:t>
                  </w:r>
                </w:p>
              </w:tc>
              <w:tc>
                <w:tcPr>
                  <w:tcW w:w="1518" w:type="dxa"/>
                  <w:noWrap w:val="0"/>
                  <w:vAlign w:val="center"/>
                </w:tcPr>
                <w:p w14:paraId="35249714">
                  <w:pPr>
                    <w:widowControl/>
                    <w:rPr>
                      <w:color w:val="auto"/>
                      <w:kern w:val="0"/>
                      <w:sz w:val="21"/>
                      <w:szCs w:val="21"/>
                      <w:lang w:bidi="ar"/>
                    </w:rPr>
                  </w:pPr>
                  <w:r>
                    <w:rPr>
                      <w:color w:val="auto"/>
                      <w:kern w:val="0"/>
                      <w:sz w:val="21"/>
                      <w:szCs w:val="21"/>
                      <w:lang w:bidi="ar"/>
                    </w:rPr>
                    <w:t>是</w:t>
                  </w:r>
                </w:p>
              </w:tc>
            </w:tr>
            <w:tr w14:paraId="1377E2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4" w:type="dxa"/>
                  <w:vMerge w:val="continue"/>
                  <w:noWrap w:val="0"/>
                  <w:vAlign w:val="center"/>
                </w:tcPr>
                <w:p w14:paraId="4C17DF24">
                  <w:pPr>
                    <w:pStyle w:val="2"/>
                    <w:spacing w:line="240" w:lineRule="auto"/>
                    <w:jc w:val="center"/>
                    <w:rPr>
                      <w:color w:val="auto"/>
                      <w:sz w:val="21"/>
                      <w:szCs w:val="21"/>
                    </w:rPr>
                  </w:pPr>
                </w:p>
              </w:tc>
              <w:tc>
                <w:tcPr>
                  <w:tcW w:w="1010" w:type="dxa"/>
                  <w:vMerge w:val="continue"/>
                  <w:noWrap w:val="0"/>
                  <w:vAlign w:val="center"/>
                </w:tcPr>
                <w:p w14:paraId="004091FC">
                  <w:pPr>
                    <w:pStyle w:val="2"/>
                    <w:spacing w:line="240" w:lineRule="auto"/>
                    <w:jc w:val="center"/>
                    <w:rPr>
                      <w:color w:val="auto"/>
                      <w:sz w:val="21"/>
                      <w:szCs w:val="21"/>
                    </w:rPr>
                  </w:pPr>
                </w:p>
              </w:tc>
              <w:tc>
                <w:tcPr>
                  <w:tcW w:w="3050" w:type="dxa"/>
                  <w:noWrap w:val="0"/>
                  <w:vAlign w:val="center"/>
                </w:tcPr>
                <w:p w14:paraId="52EA89AD">
                  <w:pPr>
                    <w:widowControl/>
                    <w:rPr>
                      <w:color w:val="auto"/>
                      <w:sz w:val="21"/>
                      <w:szCs w:val="21"/>
                    </w:rPr>
                  </w:pPr>
                  <w:r>
                    <w:rPr>
                      <w:color w:val="auto"/>
                      <w:kern w:val="0"/>
                      <w:sz w:val="21"/>
                      <w:szCs w:val="21"/>
                      <w:lang w:bidi="ar"/>
                    </w:rPr>
                    <w:t>10.3.2 收集废气NMHC初始排放速率≥3kg/h时，应配置VOCs处理设施，处理效率不应低于90%；对于重点地区，收集的废气中NMHC初始排放速率≥2kg/h时，应配置VOCs处理设施，处理效率不应低于80%；采用的原辅材料符合国家有关低VOCs含量产品规定除外。</w:t>
                  </w:r>
                </w:p>
              </w:tc>
              <w:tc>
                <w:tcPr>
                  <w:tcW w:w="2515" w:type="dxa"/>
                  <w:noWrap w:val="0"/>
                  <w:vAlign w:val="center"/>
                </w:tcPr>
                <w:p w14:paraId="47E97F19">
                  <w:pPr>
                    <w:rPr>
                      <w:color w:val="auto"/>
                      <w:sz w:val="21"/>
                      <w:szCs w:val="21"/>
                    </w:rPr>
                  </w:pPr>
                  <w:r>
                    <w:rPr>
                      <w:color w:val="auto"/>
                      <w:kern w:val="0"/>
                      <w:sz w:val="21"/>
                      <w:szCs w:val="21"/>
                      <w:lang w:bidi="ar"/>
                    </w:rPr>
                    <w:t>本项目位于重点区域，非甲烷总烃初始排放速率</w:t>
                  </w:r>
                  <w:r>
                    <w:rPr>
                      <w:rFonts w:hint="eastAsia"/>
                      <w:color w:val="auto"/>
                      <w:kern w:val="0"/>
                      <w:sz w:val="21"/>
                      <w:szCs w:val="21"/>
                      <w:lang w:val="en-US" w:eastAsia="zh-CN" w:bidi="ar"/>
                    </w:rPr>
                    <w:t>小于</w:t>
                  </w:r>
                  <w:r>
                    <w:rPr>
                      <w:color w:val="auto"/>
                      <w:kern w:val="0"/>
                      <w:sz w:val="21"/>
                      <w:szCs w:val="21"/>
                      <w:lang w:bidi="ar"/>
                    </w:rPr>
                    <w:t>2kg/h，配备</w:t>
                  </w:r>
                  <w:r>
                    <w:rPr>
                      <w:color w:val="auto"/>
                      <w:sz w:val="21"/>
                      <w:szCs w:val="21"/>
                    </w:rPr>
                    <w:t>“</w:t>
                  </w:r>
                  <w:r>
                    <w:rPr>
                      <w:rFonts w:hint="eastAsia"/>
                      <w:color w:val="auto"/>
                      <w:sz w:val="21"/>
                      <w:szCs w:val="21"/>
                      <w:lang w:eastAsia="zh-CN"/>
                    </w:rPr>
                    <w:t>二级活性炭吸附装置</w:t>
                  </w:r>
                  <w:r>
                    <w:rPr>
                      <w:color w:val="auto"/>
                      <w:sz w:val="21"/>
                      <w:szCs w:val="21"/>
                    </w:rPr>
                    <w:t>”装置</w:t>
                  </w:r>
                  <w:r>
                    <w:rPr>
                      <w:color w:val="auto"/>
                      <w:kern w:val="0"/>
                      <w:sz w:val="21"/>
                      <w:szCs w:val="21"/>
                      <w:lang w:bidi="ar"/>
                    </w:rPr>
                    <w:t>，处理效率不低于90%</w:t>
                  </w:r>
                </w:p>
              </w:tc>
              <w:tc>
                <w:tcPr>
                  <w:tcW w:w="1518" w:type="dxa"/>
                  <w:noWrap w:val="0"/>
                  <w:vAlign w:val="center"/>
                </w:tcPr>
                <w:p w14:paraId="712675D5">
                  <w:pPr>
                    <w:jc w:val="center"/>
                    <w:rPr>
                      <w:color w:val="auto"/>
                      <w:sz w:val="21"/>
                      <w:szCs w:val="21"/>
                    </w:rPr>
                  </w:pPr>
                  <w:r>
                    <w:rPr>
                      <w:color w:val="auto"/>
                      <w:sz w:val="21"/>
                      <w:szCs w:val="21"/>
                    </w:rPr>
                    <w:t>是</w:t>
                  </w:r>
                </w:p>
              </w:tc>
            </w:tr>
            <w:tr w14:paraId="069AD3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4" w:type="dxa"/>
                  <w:vMerge w:val="continue"/>
                  <w:noWrap w:val="0"/>
                  <w:vAlign w:val="center"/>
                </w:tcPr>
                <w:p w14:paraId="78971BDE">
                  <w:pPr>
                    <w:pStyle w:val="2"/>
                    <w:spacing w:line="240" w:lineRule="auto"/>
                    <w:jc w:val="center"/>
                    <w:rPr>
                      <w:color w:val="auto"/>
                      <w:sz w:val="21"/>
                      <w:szCs w:val="21"/>
                    </w:rPr>
                  </w:pPr>
                </w:p>
              </w:tc>
              <w:tc>
                <w:tcPr>
                  <w:tcW w:w="1010" w:type="dxa"/>
                  <w:vMerge w:val="continue"/>
                  <w:noWrap w:val="0"/>
                  <w:vAlign w:val="center"/>
                </w:tcPr>
                <w:p w14:paraId="661FA004">
                  <w:pPr>
                    <w:pStyle w:val="2"/>
                    <w:spacing w:line="240" w:lineRule="auto"/>
                    <w:jc w:val="center"/>
                    <w:rPr>
                      <w:color w:val="auto"/>
                      <w:sz w:val="21"/>
                      <w:szCs w:val="21"/>
                    </w:rPr>
                  </w:pPr>
                </w:p>
              </w:tc>
              <w:tc>
                <w:tcPr>
                  <w:tcW w:w="3050" w:type="dxa"/>
                  <w:noWrap w:val="0"/>
                  <w:vAlign w:val="center"/>
                </w:tcPr>
                <w:p w14:paraId="3E05707B">
                  <w:pPr>
                    <w:widowControl/>
                    <w:rPr>
                      <w:color w:val="auto"/>
                      <w:sz w:val="21"/>
                      <w:szCs w:val="21"/>
                    </w:rPr>
                  </w:pPr>
                  <w:r>
                    <w:rPr>
                      <w:color w:val="auto"/>
                      <w:kern w:val="0"/>
                      <w:sz w:val="21"/>
                      <w:szCs w:val="21"/>
                      <w:lang w:bidi="ar"/>
                    </w:rPr>
                    <w:t>10.3.4 排气筒高度不低于15m（因安全考虑或有特殊工艺要求的除外），具体高度以及与周围建筑物的相对高度关系应根据环境影响评价文件确定。</w:t>
                  </w:r>
                </w:p>
              </w:tc>
              <w:tc>
                <w:tcPr>
                  <w:tcW w:w="2515" w:type="dxa"/>
                  <w:noWrap w:val="0"/>
                  <w:vAlign w:val="center"/>
                </w:tcPr>
                <w:p w14:paraId="1F3FBB4B">
                  <w:pPr>
                    <w:widowControl/>
                    <w:rPr>
                      <w:color w:val="auto"/>
                      <w:kern w:val="0"/>
                      <w:sz w:val="21"/>
                      <w:szCs w:val="21"/>
                      <w:lang w:bidi="ar"/>
                    </w:rPr>
                  </w:pPr>
                  <w:r>
                    <w:rPr>
                      <w:color w:val="auto"/>
                      <w:kern w:val="0"/>
                      <w:sz w:val="21"/>
                      <w:szCs w:val="21"/>
                      <w:lang w:bidi="ar"/>
                    </w:rPr>
                    <w:t>本项目排气筒高度为15m</w:t>
                  </w:r>
                </w:p>
              </w:tc>
              <w:tc>
                <w:tcPr>
                  <w:tcW w:w="1518" w:type="dxa"/>
                  <w:noWrap w:val="0"/>
                  <w:vAlign w:val="center"/>
                </w:tcPr>
                <w:p w14:paraId="3D217B27">
                  <w:pPr>
                    <w:jc w:val="center"/>
                    <w:rPr>
                      <w:color w:val="auto"/>
                      <w:sz w:val="21"/>
                      <w:szCs w:val="21"/>
                    </w:rPr>
                  </w:pPr>
                  <w:r>
                    <w:rPr>
                      <w:color w:val="auto"/>
                      <w:sz w:val="21"/>
                      <w:szCs w:val="21"/>
                    </w:rPr>
                    <w:t>是</w:t>
                  </w:r>
                </w:p>
              </w:tc>
            </w:tr>
          </w:tbl>
          <w:p w14:paraId="60C97F1F">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cs="Times New Roman"/>
                <w:b/>
                <w:bCs w:val="0"/>
                <w:color w:val="auto"/>
                <w:sz w:val="21"/>
                <w:szCs w:val="21"/>
                <w:lang w:eastAsia="zh-CN"/>
              </w:rPr>
            </w:pPr>
            <w:r>
              <w:rPr>
                <w:rFonts w:hint="default" w:ascii="Times New Roman" w:hAnsi="Times New Roman" w:eastAsia="宋体" w:cs="Times New Roman"/>
                <w:color w:val="auto"/>
                <w:sz w:val="21"/>
                <w:szCs w:val="21"/>
              </w:rPr>
              <w:t>综上，本项目建设与《挥发性有机物无组织排放控制标准》（GB37822-2019）相符。</w:t>
            </w:r>
          </w:p>
          <w:p w14:paraId="166DE38D">
            <w:pPr>
              <w:keepNext w:val="0"/>
              <w:keepLines w:val="0"/>
              <w:pageBreakBefore w:val="0"/>
              <w:widowControl w:val="0"/>
              <w:kinsoku/>
              <w:wordWrap/>
              <w:overflowPunct/>
              <w:topLinePunct w:val="0"/>
              <w:autoSpaceDE w:val="0"/>
              <w:autoSpaceDN w:val="0"/>
              <w:bidi w:val="0"/>
              <w:adjustRightInd w:val="0"/>
              <w:snapToGrid w:val="0"/>
              <w:spacing w:line="500" w:lineRule="exact"/>
              <w:ind w:firstLine="422" w:firstLineChars="200"/>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与</w:t>
            </w:r>
            <w:r>
              <w:rPr>
                <w:rFonts w:hint="eastAsia" w:ascii="Times New Roman" w:hAnsi="Times New Roman" w:eastAsia="宋体" w:cs="Times New Roman"/>
                <w:b/>
                <w:bCs/>
                <w:color w:val="auto"/>
                <w:sz w:val="21"/>
                <w:szCs w:val="21"/>
                <w:lang w:val="en-US" w:eastAsia="zh-CN"/>
              </w:rPr>
              <w:t>《省生态环境厅关于加强重点管控新污染物及优先控制化学品环境管理工作的通知》（苏环办〔2023〕314号）、《关于加强重点行业涉新污染物建设项目环境影响评价工作的意见》（环环评〔2025〕28号）</w:t>
            </w:r>
            <w:r>
              <w:rPr>
                <w:rFonts w:hint="default" w:ascii="Times New Roman" w:hAnsi="Times New Roman" w:eastAsia="宋体" w:cs="Times New Roman"/>
                <w:b/>
                <w:bCs/>
                <w:color w:val="auto"/>
                <w:sz w:val="21"/>
                <w:szCs w:val="21"/>
                <w:lang w:val="en-US" w:eastAsia="zh-CN"/>
              </w:rPr>
              <w:t>的对照分析</w:t>
            </w:r>
          </w:p>
          <w:p w14:paraId="0BBA0CAD">
            <w:pPr>
              <w:pStyle w:val="90"/>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SA"/>
              </w:rPr>
              <w:t>表1-</w:t>
            </w:r>
            <w:r>
              <w:rPr>
                <w:rFonts w:hint="eastAsia" w:cs="Times New Roman"/>
                <w:b/>
                <w:bCs/>
                <w:color w:val="auto"/>
                <w:kern w:val="0"/>
                <w:sz w:val="21"/>
                <w:szCs w:val="21"/>
                <w:lang w:val="en-US" w:eastAsia="zh-CN" w:bidi="ar-SA"/>
              </w:rPr>
              <w:t>10</w:t>
            </w:r>
            <w:r>
              <w:rPr>
                <w:rFonts w:hint="default" w:ascii="Times New Roman" w:hAnsi="Times New Roman" w:eastAsia="宋体" w:cs="Times New Roman"/>
                <w:b/>
                <w:bCs/>
                <w:color w:val="auto"/>
                <w:kern w:val="0"/>
                <w:sz w:val="21"/>
                <w:szCs w:val="21"/>
                <w:lang w:val="en-US" w:eastAsia="zh-CN" w:bidi="ar-SA"/>
              </w:rPr>
              <w:t>与</w:t>
            </w:r>
            <w:r>
              <w:rPr>
                <w:rFonts w:hint="eastAsia" w:ascii="Times New Roman" w:hAnsi="Times New Roman" w:eastAsia="宋体" w:cs="Times New Roman"/>
                <w:b/>
                <w:bCs/>
                <w:color w:val="auto"/>
                <w:kern w:val="0"/>
                <w:sz w:val="21"/>
                <w:szCs w:val="21"/>
                <w:lang w:val="en-US" w:eastAsia="zh-CN" w:bidi="ar-SA"/>
              </w:rPr>
              <w:t>苏环办〔2023〕314号、环环评〔2025〕28号文</w:t>
            </w:r>
            <w:r>
              <w:rPr>
                <w:rFonts w:hint="default" w:ascii="Times New Roman" w:hAnsi="Times New Roman" w:eastAsia="宋体" w:cs="Times New Roman"/>
                <w:b/>
                <w:bCs/>
                <w:color w:val="auto"/>
                <w:kern w:val="0"/>
                <w:sz w:val="21"/>
                <w:szCs w:val="21"/>
                <w:lang w:val="en-US" w:eastAsia="zh-CN" w:bidi="ar-SA"/>
              </w:rPr>
              <w:t>相符性分析</w:t>
            </w:r>
          </w:p>
          <w:tbl>
            <w:tblPr>
              <w:tblStyle w:val="3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19"/>
              <w:gridCol w:w="3205"/>
              <w:gridCol w:w="1769"/>
              <w:gridCol w:w="873"/>
            </w:tblGrid>
            <w:tr w14:paraId="33F687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62" w:type="pct"/>
                  <w:gridSpan w:val="2"/>
                  <w:noWrap w:val="0"/>
                  <w:tcMar>
                    <w:top w:w="0" w:type="dxa"/>
                    <w:left w:w="28" w:type="dxa"/>
                    <w:bottom w:w="0" w:type="dxa"/>
                    <w:right w:w="28" w:type="dxa"/>
                  </w:tcMar>
                  <w:vAlign w:val="center"/>
                </w:tcPr>
                <w:p w14:paraId="38285BAE">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cs="Times New Roman" w:eastAsiaTheme="minorEastAsia"/>
                      <w:b/>
                      <w:bCs/>
                      <w:color w:val="auto"/>
                      <w:kern w:val="0"/>
                      <w:sz w:val="21"/>
                      <w:szCs w:val="21"/>
                      <w:vertAlign w:val="baseline"/>
                      <w:lang w:val="en-US" w:eastAsia="zh-CN" w:bidi="ar-SA"/>
                    </w:rPr>
                  </w:pPr>
                  <w:r>
                    <w:rPr>
                      <w:rFonts w:hint="default" w:ascii="Times New Roman" w:hAnsi="Times New Roman" w:cs="Times New Roman" w:eastAsiaTheme="minorEastAsia"/>
                      <w:b/>
                      <w:bCs/>
                      <w:color w:val="auto"/>
                      <w:sz w:val="21"/>
                      <w:szCs w:val="21"/>
                    </w:rPr>
                    <w:t>文件要求</w:t>
                  </w:r>
                </w:p>
              </w:tc>
              <w:tc>
                <w:tcPr>
                  <w:tcW w:w="1096" w:type="pct"/>
                  <w:noWrap w:val="0"/>
                  <w:tcMar>
                    <w:top w:w="0" w:type="dxa"/>
                    <w:left w:w="28" w:type="dxa"/>
                    <w:bottom w:w="0" w:type="dxa"/>
                    <w:right w:w="28" w:type="dxa"/>
                  </w:tcMar>
                  <w:vAlign w:val="center"/>
                </w:tcPr>
                <w:p w14:paraId="4B2B8697">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cs="Times New Roman" w:eastAsiaTheme="minorEastAsia"/>
                      <w:b/>
                      <w:bCs/>
                      <w:color w:val="auto"/>
                      <w:kern w:val="0"/>
                      <w:sz w:val="21"/>
                      <w:szCs w:val="21"/>
                      <w:vertAlign w:val="baseline"/>
                      <w:lang w:val="en-US" w:eastAsia="zh-CN" w:bidi="ar-SA"/>
                    </w:rPr>
                  </w:pPr>
                  <w:r>
                    <w:rPr>
                      <w:rFonts w:hint="default" w:ascii="Times New Roman" w:hAnsi="Times New Roman" w:cs="Times New Roman" w:eastAsiaTheme="minorEastAsia"/>
                      <w:b/>
                      <w:bCs/>
                      <w:color w:val="auto"/>
                      <w:sz w:val="21"/>
                      <w:szCs w:val="21"/>
                    </w:rPr>
                    <w:t>本项目</w:t>
                  </w:r>
                </w:p>
              </w:tc>
              <w:tc>
                <w:tcPr>
                  <w:tcW w:w="541" w:type="pct"/>
                  <w:noWrap w:val="0"/>
                  <w:tcMar>
                    <w:top w:w="0" w:type="dxa"/>
                    <w:left w:w="28" w:type="dxa"/>
                    <w:bottom w:w="0" w:type="dxa"/>
                    <w:right w:w="28" w:type="dxa"/>
                  </w:tcMar>
                  <w:vAlign w:val="center"/>
                </w:tcPr>
                <w:p w14:paraId="6F58E822">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cs="Times New Roman" w:eastAsiaTheme="minorEastAsia"/>
                      <w:b/>
                      <w:bCs/>
                      <w:color w:val="auto"/>
                      <w:kern w:val="0"/>
                      <w:sz w:val="21"/>
                      <w:szCs w:val="21"/>
                      <w:vertAlign w:val="baseline"/>
                      <w:lang w:val="en-US" w:eastAsia="zh-CN" w:bidi="ar-SA"/>
                    </w:rPr>
                  </w:pPr>
                  <w:r>
                    <w:rPr>
                      <w:rFonts w:hint="default" w:ascii="Times New Roman" w:hAnsi="Times New Roman" w:cs="Times New Roman" w:eastAsiaTheme="minorEastAsia"/>
                      <w:b/>
                      <w:bCs/>
                      <w:color w:val="auto"/>
                      <w:sz w:val="21"/>
                      <w:szCs w:val="21"/>
                      <w:lang w:val="en-US" w:eastAsia="zh-CN"/>
                    </w:rPr>
                    <w:t>相符性</w:t>
                  </w:r>
                </w:p>
              </w:tc>
            </w:tr>
            <w:tr w14:paraId="6A511E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76" w:type="pct"/>
                  <w:vMerge w:val="restart"/>
                  <w:noWrap w:val="0"/>
                  <w:tcMar>
                    <w:top w:w="0" w:type="dxa"/>
                    <w:left w:w="28" w:type="dxa"/>
                    <w:bottom w:w="0" w:type="dxa"/>
                    <w:right w:w="28" w:type="dxa"/>
                  </w:tcMar>
                  <w:vAlign w:val="center"/>
                </w:tcPr>
                <w:p w14:paraId="1A9294EF">
                  <w:pPr>
                    <w:pStyle w:val="2"/>
                    <w:keepNext w:val="0"/>
                    <w:keepLines w:val="0"/>
                    <w:pageBreakBefore w:val="0"/>
                    <w:numPr>
                      <w:ilvl w:val="0"/>
                      <w:numId w:val="0"/>
                    </w:numPr>
                    <w:kinsoku/>
                    <w:wordWrap/>
                    <w:overflowPunct/>
                    <w:topLinePunct w:val="0"/>
                    <w:bidi w:val="0"/>
                    <w:spacing w:line="240" w:lineRule="exact"/>
                    <w:ind w:right="113" w:rightChars="0"/>
                    <w:jc w:val="left"/>
                    <w:textAlignment w:val="auto"/>
                    <w:rPr>
                      <w:rFonts w:hint="default" w:ascii="Times New Roman" w:hAnsi="Times New Roman" w:cs="Times New Roman" w:eastAsiaTheme="minorEastAsia"/>
                      <w:b w:val="0"/>
                      <w:bCs w:val="0"/>
                      <w:i w:val="0"/>
                      <w:iCs w:val="0"/>
                      <w:caps w:val="0"/>
                      <w:color w:val="auto"/>
                      <w:spacing w:val="0"/>
                      <w:sz w:val="21"/>
                      <w:szCs w:val="21"/>
                      <w:shd w:val="clear" w:fill="FFFFFF"/>
                    </w:rPr>
                  </w:pPr>
                  <w:r>
                    <w:rPr>
                      <w:rFonts w:hint="default" w:ascii="Times New Roman" w:hAnsi="Times New Roman" w:cs="Times New Roman" w:eastAsiaTheme="minorEastAsia"/>
                      <w:b w:val="0"/>
                      <w:bCs w:val="0"/>
                      <w:color w:val="auto"/>
                      <w:sz w:val="21"/>
                      <w:szCs w:val="21"/>
                      <w:lang w:val="en-US" w:eastAsia="zh-CN"/>
                    </w:rPr>
                    <w:t>《省生态环境厅关于加强重点管控新污染物及优先控制化学品环境管理工作的通知》（苏环办〔2023〕314号）、《关于加强重点行业涉新污染物建设项目环境影响评价工作的意见》（环环评〔2025〕28号）</w:t>
                  </w:r>
                </w:p>
              </w:tc>
              <w:tc>
                <w:tcPr>
                  <w:tcW w:w="1985" w:type="pct"/>
                  <w:noWrap w:val="0"/>
                  <w:tcMar>
                    <w:top w:w="0" w:type="dxa"/>
                    <w:left w:w="28" w:type="dxa"/>
                    <w:bottom w:w="0" w:type="dxa"/>
                    <w:right w:w="28" w:type="dxa"/>
                  </w:tcMar>
                  <w:vAlign w:val="center"/>
                </w:tcPr>
                <w:p w14:paraId="57964B26">
                  <w:pPr>
                    <w:pStyle w:val="2"/>
                    <w:keepNext w:val="0"/>
                    <w:keepLines w:val="0"/>
                    <w:pageBreakBefore w:val="0"/>
                    <w:numPr>
                      <w:ilvl w:val="0"/>
                      <w:numId w:val="0"/>
                    </w:numPr>
                    <w:kinsoku/>
                    <w:wordWrap/>
                    <w:overflowPunct/>
                    <w:topLinePunct w:val="0"/>
                    <w:bidi w:val="0"/>
                    <w:spacing w:line="240" w:lineRule="exact"/>
                    <w:ind w:left="0" w:leftChars="0" w:right="113" w:rightChars="0" w:firstLine="0" w:firstLineChars="0"/>
                    <w:jc w:val="left"/>
                    <w:textAlignment w:val="auto"/>
                    <w:rPr>
                      <w:rFonts w:hint="default" w:ascii="Times New Roman" w:hAnsi="Times New Roman" w:cs="Times New Roman" w:eastAsiaTheme="minorEastAsia"/>
                      <w:b w:val="0"/>
                      <w:bCs w:val="0"/>
                      <w:i w:val="0"/>
                      <w:iCs w:val="0"/>
                      <w:caps w:val="0"/>
                      <w:color w:val="auto"/>
                      <w:spacing w:val="0"/>
                      <w:sz w:val="21"/>
                      <w:szCs w:val="21"/>
                      <w:shd w:val="clear" w:fill="FFFFFF"/>
                    </w:rPr>
                  </w:pPr>
                  <w:r>
                    <w:rPr>
                      <w:rFonts w:hint="default" w:ascii="Times New Roman" w:hAnsi="Times New Roman" w:cs="Times New Roman" w:eastAsiaTheme="minorEastAsia"/>
                      <w:b w:val="0"/>
                      <w:bCs w:val="0"/>
                      <w:i w:val="0"/>
                      <w:iCs w:val="0"/>
                      <w:caps w:val="0"/>
                      <w:color w:val="auto"/>
                      <w:spacing w:val="0"/>
                      <w:sz w:val="21"/>
                      <w:szCs w:val="21"/>
                      <w:shd w:val="clear" w:fill="FFFFFF"/>
                    </w:rPr>
                    <w:t>各级环评审批部门在受理和审批建设项目环评文件时，应落实重点管控新污染物清单、产业结构调整指导目录、《斯德哥尔摩公约》、生态环境分区管控方案和项目所在园区规划环评等有关管控要求。对照</w:t>
                  </w:r>
                  <w:r>
                    <w:rPr>
                      <w:rFonts w:hint="default" w:ascii="Times New Roman" w:hAnsi="Times New Roman" w:cs="Times New Roman" w:eastAsiaTheme="minorEastAsia"/>
                      <w:b w:val="0"/>
                      <w:bCs w:val="0"/>
                      <w:i w:val="0"/>
                      <w:iCs w:val="0"/>
                      <w:caps w:val="0"/>
                      <w:color w:val="auto"/>
                      <w:spacing w:val="0"/>
                      <w:sz w:val="21"/>
                      <w:szCs w:val="21"/>
                      <w:u w:val="none"/>
                      <w:shd w:val="clear" w:fill="FFFFFF"/>
                    </w:rPr>
                    <w:fldChar w:fldCharType="begin"/>
                  </w:r>
                  <w:r>
                    <w:rPr>
                      <w:rFonts w:hint="default" w:ascii="Times New Roman" w:hAnsi="Times New Roman" w:cs="Times New Roman" w:eastAsiaTheme="minorEastAsia"/>
                      <w:b w:val="0"/>
                      <w:bCs w:val="0"/>
                      <w:i w:val="0"/>
                      <w:iCs w:val="0"/>
                      <w:caps w:val="0"/>
                      <w:color w:val="auto"/>
                      <w:spacing w:val="0"/>
                      <w:sz w:val="21"/>
                      <w:szCs w:val="21"/>
                      <w:u w:val="none"/>
                      <w:shd w:val="clear" w:fill="FFFFFF"/>
                    </w:rPr>
                    <w:instrText xml:space="preserve"> HYPERLINK "https://www.gov.cn/zhengce/zhengceku/202504/P020250415726910785034.pdf" \o "不予审批环评的项目类别.pdf" </w:instrText>
                  </w:r>
                  <w:r>
                    <w:rPr>
                      <w:rFonts w:hint="default" w:ascii="Times New Roman" w:hAnsi="Times New Roman" w:cs="Times New Roman" w:eastAsiaTheme="minorEastAsia"/>
                      <w:b w:val="0"/>
                      <w:bCs w:val="0"/>
                      <w:i w:val="0"/>
                      <w:iCs w:val="0"/>
                      <w:caps w:val="0"/>
                      <w:color w:val="auto"/>
                      <w:spacing w:val="0"/>
                      <w:sz w:val="21"/>
                      <w:szCs w:val="21"/>
                      <w:u w:val="none"/>
                      <w:shd w:val="clear" w:fill="FFFFFF"/>
                    </w:rPr>
                    <w:fldChar w:fldCharType="separate"/>
                  </w:r>
                  <w:r>
                    <w:rPr>
                      <w:rStyle w:val="37"/>
                      <w:rFonts w:hint="default" w:ascii="Times New Roman" w:hAnsi="Times New Roman" w:cs="Times New Roman" w:eastAsiaTheme="minorEastAsia"/>
                      <w:b w:val="0"/>
                      <w:bCs w:val="0"/>
                      <w:i w:val="0"/>
                      <w:iCs w:val="0"/>
                      <w:caps w:val="0"/>
                      <w:color w:val="auto"/>
                      <w:spacing w:val="0"/>
                      <w:sz w:val="21"/>
                      <w:szCs w:val="21"/>
                      <w:u w:val="none"/>
                      <w:shd w:val="clear" w:fill="FFFFFF"/>
                    </w:rPr>
                    <w:t>不予审批环评的项目类别</w:t>
                  </w:r>
                  <w:r>
                    <w:rPr>
                      <w:rFonts w:hint="default" w:ascii="Times New Roman" w:hAnsi="Times New Roman" w:cs="Times New Roman" w:eastAsiaTheme="minorEastAsia"/>
                      <w:b w:val="0"/>
                      <w:bCs w:val="0"/>
                      <w:i w:val="0"/>
                      <w:iCs w:val="0"/>
                      <w:caps w:val="0"/>
                      <w:color w:val="auto"/>
                      <w:spacing w:val="0"/>
                      <w:sz w:val="21"/>
                      <w:szCs w:val="21"/>
                      <w:u w:val="none"/>
                      <w:shd w:val="clear" w:fill="FFFFFF"/>
                    </w:rPr>
                    <w:fldChar w:fldCharType="end"/>
                  </w:r>
                  <w:r>
                    <w:rPr>
                      <w:rFonts w:hint="default" w:ascii="Times New Roman" w:hAnsi="Times New Roman" w:cs="Times New Roman" w:eastAsiaTheme="minorEastAsia"/>
                      <w:b w:val="0"/>
                      <w:bCs w:val="0"/>
                      <w:i w:val="0"/>
                      <w:iCs w:val="0"/>
                      <w:caps w:val="0"/>
                      <w:color w:val="auto"/>
                      <w:spacing w:val="0"/>
                      <w:sz w:val="21"/>
                      <w:szCs w:val="21"/>
                      <w:shd w:val="clear" w:fill="FFFFFF"/>
                    </w:rPr>
                    <w:t>，严格审核建设项目原辅材料和产品，对于以禁止生产、加工使用的新污染物作为原辅料或产品的建设项目，依法不予审批。</w:t>
                  </w:r>
                </w:p>
              </w:tc>
              <w:tc>
                <w:tcPr>
                  <w:tcW w:w="1096" w:type="pct"/>
                  <w:noWrap w:val="0"/>
                  <w:tcMar>
                    <w:top w:w="0" w:type="dxa"/>
                    <w:left w:w="28" w:type="dxa"/>
                    <w:bottom w:w="0" w:type="dxa"/>
                    <w:right w:w="28" w:type="dxa"/>
                  </w:tcMar>
                  <w:vAlign w:val="center"/>
                </w:tcPr>
                <w:p w14:paraId="70E35D17">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pPr>
                  <w:r>
                    <w:rPr>
                      <w:rFonts w:hint="default" w:ascii="Times New Roman" w:hAnsi="Times New Roman" w:cs="Times New Roman" w:eastAsiaTheme="minorEastAsia"/>
                      <w:b w:val="0"/>
                      <w:bCs w:val="0"/>
                      <w:i w:val="0"/>
                      <w:iCs w:val="0"/>
                      <w:caps w:val="0"/>
                      <w:color w:val="auto"/>
                      <w:spacing w:val="0"/>
                      <w:sz w:val="21"/>
                      <w:szCs w:val="21"/>
                      <w:shd w:val="clear" w:fill="FFFFFF"/>
                    </w:rPr>
                    <w:t>本项目为</w:t>
                  </w:r>
                  <w:r>
                    <w:rPr>
                      <w:rFonts w:hint="eastAsia" w:ascii="Times New Roman" w:hAnsi="Times New Roman" w:eastAsia="宋体" w:cs="Times New Roman"/>
                      <w:color w:val="auto"/>
                      <w:kern w:val="2"/>
                      <w:sz w:val="21"/>
                      <w:szCs w:val="21"/>
                      <w:lang w:val="en-US" w:eastAsia="zh-CN" w:bidi="ar-SA"/>
                    </w:rPr>
                    <w:t>C2921塑料薄膜制造</w:t>
                  </w:r>
                  <w:r>
                    <w:rPr>
                      <w:rFonts w:hint="eastAsia" w:cs="Times New Roman"/>
                      <w:color w:val="auto"/>
                      <w:kern w:val="2"/>
                      <w:sz w:val="21"/>
                      <w:szCs w:val="21"/>
                      <w:lang w:val="en-US" w:eastAsia="zh-CN" w:bidi="ar-SA"/>
                    </w:rPr>
                    <w:t>和</w:t>
                  </w:r>
                  <w:r>
                    <w:rPr>
                      <w:rFonts w:hint="eastAsia" w:cs="Times New Roman"/>
                      <w:color w:val="auto"/>
                      <w:sz w:val="21"/>
                      <w:szCs w:val="21"/>
                      <w:lang w:val="en-US" w:eastAsia="zh-CN"/>
                    </w:rPr>
                    <w:t>C2923塑料丝、绳及编织品制造</w:t>
                  </w:r>
                  <w:r>
                    <w:rPr>
                      <w:rFonts w:hint="default" w:ascii="Times New Roman" w:hAnsi="Times New Roman" w:cs="Times New Roman" w:eastAsiaTheme="minorEastAsia"/>
                      <w:b w:val="0"/>
                      <w:bCs w:val="0"/>
                      <w:i w:val="0"/>
                      <w:iCs w:val="0"/>
                      <w:caps w:val="0"/>
                      <w:color w:val="auto"/>
                      <w:spacing w:val="0"/>
                      <w:sz w:val="21"/>
                      <w:szCs w:val="21"/>
                      <w:shd w:val="clear" w:fill="FFFFFF"/>
                    </w:rPr>
                    <w:t>，</w:t>
                  </w:r>
                  <w:r>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t>符合《产业结构调整指导目录（2024年本）》</w:t>
                  </w:r>
                  <w:r>
                    <w:rPr>
                      <w:rFonts w:hint="default" w:ascii="Times New Roman" w:hAnsi="Times New Roman" w:cs="Times New Roman" w:eastAsiaTheme="minorEastAsia"/>
                      <w:b w:val="0"/>
                      <w:bCs w:val="0"/>
                      <w:i w:val="0"/>
                      <w:iCs w:val="0"/>
                      <w:caps w:val="0"/>
                      <w:color w:val="auto"/>
                      <w:spacing w:val="0"/>
                      <w:sz w:val="21"/>
                      <w:szCs w:val="21"/>
                      <w:shd w:val="clear" w:fill="FFFFFF"/>
                      <w:lang w:eastAsia="zh-CN"/>
                    </w:rPr>
                    <w:t>、</w:t>
                  </w:r>
                  <w:r>
                    <w:rPr>
                      <w:rFonts w:hint="default" w:ascii="Times New Roman" w:hAnsi="Times New Roman" w:cs="Times New Roman" w:eastAsiaTheme="minorEastAsia"/>
                      <w:b w:val="0"/>
                      <w:bCs w:val="0"/>
                      <w:i w:val="0"/>
                      <w:iCs w:val="0"/>
                      <w:caps w:val="0"/>
                      <w:color w:val="auto"/>
                      <w:spacing w:val="0"/>
                      <w:sz w:val="21"/>
                      <w:szCs w:val="21"/>
                      <w:shd w:val="clear" w:fill="FFFFFF"/>
                    </w:rPr>
                    <w:t>《斯德哥尔摩公约》、</w:t>
                  </w:r>
                  <w:r>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t>江苏省</w:t>
                  </w:r>
                  <w:r>
                    <w:rPr>
                      <w:rFonts w:hint="default" w:ascii="Times New Roman" w:hAnsi="Times New Roman" w:cs="Times New Roman" w:eastAsiaTheme="minorEastAsia"/>
                      <w:b w:val="0"/>
                      <w:bCs w:val="0"/>
                      <w:i w:val="0"/>
                      <w:iCs w:val="0"/>
                      <w:caps w:val="0"/>
                      <w:color w:val="auto"/>
                      <w:spacing w:val="0"/>
                      <w:sz w:val="21"/>
                      <w:szCs w:val="21"/>
                      <w:shd w:val="clear" w:fill="FFFFFF"/>
                    </w:rPr>
                    <w:t>生态环境分区管控方案</w:t>
                  </w:r>
                  <w:r>
                    <w:rPr>
                      <w:rFonts w:hint="default" w:ascii="Times New Roman" w:hAnsi="Times New Roman" w:cs="Times New Roman" w:eastAsiaTheme="minorEastAsia"/>
                      <w:b w:val="0"/>
                      <w:bCs w:val="0"/>
                      <w:i w:val="0"/>
                      <w:iCs w:val="0"/>
                      <w:caps w:val="0"/>
                      <w:color w:val="auto"/>
                      <w:spacing w:val="0"/>
                      <w:sz w:val="21"/>
                      <w:szCs w:val="21"/>
                      <w:shd w:val="clear" w:fill="FFFFFF"/>
                      <w:lang w:eastAsia="zh-CN"/>
                    </w:rPr>
                    <w:t>；</w:t>
                  </w:r>
                  <w:r>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t>项目</w:t>
                  </w:r>
                  <w:r>
                    <w:rPr>
                      <w:rFonts w:hint="eastAsia" w:ascii="Times New Roman" w:hAnsi="Times New Roman" w:cs="Times New Roman" w:eastAsiaTheme="minorEastAsia"/>
                      <w:b w:val="0"/>
                      <w:bCs w:val="0"/>
                      <w:i w:val="0"/>
                      <w:iCs w:val="0"/>
                      <w:caps w:val="0"/>
                      <w:color w:val="auto"/>
                      <w:spacing w:val="0"/>
                      <w:sz w:val="21"/>
                      <w:szCs w:val="21"/>
                      <w:shd w:val="clear" w:fill="FFFFFF"/>
                      <w:lang w:val="en-US" w:eastAsia="zh-CN"/>
                    </w:rPr>
                    <w:t>不</w:t>
                  </w:r>
                  <w:r>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t>涉及</w:t>
                  </w:r>
                  <w:r>
                    <w:rPr>
                      <w:rFonts w:hint="default" w:ascii="Times New Roman" w:hAnsi="Times New Roman" w:cs="Times New Roman" w:eastAsiaTheme="minorEastAsia"/>
                      <w:b w:val="0"/>
                      <w:bCs w:val="0"/>
                      <w:i w:val="0"/>
                      <w:iCs w:val="0"/>
                      <w:caps w:val="0"/>
                      <w:color w:val="auto"/>
                      <w:spacing w:val="0"/>
                      <w:sz w:val="21"/>
                      <w:szCs w:val="21"/>
                      <w:shd w:val="clear" w:fill="FFFFFF"/>
                    </w:rPr>
                    <w:t>新污染物</w:t>
                  </w:r>
                </w:p>
              </w:tc>
              <w:tc>
                <w:tcPr>
                  <w:tcW w:w="541" w:type="pct"/>
                  <w:noWrap w:val="0"/>
                  <w:tcMar>
                    <w:top w:w="0" w:type="dxa"/>
                    <w:left w:w="28" w:type="dxa"/>
                    <w:bottom w:w="0" w:type="dxa"/>
                    <w:right w:w="28" w:type="dxa"/>
                  </w:tcMar>
                  <w:vAlign w:val="center"/>
                </w:tcPr>
                <w:p w14:paraId="1AEB1A7B">
                  <w:pPr>
                    <w:keepNext w:val="0"/>
                    <w:keepLines w:val="0"/>
                    <w:pageBreakBefore w:val="0"/>
                    <w:kinsoku/>
                    <w:wordWrap/>
                    <w:overflowPunct/>
                    <w:topLinePunct w:val="0"/>
                    <w:bidi w:val="0"/>
                    <w:spacing w:line="240" w:lineRule="exact"/>
                    <w:ind w:left="0" w:leftChars="0" w:firstLine="0" w:firstLineChars="0"/>
                    <w:jc w:val="center"/>
                    <w:textAlignment w:val="auto"/>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pPr>
                  <w:r>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t>相符</w:t>
                  </w:r>
                </w:p>
              </w:tc>
            </w:tr>
            <w:tr w14:paraId="764376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76" w:type="pct"/>
                  <w:vMerge w:val="continue"/>
                  <w:noWrap w:val="0"/>
                  <w:tcMar>
                    <w:top w:w="0" w:type="dxa"/>
                    <w:left w:w="28" w:type="dxa"/>
                    <w:bottom w:w="0" w:type="dxa"/>
                    <w:right w:w="28" w:type="dxa"/>
                  </w:tcMar>
                  <w:vAlign w:val="center"/>
                </w:tcPr>
                <w:p w14:paraId="5EEA5A5E">
                  <w:pPr>
                    <w:pStyle w:val="2"/>
                    <w:keepNext w:val="0"/>
                    <w:keepLines w:val="0"/>
                    <w:pageBreakBefore w:val="0"/>
                    <w:numPr>
                      <w:ilvl w:val="0"/>
                      <w:numId w:val="0"/>
                    </w:numPr>
                    <w:kinsoku/>
                    <w:wordWrap/>
                    <w:overflowPunct/>
                    <w:topLinePunct w:val="0"/>
                    <w:bidi w:val="0"/>
                    <w:spacing w:line="240" w:lineRule="exact"/>
                    <w:ind w:right="113" w:rightChars="0"/>
                    <w:jc w:val="left"/>
                    <w:textAlignment w:val="auto"/>
                    <w:rPr>
                      <w:rFonts w:hint="default" w:ascii="Times New Roman" w:hAnsi="Times New Roman" w:cs="Times New Roman" w:eastAsiaTheme="minorEastAsia"/>
                      <w:b w:val="0"/>
                      <w:bCs w:val="0"/>
                      <w:color w:val="auto"/>
                      <w:sz w:val="21"/>
                      <w:szCs w:val="21"/>
                      <w:lang w:val="en-US" w:eastAsia="zh-CN"/>
                    </w:rPr>
                  </w:pPr>
                </w:p>
              </w:tc>
              <w:tc>
                <w:tcPr>
                  <w:tcW w:w="1985" w:type="pct"/>
                  <w:noWrap w:val="0"/>
                  <w:tcMar>
                    <w:top w:w="0" w:type="dxa"/>
                    <w:left w:w="28" w:type="dxa"/>
                    <w:bottom w:w="0" w:type="dxa"/>
                    <w:right w:w="28" w:type="dxa"/>
                  </w:tcMar>
                  <w:vAlign w:val="center"/>
                </w:tcPr>
                <w:p w14:paraId="025664A7">
                  <w:pPr>
                    <w:pStyle w:val="2"/>
                    <w:keepNext w:val="0"/>
                    <w:keepLines w:val="0"/>
                    <w:pageBreakBefore w:val="0"/>
                    <w:numPr>
                      <w:ilvl w:val="0"/>
                      <w:numId w:val="0"/>
                    </w:numPr>
                    <w:kinsoku/>
                    <w:wordWrap/>
                    <w:overflowPunct/>
                    <w:topLinePunct w:val="0"/>
                    <w:bidi w:val="0"/>
                    <w:spacing w:line="240" w:lineRule="exact"/>
                    <w:ind w:left="0" w:leftChars="0" w:right="113" w:rightChars="0" w:firstLine="0" w:firstLineChars="0"/>
                    <w:jc w:val="left"/>
                    <w:textAlignment w:val="auto"/>
                    <w:rPr>
                      <w:rFonts w:hint="default" w:ascii="Times New Roman" w:hAnsi="Times New Roman" w:cs="Times New Roman" w:eastAsiaTheme="minorEastAsia"/>
                      <w:b w:val="0"/>
                      <w:bCs w:val="0"/>
                      <w:i w:val="0"/>
                      <w:iCs w:val="0"/>
                      <w:caps w:val="0"/>
                      <w:color w:val="auto"/>
                      <w:spacing w:val="0"/>
                      <w:sz w:val="21"/>
                      <w:szCs w:val="21"/>
                      <w:shd w:val="clear" w:fill="FFFFFF"/>
                    </w:rPr>
                  </w:pPr>
                  <w:r>
                    <w:rPr>
                      <w:rFonts w:hint="default" w:ascii="Times New Roman" w:hAnsi="Times New Roman" w:cs="Times New Roman" w:eastAsiaTheme="minorEastAsia"/>
                      <w:i w:val="0"/>
                      <w:iCs w:val="0"/>
                      <w:caps w:val="0"/>
                      <w:color w:val="auto"/>
                      <w:spacing w:val="0"/>
                      <w:sz w:val="21"/>
                      <w:szCs w:val="21"/>
                      <w:shd w:val="clear" w:fill="FFFFFF"/>
                    </w:rPr>
                    <w:t>优化原料、工艺和治理措施，从源头减少新污染物产生。建设项目应尽可能开发、使用低毒低害和无毒无害原料，减少产品中有毒有害物质含量；应采用清洁的生产工艺，提高资源利用率，从源头避免或削减新污染物产生。强化治理措施，已有污染防治技术的新污染物，应采取可行污染防治技术，加大治理力度，减轻新污染物排放对环境的影响。</w:t>
                  </w:r>
                </w:p>
              </w:tc>
              <w:tc>
                <w:tcPr>
                  <w:tcW w:w="1096" w:type="pct"/>
                  <w:noWrap w:val="0"/>
                  <w:tcMar>
                    <w:top w:w="0" w:type="dxa"/>
                    <w:left w:w="28" w:type="dxa"/>
                    <w:bottom w:w="0" w:type="dxa"/>
                    <w:right w:w="28" w:type="dxa"/>
                  </w:tcMar>
                  <w:vAlign w:val="center"/>
                </w:tcPr>
                <w:p w14:paraId="2D7CC10C">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eastAsiaTheme="minorEastAsia"/>
                      <w:b w:val="0"/>
                      <w:bCs w:val="0"/>
                      <w:i w:val="0"/>
                      <w:iCs w:val="0"/>
                      <w:caps w:val="0"/>
                      <w:color w:val="auto"/>
                      <w:spacing w:val="0"/>
                      <w:sz w:val="21"/>
                      <w:szCs w:val="21"/>
                      <w:shd w:val="clear" w:fill="FFFFFF"/>
                      <w:lang w:val="en-US"/>
                    </w:rPr>
                  </w:pPr>
                  <w:r>
                    <w:rPr>
                      <w:rFonts w:hint="default" w:ascii="Times New Roman" w:hAnsi="Times New Roman" w:eastAsia="宋体" w:cs="Times New Roman"/>
                      <w:color w:val="auto"/>
                      <w:kern w:val="2"/>
                      <w:sz w:val="21"/>
                      <w:szCs w:val="21"/>
                      <w:highlight w:val="none"/>
                      <w:lang w:val="en-US" w:eastAsia="zh-CN" w:bidi="ar-SA"/>
                    </w:rPr>
                    <w:t>项目</w:t>
                  </w:r>
                  <w:r>
                    <w:rPr>
                      <w:rFonts w:hint="eastAsia" w:ascii="Times New Roman" w:hAnsi="Times New Roman" w:cs="Times New Roman" w:eastAsiaTheme="minorEastAsia"/>
                      <w:b w:val="0"/>
                      <w:bCs w:val="0"/>
                      <w:i w:val="0"/>
                      <w:iCs w:val="0"/>
                      <w:caps w:val="0"/>
                      <w:color w:val="auto"/>
                      <w:spacing w:val="0"/>
                      <w:sz w:val="21"/>
                      <w:szCs w:val="21"/>
                      <w:shd w:val="clear" w:fill="FFFFFF"/>
                      <w:lang w:val="en-US" w:eastAsia="zh-CN"/>
                    </w:rPr>
                    <w:t>不</w:t>
                  </w:r>
                  <w:r>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t>涉及</w:t>
                  </w:r>
                  <w:r>
                    <w:rPr>
                      <w:rFonts w:hint="default" w:ascii="Times New Roman" w:hAnsi="Times New Roman" w:cs="Times New Roman" w:eastAsiaTheme="minorEastAsia"/>
                      <w:b w:val="0"/>
                      <w:bCs w:val="0"/>
                      <w:i w:val="0"/>
                      <w:iCs w:val="0"/>
                      <w:caps w:val="0"/>
                      <w:color w:val="auto"/>
                      <w:spacing w:val="0"/>
                      <w:sz w:val="21"/>
                      <w:szCs w:val="21"/>
                      <w:shd w:val="clear" w:fill="FFFFFF"/>
                    </w:rPr>
                    <w:t>新污染物</w:t>
                  </w:r>
                </w:p>
              </w:tc>
              <w:tc>
                <w:tcPr>
                  <w:tcW w:w="541" w:type="pct"/>
                  <w:noWrap w:val="0"/>
                  <w:tcMar>
                    <w:top w:w="0" w:type="dxa"/>
                    <w:left w:w="28" w:type="dxa"/>
                    <w:bottom w:w="0" w:type="dxa"/>
                    <w:right w:w="28" w:type="dxa"/>
                  </w:tcMar>
                  <w:vAlign w:val="center"/>
                </w:tcPr>
                <w:p w14:paraId="2E8AB86E">
                  <w:pPr>
                    <w:keepNext w:val="0"/>
                    <w:keepLines w:val="0"/>
                    <w:pageBreakBefore w:val="0"/>
                    <w:kinsoku/>
                    <w:wordWrap/>
                    <w:overflowPunct/>
                    <w:topLinePunct w:val="0"/>
                    <w:bidi w:val="0"/>
                    <w:spacing w:line="240" w:lineRule="exact"/>
                    <w:ind w:left="0" w:leftChars="0" w:firstLine="0" w:firstLineChars="0"/>
                    <w:jc w:val="center"/>
                    <w:textAlignment w:val="auto"/>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pPr>
                  <w:r>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t>相符</w:t>
                  </w:r>
                </w:p>
              </w:tc>
            </w:tr>
            <w:tr w14:paraId="08741D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76" w:type="pct"/>
                  <w:vMerge w:val="continue"/>
                  <w:noWrap w:val="0"/>
                  <w:tcMar>
                    <w:top w:w="0" w:type="dxa"/>
                    <w:left w:w="28" w:type="dxa"/>
                    <w:bottom w:w="0" w:type="dxa"/>
                    <w:right w:w="28" w:type="dxa"/>
                  </w:tcMar>
                  <w:vAlign w:val="center"/>
                </w:tcPr>
                <w:p w14:paraId="2E3219EE">
                  <w:pPr>
                    <w:pStyle w:val="2"/>
                    <w:keepNext w:val="0"/>
                    <w:keepLines w:val="0"/>
                    <w:pageBreakBefore w:val="0"/>
                    <w:numPr>
                      <w:ilvl w:val="0"/>
                      <w:numId w:val="0"/>
                    </w:numPr>
                    <w:kinsoku/>
                    <w:wordWrap/>
                    <w:overflowPunct/>
                    <w:topLinePunct w:val="0"/>
                    <w:bidi w:val="0"/>
                    <w:spacing w:line="240" w:lineRule="exact"/>
                    <w:ind w:right="113" w:rightChars="0"/>
                    <w:jc w:val="left"/>
                    <w:textAlignment w:val="auto"/>
                    <w:rPr>
                      <w:rFonts w:hint="default" w:ascii="Times New Roman" w:hAnsi="Times New Roman" w:cs="Times New Roman" w:eastAsiaTheme="minorEastAsia"/>
                      <w:b w:val="0"/>
                      <w:bCs w:val="0"/>
                      <w:color w:val="auto"/>
                      <w:sz w:val="21"/>
                      <w:szCs w:val="21"/>
                      <w:lang w:val="en-US" w:eastAsia="zh-CN"/>
                    </w:rPr>
                  </w:pPr>
                </w:p>
              </w:tc>
              <w:tc>
                <w:tcPr>
                  <w:tcW w:w="1985" w:type="pct"/>
                  <w:noWrap w:val="0"/>
                  <w:tcMar>
                    <w:top w:w="0" w:type="dxa"/>
                    <w:left w:w="28" w:type="dxa"/>
                    <w:bottom w:w="0" w:type="dxa"/>
                    <w:right w:w="28" w:type="dxa"/>
                  </w:tcMar>
                  <w:vAlign w:val="center"/>
                </w:tcPr>
                <w:p w14:paraId="47E382C3">
                  <w:pPr>
                    <w:pStyle w:val="2"/>
                    <w:keepNext w:val="0"/>
                    <w:keepLines w:val="0"/>
                    <w:pageBreakBefore w:val="0"/>
                    <w:numPr>
                      <w:ilvl w:val="0"/>
                      <w:numId w:val="0"/>
                    </w:numPr>
                    <w:kinsoku/>
                    <w:wordWrap/>
                    <w:overflowPunct/>
                    <w:topLinePunct w:val="0"/>
                    <w:bidi w:val="0"/>
                    <w:spacing w:line="240" w:lineRule="exact"/>
                    <w:ind w:left="0" w:leftChars="0" w:right="113" w:rightChars="0" w:firstLine="0" w:firstLineChars="0"/>
                    <w:jc w:val="left"/>
                    <w:textAlignment w:val="auto"/>
                    <w:rPr>
                      <w:rFonts w:hint="default" w:ascii="Times New Roman" w:hAnsi="Times New Roman" w:cs="Times New Roman" w:eastAsiaTheme="minorEastAsia"/>
                      <w:i w:val="0"/>
                      <w:iCs w:val="0"/>
                      <w:caps w:val="0"/>
                      <w:color w:val="auto"/>
                      <w:spacing w:val="0"/>
                      <w:sz w:val="21"/>
                      <w:szCs w:val="21"/>
                      <w:shd w:val="clear" w:fill="FFFFFF"/>
                    </w:rPr>
                  </w:pPr>
                  <w:r>
                    <w:rPr>
                      <w:rFonts w:hint="default" w:ascii="Times New Roman" w:hAnsi="Times New Roman" w:cs="Times New Roman" w:eastAsiaTheme="minorEastAsia"/>
                      <w:i w:val="0"/>
                      <w:iCs w:val="0"/>
                      <w:caps w:val="0"/>
                      <w:color w:val="auto"/>
                      <w:spacing w:val="0"/>
                      <w:sz w:val="21"/>
                      <w:szCs w:val="21"/>
                      <w:shd w:val="clear" w:fill="FFFFFF"/>
                    </w:rPr>
                    <w:t>核算新污染物产排污情况。环评文件应给出所有列入重点管控新污染物清单、有毒有害污染物名录和优先控制化学品名录的化学物质生产或使用的数量、品种、用途，涉及化学反应的，分析主副反应中新污染物的迁移转化情况；将涉及的新污染物纳入评价因子；核算各环节新污染物的产生和排放情况。</w:t>
                  </w:r>
                </w:p>
              </w:tc>
              <w:tc>
                <w:tcPr>
                  <w:tcW w:w="1096" w:type="pct"/>
                  <w:noWrap w:val="0"/>
                  <w:tcMar>
                    <w:top w:w="0" w:type="dxa"/>
                    <w:left w:w="28" w:type="dxa"/>
                    <w:bottom w:w="0" w:type="dxa"/>
                    <w:right w:w="28" w:type="dxa"/>
                  </w:tcMar>
                  <w:vAlign w:val="center"/>
                </w:tcPr>
                <w:p w14:paraId="19BED915">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pPr>
                  <w:r>
                    <w:rPr>
                      <w:rFonts w:hint="default" w:ascii="Times New Roman" w:hAnsi="Times New Roman" w:eastAsia="宋体" w:cs="Times New Roman"/>
                      <w:color w:val="auto"/>
                      <w:kern w:val="2"/>
                      <w:sz w:val="21"/>
                      <w:szCs w:val="21"/>
                      <w:highlight w:val="none"/>
                      <w:lang w:val="en-US" w:eastAsia="zh-CN" w:bidi="ar-SA"/>
                    </w:rPr>
                    <w:t>项目</w:t>
                  </w:r>
                  <w:r>
                    <w:rPr>
                      <w:rFonts w:hint="eastAsia" w:ascii="Times New Roman" w:hAnsi="Times New Roman" w:cs="Times New Roman" w:eastAsiaTheme="minorEastAsia"/>
                      <w:b w:val="0"/>
                      <w:bCs w:val="0"/>
                      <w:i w:val="0"/>
                      <w:iCs w:val="0"/>
                      <w:caps w:val="0"/>
                      <w:color w:val="auto"/>
                      <w:spacing w:val="0"/>
                      <w:sz w:val="21"/>
                      <w:szCs w:val="21"/>
                      <w:shd w:val="clear" w:fill="FFFFFF"/>
                      <w:lang w:val="en-US" w:eastAsia="zh-CN"/>
                    </w:rPr>
                    <w:t>不</w:t>
                  </w:r>
                  <w:r>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t>涉及</w:t>
                  </w:r>
                  <w:r>
                    <w:rPr>
                      <w:rFonts w:hint="default" w:ascii="Times New Roman" w:hAnsi="Times New Roman" w:cs="Times New Roman" w:eastAsiaTheme="minorEastAsia"/>
                      <w:b w:val="0"/>
                      <w:bCs w:val="0"/>
                      <w:i w:val="0"/>
                      <w:iCs w:val="0"/>
                      <w:caps w:val="0"/>
                      <w:color w:val="auto"/>
                      <w:spacing w:val="0"/>
                      <w:sz w:val="21"/>
                      <w:szCs w:val="21"/>
                      <w:shd w:val="clear" w:fill="FFFFFF"/>
                    </w:rPr>
                    <w:t>新污染物</w:t>
                  </w:r>
                </w:p>
              </w:tc>
              <w:tc>
                <w:tcPr>
                  <w:tcW w:w="541" w:type="pct"/>
                  <w:noWrap w:val="0"/>
                  <w:tcMar>
                    <w:top w:w="0" w:type="dxa"/>
                    <w:left w:w="28" w:type="dxa"/>
                    <w:bottom w:w="0" w:type="dxa"/>
                    <w:right w:w="28" w:type="dxa"/>
                  </w:tcMar>
                  <w:vAlign w:val="center"/>
                </w:tcPr>
                <w:p w14:paraId="4EFC3725">
                  <w:pPr>
                    <w:keepNext w:val="0"/>
                    <w:keepLines w:val="0"/>
                    <w:pageBreakBefore w:val="0"/>
                    <w:kinsoku/>
                    <w:wordWrap/>
                    <w:overflowPunct/>
                    <w:topLinePunct w:val="0"/>
                    <w:bidi w:val="0"/>
                    <w:spacing w:line="240" w:lineRule="exact"/>
                    <w:ind w:left="0" w:leftChars="0" w:firstLine="0" w:firstLineChars="0"/>
                    <w:jc w:val="center"/>
                    <w:textAlignment w:val="auto"/>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pPr>
                  <w:r>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t>相符</w:t>
                  </w:r>
                </w:p>
              </w:tc>
            </w:tr>
            <w:tr w14:paraId="079EE3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76" w:type="pct"/>
                  <w:vMerge w:val="continue"/>
                  <w:noWrap w:val="0"/>
                  <w:tcMar>
                    <w:top w:w="0" w:type="dxa"/>
                    <w:left w:w="28" w:type="dxa"/>
                    <w:bottom w:w="0" w:type="dxa"/>
                    <w:right w:w="28" w:type="dxa"/>
                  </w:tcMar>
                  <w:vAlign w:val="center"/>
                </w:tcPr>
                <w:p w14:paraId="5E901241">
                  <w:pPr>
                    <w:pStyle w:val="2"/>
                    <w:keepNext w:val="0"/>
                    <w:keepLines w:val="0"/>
                    <w:pageBreakBefore w:val="0"/>
                    <w:numPr>
                      <w:ilvl w:val="0"/>
                      <w:numId w:val="0"/>
                    </w:numPr>
                    <w:kinsoku/>
                    <w:wordWrap/>
                    <w:overflowPunct/>
                    <w:topLinePunct w:val="0"/>
                    <w:bidi w:val="0"/>
                    <w:spacing w:line="240" w:lineRule="exact"/>
                    <w:ind w:right="113" w:rightChars="0"/>
                    <w:jc w:val="left"/>
                    <w:textAlignment w:val="auto"/>
                    <w:rPr>
                      <w:rFonts w:hint="default" w:ascii="Times New Roman" w:hAnsi="Times New Roman" w:cs="Times New Roman" w:eastAsiaTheme="minorEastAsia"/>
                      <w:b w:val="0"/>
                      <w:bCs w:val="0"/>
                      <w:color w:val="auto"/>
                      <w:sz w:val="21"/>
                      <w:szCs w:val="21"/>
                      <w:lang w:val="en-US" w:eastAsia="zh-CN"/>
                    </w:rPr>
                  </w:pPr>
                </w:p>
              </w:tc>
              <w:tc>
                <w:tcPr>
                  <w:tcW w:w="1985" w:type="pct"/>
                  <w:noWrap w:val="0"/>
                  <w:tcMar>
                    <w:top w:w="0" w:type="dxa"/>
                    <w:left w:w="28" w:type="dxa"/>
                    <w:bottom w:w="0" w:type="dxa"/>
                    <w:right w:w="28" w:type="dxa"/>
                  </w:tcMar>
                  <w:vAlign w:val="center"/>
                </w:tcPr>
                <w:p w14:paraId="203BC411">
                  <w:pPr>
                    <w:pStyle w:val="2"/>
                    <w:keepNext w:val="0"/>
                    <w:keepLines w:val="0"/>
                    <w:pageBreakBefore w:val="0"/>
                    <w:numPr>
                      <w:ilvl w:val="0"/>
                      <w:numId w:val="0"/>
                    </w:numPr>
                    <w:kinsoku/>
                    <w:wordWrap/>
                    <w:overflowPunct/>
                    <w:topLinePunct w:val="0"/>
                    <w:bidi w:val="0"/>
                    <w:spacing w:line="240" w:lineRule="exact"/>
                    <w:ind w:left="0" w:leftChars="0" w:right="113" w:rightChars="0" w:firstLine="0" w:firstLineChars="0"/>
                    <w:jc w:val="left"/>
                    <w:textAlignment w:val="auto"/>
                    <w:rPr>
                      <w:rFonts w:hint="default" w:ascii="Times New Roman" w:hAnsi="Times New Roman" w:cs="Times New Roman" w:eastAsiaTheme="minorEastAsia"/>
                      <w:i w:val="0"/>
                      <w:iCs w:val="0"/>
                      <w:caps w:val="0"/>
                      <w:color w:val="auto"/>
                      <w:spacing w:val="0"/>
                      <w:sz w:val="21"/>
                      <w:szCs w:val="21"/>
                      <w:shd w:val="clear" w:fill="FFFFFF"/>
                    </w:rPr>
                  </w:pPr>
                  <w:r>
                    <w:rPr>
                      <w:rFonts w:hint="default" w:ascii="Times New Roman" w:hAnsi="Times New Roman" w:cs="Times New Roman" w:eastAsiaTheme="minorEastAsia"/>
                      <w:i w:val="0"/>
                      <w:iCs w:val="0"/>
                      <w:caps w:val="0"/>
                      <w:color w:val="auto"/>
                      <w:spacing w:val="0"/>
                      <w:sz w:val="21"/>
                      <w:szCs w:val="21"/>
                      <w:shd w:val="clear" w:fill="FFFFFF"/>
                    </w:rPr>
                    <w:t>对已发布污染物排放标准的新污染物严格排放达标要求。新建项目产生并排放已有排放标准新污染物的，应采取措施确保排放达标。</w:t>
                  </w:r>
                </w:p>
              </w:tc>
              <w:tc>
                <w:tcPr>
                  <w:tcW w:w="1096" w:type="pct"/>
                  <w:noWrap w:val="0"/>
                  <w:tcMar>
                    <w:top w:w="0" w:type="dxa"/>
                    <w:left w:w="28" w:type="dxa"/>
                    <w:bottom w:w="0" w:type="dxa"/>
                    <w:right w:w="28" w:type="dxa"/>
                  </w:tcMar>
                  <w:vAlign w:val="center"/>
                </w:tcPr>
                <w:p w14:paraId="3880D920">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eastAsiaTheme="minorEastAsia"/>
                      <w:i w:val="0"/>
                      <w:iCs w:val="0"/>
                      <w:caps w:val="0"/>
                      <w:color w:val="auto"/>
                      <w:spacing w:val="0"/>
                      <w:kern w:val="2"/>
                      <w:sz w:val="21"/>
                      <w:szCs w:val="21"/>
                      <w:shd w:val="clear" w:fill="FFFFFF"/>
                      <w:lang w:val="en-US" w:eastAsia="zh-CN" w:bidi="ar-SA"/>
                    </w:rPr>
                  </w:pPr>
                  <w:r>
                    <w:rPr>
                      <w:rFonts w:hint="default" w:ascii="Times New Roman" w:hAnsi="Times New Roman" w:eastAsia="宋体" w:cs="Times New Roman"/>
                      <w:color w:val="auto"/>
                      <w:kern w:val="2"/>
                      <w:sz w:val="21"/>
                      <w:szCs w:val="21"/>
                      <w:highlight w:val="none"/>
                      <w:lang w:val="en-US" w:eastAsia="zh-CN" w:bidi="ar-SA"/>
                    </w:rPr>
                    <w:t>项目</w:t>
                  </w:r>
                  <w:r>
                    <w:rPr>
                      <w:rFonts w:hint="eastAsia" w:ascii="Times New Roman" w:hAnsi="Times New Roman" w:cs="Times New Roman" w:eastAsiaTheme="minorEastAsia"/>
                      <w:b w:val="0"/>
                      <w:bCs w:val="0"/>
                      <w:i w:val="0"/>
                      <w:iCs w:val="0"/>
                      <w:caps w:val="0"/>
                      <w:color w:val="auto"/>
                      <w:spacing w:val="0"/>
                      <w:sz w:val="21"/>
                      <w:szCs w:val="21"/>
                      <w:shd w:val="clear" w:fill="FFFFFF"/>
                      <w:lang w:val="en-US" w:eastAsia="zh-CN"/>
                    </w:rPr>
                    <w:t>不</w:t>
                  </w:r>
                  <w:r>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t>涉及</w:t>
                  </w:r>
                  <w:r>
                    <w:rPr>
                      <w:rFonts w:hint="default" w:ascii="Times New Roman" w:hAnsi="Times New Roman" w:cs="Times New Roman" w:eastAsiaTheme="minorEastAsia"/>
                      <w:b w:val="0"/>
                      <w:bCs w:val="0"/>
                      <w:i w:val="0"/>
                      <w:iCs w:val="0"/>
                      <w:caps w:val="0"/>
                      <w:color w:val="auto"/>
                      <w:spacing w:val="0"/>
                      <w:sz w:val="21"/>
                      <w:szCs w:val="21"/>
                      <w:shd w:val="clear" w:fill="FFFFFF"/>
                    </w:rPr>
                    <w:t>新污染物</w:t>
                  </w:r>
                </w:p>
              </w:tc>
              <w:tc>
                <w:tcPr>
                  <w:tcW w:w="541" w:type="pct"/>
                  <w:noWrap w:val="0"/>
                  <w:tcMar>
                    <w:top w:w="0" w:type="dxa"/>
                    <w:left w:w="28" w:type="dxa"/>
                    <w:bottom w:w="0" w:type="dxa"/>
                    <w:right w:w="28" w:type="dxa"/>
                  </w:tcMar>
                  <w:vAlign w:val="center"/>
                </w:tcPr>
                <w:p w14:paraId="13B5319F">
                  <w:pPr>
                    <w:keepNext w:val="0"/>
                    <w:keepLines w:val="0"/>
                    <w:pageBreakBefore w:val="0"/>
                    <w:kinsoku/>
                    <w:wordWrap/>
                    <w:overflowPunct/>
                    <w:topLinePunct w:val="0"/>
                    <w:bidi w:val="0"/>
                    <w:spacing w:line="240" w:lineRule="exact"/>
                    <w:ind w:left="0" w:leftChars="0" w:firstLine="0" w:firstLineChars="0"/>
                    <w:jc w:val="center"/>
                    <w:textAlignment w:val="auto"/>
                    <w:rPr>
                      <w:rFonts w:hint="default" w:ascii="Times New Roman" w:hAnsi="Times New Roman" w:cs="Times New Roman" w:eastAsiaTheme="minorEastAsia"/>
                      <w:i w:val="0"/>
                      <w:iCs w:val="0"/>
                      <w:caps w:val="0"/>
                      <w:color w:val="auto"/>
                      <w:spacing w:val="0"/>
                      <w:kern w:val="2"/>
                      <w:sz w:val="21"/>
                      <w:szCs w:val="21"/>
                      <w:shd w:val="clear" w:fill="FFFFFF"/>
                      <w:lang w:val="en-US" w:eastAsia="zh-CN" w:bidi="ar-SA"/>
                    </w:rPr>
                  </w:pPr>
                  <w:r>
                    <w:rPr>
                      <w:rFonts w:hint="default" w:ascii="Times New Roman" w:hAnsi="Times New Roman" w:cs="Times New Roman" w:eastAsiaTheme="minorEastAsia"/>
                      <w:i w:val="0"/>
                      <w:iCs w:val="0"/>
                      <w:caps w:val="0"/>
                      <w:color w:val="auto"/>
                      <w:spacing w:val="0"/>
                      <w:kern w:val="2"/>
                      <w:sz w:val="21"/>
                      <w:szCs w:val="21"/>
                      <w:shd w:val="clear" w:fill="FFFFFF"/>
                      <w:lang w:val="en-US" w:eastAsia="zh-CN" w:bidi="ar-SA"/>
                    </w:rPr>
                    <w:t>相符</w:t>
                  </w:r>
                </w:p>
              </w:tc>
            </w:tr>
          </w:tbl>
          <w:p w14:paraId="00E0AEA6">
            <w:pPr>
              <w:keepNext w:val="0"/>
              <w:keepLines w:val="0"/>
              <w:pageBreakBefore w:val="0"/>
              <w:widowControl w:val="0"/>
              <w:kinsoku/>
              <w:wordWrap/>
              <w:overflowPunct/>
              <w:topLinePunct w:val="0"/>
              <w:autoSpaceDE w:val="0"/>
              <w:autoSpaceDN w:val="0"/>
              <w:bidi w:val="0"/>
              <w:adjustRightInd/>
              <w:snapToGrid w:val="0"/>
              <w:spacing w:line="500" w:lineRule="exact"/>
              <w:ind w:firstLine="422" w:firstLineChars="200"/>
              <w:jc w:val="left"/>
              <w:textAlignment w:val="auto"/>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（5）与苏大气办</w:t>
            </w:r>
            <w:r>
              <w:rPr>
                <w:rFonts w:hint="eastAsia" w:cs="Times New Roman"/>
                <w:b/>
                <w:bCs/>
                <w:color w:val="auto"/>
                <w:sz w:val="21"/>
                <w:szCs w:val="21"/>
                <w:lang w:val="en-US" w:eastAsia="zh-CN"/>
              </w:rPr>
              <w:t>〔2021〕2号、</w:t>
            </w:r>
            <w:r>
              <w:rPr>
                <w:rFonts w:hint="eastAsia" w:ascii="Times New Roman" w:hAnsi="Times New Roman" w:eastAsia="宋体" w:cs="Times New Roman"/>
                <w:b/>
                <w:color w:val="auto"/>
                <w:kern w:val="2"/>
                <w:sz w:val="21"/>
                <w:szCs w:val="21"/>
                <w:lang w:val="en-US" w:eastAsia="zh-CN" w:bidi="ar-SA"/>
              </w:rPr>
              <w:t>常污防攻坚指办</w:t>
            </w:r>
            <w:r>
              <w:rPr>
                <w:rFonts w:hint="eastAsia" w:cs="Times New Roman"/>
                <w:b/>
                <w:color w:val="auto"/>
                <w:kern w:val="2"/>
                <w:sz w:val="21"/>
                <w:szCs w:val="21"/>
                <w:lang w:val="en-US" w:eastAsia="zh-CN" w:bidi="ar-SA"/>
              </w:rPr>
              <w:t>〔2021〕32号文</w:t>
            </w:r>
            <w:r>
              <w:rPr>
                <w:rFonts w:hint="eastAsia" w:ascii="Times New Roman" w:hAnsi="Times New Roman" w:eastAsia="宋体" w:cs="Times New Roman"/>
                <w:b/>
                <w:bCs/>
                <w:color w:val="auto"/>
                <w:sz w:val="21"/>
                <w:szCs w:val="21"/>
                <w:lang w:val="en-US" w:eastAsia="zh-CN"/>
              </w:rPr>
              <w:t>相符性分析</w:t>
            </w:r>
          </w:p>
          <w:p w14:paraId="00E4531C">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lang w:val="zh-CN" w:eastAsia="zh-CN"/>
              </w:rPr>
            </w:pPr>
            <w:r>
              <w:rPr>
                <w:rFonts w:hint="default" w:ascii="Times New Roman" w:hAnsi="Times New Roman" w:eastAsia="宋体" w:cs="Times New Roman"/>
                <w:b/>
                <w:bCs/>
                <w:color w:val="auto"/>
                <w:sz w:val="21"/>
                <w:szCs w:val="21"/>
                <w:lang w:val="zh-CN" w:eastAsia="zh-CN"/>
              </w:rPr>
              <w:t>表</w:t>
            </w:r>
            <w:r>
              <w:rPr>
                <w:rFonts w:hint="default" w:ascii="Times New Roman" w:hAnsi="Times New Roman" w:eastAsia="宋体" w:cs="Times New Roman"/>
                <w:b/>
                <w:bCs/>
                <w:color w:val="auto"/>
                <w:sz w:val="21"/>
                <w:szCs w:val="21"/>
                <w:lang w:val="en-US" w:eastAsia="zh-CN"/>
              </w:rPr>
              <w:t>1-1</w:t>
            </w:r>
            <w:r>
              <w:rPr>
                <w:rFonts w:hint="eastAsia" w:cs="Times New Roman"/>
                <w:b/>
                <w:bCs/>
                <w:color w:val="auto"/>
                <w:sz w:val="21"/>
                <w:szCs w:val="21"/>
                <w:lang w:val="en-US" w:eastAsia="zh-CN"/>
              </w:rPr>
              <w:t>1</w:t>
            </w:r>
            <w:r>
              <w:rPr>
                <w:rFonts w:hint="default" w:ascii="Times New Roman" w:hAnsi="Times New Roman" w:eastAsia="宋体" w:cs="Times New Roman"/>
                <w:b/>
                <w:bCs/>
                <w:color w:val="auto"/>
                <w:sz w:val="21"/>
                <w:szCs w:val="21"/>
                <w:lang w:val="zh-CN" w:eastAsia="zh-CN"/>
              </w:rPr>
              <w:t>与</w:t>
            </w:r>
            <w:r>
              <w:rPr>
                <w:rFonts w:hint="eastAsia" w:ascii="Times New Roman" w:hAnsi="Times New Roman" w:eastAsia="宋体" w:cs="Times New Roman"/>
                <w:b/>
                <w:bCs/>
                <w:color w:val="auto"/>
                <w:sz w:val="21"/>
                <w:szCs w:val="21"/>
                <w:lang w:val="en-US" w:eastAsia="zh-CN"/>
              </w:rPr>
              <w:t>苏大气办</w:t>
            </w:r>
            <w:r>
              <w:rPr>
                <w:rFonts w:hint="eastAsia" w:cs="Times New Roman"/>
                <w:b/>
                <w:bCs/>
                <w:color w:val="auto"/>
                <w:sz w:val="21"/>
                <w:szCs w:val="21"/>
                <w:lang w:val="en-US" w:eastAsia="zh-CN"/>
              </w:rPr>
              <w:t>〔2021〕2号</w:t>
            </w:r>
            <w:r>
              <w:rPr>
                <w:rFonts w:hint="eastAsia" w:ascii="Times New Roman" w:hAnsi="Times New Roman" w:eastAsia="宋体" w:cs="Times New Roman"/>
                <w:b/>
                <w:bCs/>
                <w:color w:val="auto"/>
                <w:sz w:val="21"/>
                <w:szCs w:val="21"/>
                <w:lang w:val="en-US" w:eastAsia="zh-CN"/>
              </w:rPr>
              <w:t>、常污防攻坚指办</w:t>
            </w:r>
            <w:r>
              <w:rPr>
                <w:rFonts w:hint="eastAsia" w:cs="Times New Roman"/>
                <w:b/>
                <w:bCs/>
                <w:color w:val="auto"/>
                <w:sz w:val="21"/>
                <w:szCs w:val="21"/>
                <w:lang w:val="en-US" w:eastAsia="zh-CN"/>
              </w:rPr>
              <w:t>〔2021〕32号</w:t>
            </w:r>
            <w:r>
              <w:rPr>
                <w:rFonts w:hint="eastAsia" w:ascii="Times New Roman" w:hAnsi="Times New Roman" w:eastAsia="宋体" w:cs="Times New Roman"/>
                <w:b/>
                <w:bCs/>
                <w:color w:val="auto"/>
                <w:sz w:val="21"/>
                <w:szCs w:val="21"/>
                <w:lang w:val="en-US" w:eastAsia="zh-CN"/>
              </w:rPr>
              <w:t>文</w:t>
            </w:r>
            <w:r>
              <w:rPr>
                <w:rFonts w:hint="default" w:ascii="Times New Roman" w:hAnsi="Times New Roman" w:eastAsia="宋体" w:cs="Times New Roman"/>
                <w:b/>
                <w:bCs/>
                <w:color w:val="auto"/>
                <w:sz w:val="21"/>
                <w:szCs w:val="21"/>
                <w:lang w:val="zh-CN" w:eastAsia="zh-CN"/>
              </w:rPr>
              <w:t>对照分析</w:t>
            </w:r>
          </w:p>
          <w:tbl>
            <w:tblPr>
              <w:tblStyle w:val="31"/>
              <w:tblW w:w="498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4992"/>
              <w:gridCol w:w="2433"/>
              <w:gridCol w:w="617"/>
            </w:tblGrid>
            <w:tr w14:paraId="6DEC55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3103" w:type="pct"/>
                  <w:vAlign w:val="center"/>
                </w:tcPr>
                <w:p w14:paraId="130204C5">
                  <w:pPr>
                    <w:autoSpaceDE w:val="0"/>
                    <w:autoSpaceDN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文件要求</w:t>
                  </w:r>
                </w:p>
              </w:tc>
              <w:tc>
                <w:tcPr>
                  <w:tcW w:w="1512" w:type="pct"/>
                  <w:vAlign w:val="center"/>
                </w:tcPr>
                <w:p w14:paraId="259BE713">
                  <w:pPr>
                    <w:keepNext w:val="0"/>
                    <w:keepLines w:val="0"/>
                    <w:pageBreakBefore w:val="0"/>
                    <w:kinsoku/>
                    <w:wordWrap/>
                    <w:overflowPunct/>
                    <w:topLinePunct w:val="0"/>
                    <w:autoSpaceDE w:val="0"/>
                    <w:autoSpaceDN w:val="0"/>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w:t>
                  </w:r>
                </w:p>
              </w:tc>
              <w:tc>
                <w:tcPr>
                  <w:tcW w:w="383" w:type="pct"/>
                  <w:vAlign w:val="center"/>
                </w:tcPr>
                <w:p w14:paraId="49B02206">
                  <w:pPr>
                    <w:pStyle w:val="2"/>
                    <w:keepNext w:val="0"/>
                    <w:keepLines w:val="0"/>
                    <w:pageBreakBefore w:val="0"/>
                    <w:numPr>
                      <w:ilvl w:val="0"/>
                      <w:numId w:val="0"/>
                    </w:numPr>
                    <w:kinsoku/>
                    <w:wordWrap/>
                    <w:overflowPunct/>
                    <w:topLinePunct w:val="0"/>
                    <w:bidi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 w:val="21"/>
                      <w:szCs w:val="21"/>
                      <w:lang w:val="en-US" w:eastAsia="zh-CN"/>
                    </w:rPr>
                    <w:t>相符性</w:t>
                  </w:r>
                </w:p>
              </w:tc>
            </w:tr>
            <w:tr w14:paraId="122EAE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3103" w:type="pct"/>
                  <w:vAlign w:val="center"/>
                </w:tcPr>
                <w:p w14:paraId="5A71BBCF">
                  <w:pPr>
                    <w:keepNext w:val="0"/>
                    <w:keepLines w:val="0"/>
                    <w:pageBreakBefore w:val="0"/>
                    <w:widowControl w:val="0"/>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《省大气办关于印发</w:t>
                  </w:r>
                  <w:r>
                    <w:rPr>
                      <w:rFonts w:hint="default" w:ascii="Times New Roman" w:hAnsi="Times New Roman" w:eastAsia="宋体" w:cs="Times New Roman"/>
                      <w:color w:val="auto"/>
                      <w:sz w:val="21"/>
                      <w:szCs w:val="21"/>
                      <w:lang w:val="en-US" w:eastAsia="zh-CN"/>
                    </w:rPr>
                    <w:t>&lt;</w:t>
                  </w:r>
                  <w:r>
                    <w:rPr>
                      <w:rFonts w:hint="eastAsia" w:ascii="Times New Roman" w:hAnsi="Times New Roman" w:eastAsia="宋体" w:cs="Times New Roman"/>
                      <w:color w:val="auto"/>
                      <w:sz w:val="21"/>
                      <w:szCs w:val="21"/>
                      <w:lang w:val="en-US" w:eastAsia="zh-CN"/>
                    </w:rPr>
                    <w:t>江苏省挥发性有机物清洁原料替代工作方案</w:t>
                  </w:r>
                  <w:r>
                    <w:rPr>
                      <w:rFonts w:hint="default" w:ascii="Times New Roman" w:hAnsi="Times New Roman" w:eastAsia="宋体" w:cs="Times New Roman"/>
                      <w:color w:val="auto"/>
                      <w:sz w:val="21"/>
                      <w:szCs w:val="21"/>
                      <w:lang w:val="en-US" w:eastAsia="zh-CN"/>
                    </w:rPr>
                    <w:t>&gt;</w:t>
                  </w:r>
                  <w:r>
                    <w:rPr>
                      <w:rFonts w:hint="eastAsia" w:ascii="Times New Roman" w:hAnsi="Times New Roman" w:eastAsia="宋体" w:cs="Times New Roman"/>
                      <w:color w:val="auto"/>
                      <w:sz w:val="21"/>
                      <w:szCs w:val="21"/>
                      <w:lang w:val="en-US" w:eastAsia="zh-CN"/>
                    </w:rPr>
                    <w:t>的通知》（苏大气办</w:t>
                  </w:r>
                  <w:r>
                    <w:rPr>
                      <w:rFonts w:hint="eastAsia" w:cs="Times New Roman"/>
                      <w:color w:val="auto"/>
                      <w:sz w:val="21"/>
                      <w:szCs w:val="21"/>
                      <w:lang w:val="en-US" w:eastAsia="zh-CN"/>
                    </w:rPr>
                    <w:t>〔2021〕2号</w:t>
                  </w:r>
                  <w:r>
                    <w:rPr>
                      <w:rFonts w:hint="eastAsia" w:ascii="Times New Roman" w:hAnsi="Times New Roman" w:eastAsia="宋体" w:cs="Times New Roman"/>
                      <w:color w:val="auto"/>
                      <w:sz w:val="21"/>
                      <w:szCs w:val="21"/>
                      <w:lang w:val="en-US" w:eastAsia="zh-CN"/>
                    </w:rPr>
                    <w:t>））要求：以工业涂装、包装印刷、木材加工、纺织（附件</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）等行业为重点，分阶段推进</w:t>
                  </w:r>
                  <w:r>
                    <w:rPr>
                      <w:rFonts w:hint="default" w:ascii="Times New Roman" w:hAnsi="Times New Roman" w:eastAsia="宋体" w:cs="Times New Roman"/>
                      <w:color w:val="auto"/>
                      <w:sz w:val="21"/>
                      <w:szCs w:val="21"/>
                      <w:lang w:val="en-US" w:eastAsia="zh-CN"/>
                    </w:rPr>
                    <w:t>3130</w:t>
                  </w:r>
                  <w:r>
                    <w:rPr>
                      <w:rFonts w:hint="eastAsia" w:ascii="Times New Roman" w:hAnsi="Times New Roman" w:eastAsia="宋体" w:cs="Times New Roman"/>
                      <w:color w:val="auto"/>
                      <w:sz w:val="21"/>
                      <w:szCs w:val="21"/>
                      <w:lang w:val="en-US" w:eastAsia="zh-CN"/>
                    </w:rPr>
                    <w:t>家企业（附件</w:t>
                  </w:r>
                  <w:r>
                    <w:rPr>
                      <w:rFonts w:hint="default"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）清洁原料替代工作。实施替代的企业要使用符合《低挥发性有机化合物含量涂料产品技术要求》（</w:t>
                  </w:r>
                  <w:r>
                    <w:rPr>
                      <w:rFonts w:hint="default" w:ascii="Times New Roman" w:hAnsi="Times New Roman" w:eastAsia="宋体" w:cs="Times New Roman"/>
                      <w:color w:val="auto"/>
                      <w:sz w:val="21"/>
                      <w:szCs w:val="21"/>
                      <w:lang w:val="en-US" w:eastAsia="zh-CN"/>
                    </w:rPr>
                    <w:t>GB/T38597-2020</w:t>
                  </w:r>
                  <w:r>
                    <w:rPr>
                      <w:rFonts w:hint="eastAsia" w:ascii="Times New Roman" w:hAnsi="Times New Roman" w:eastAsia="宋体" w:cs="Times New Roman"/>
                      <w:color w:val="auto"/>
                      <w:sz w:val="21"/>
                      <w:szCs w:val="21"/>
                      <w:lang w:val="en-US" w:eastAsia="zh-CN"/>
                    </w:rPr>
                    <w:t>）规定的粉末、水性、无溶剂、辐射固化涂料产品；符合《油墨中可挥发性有机化合物（</w:t>
                  </w:r>
                  <w:r>
                    <w:rPr>
                      <w:rFonts w:hint="default" w:ascii="Times New Roman" w:hAnsi="Times New Roman" w:eastAsia="宋体" w:cs="Times New Roman"/>
                      <w:color w:val="auto"/>
                      <w:sz w:val="21"/>
                      <w:szCs w:val="21"/>
                      <w:lang w:val="en-US" w:eastAsia="zh-CN"/>
                    </w:rPr>
                    <w:t>VOCs</w:t>
                  </w:r>
                  <w:r>
                    <w:rPr>
                      <w:rFonts w:hint="eastAsia" w:ascii="Times New Roman" w:hAnsi="Times New Roman" w:eastAsia="宋体" w:cs="Times New Roman"/>
                      <w:color w:val="auto"/>
                      <w:sz w:val="21"/>
                      <w:szCs w:val="21"/>
                      <w:lang w:val="en-US" w:eastAsia="zh-CN"/>
                    </w:rPr>
                    <w:t>）含量的限值》（</w:t>
                  </w:r>
                  <w:r>
                    <w:rPr>
                      <w:rFonts w:hint="default" w:ascii="Times New Roman" w:hAnsi="Times New Roman" w:eastAsia="宋体" w:cs="Times New Roman"/>
                      <w:color w:val="auto"/>
                      <w:sz w:val="21"/>
                      <w:szCs w:val="21"/>
                      <w:lang w:val="en-US" w:eastAsia="zh-CN"/>
                    </w:rPr>
                    <w:t>GB38507-2020</w:t>
                  </w:r>
                  <w:r>
                    <w:rPr>
                      <w:rFonts w:hint="eastAsia" w:ascii="Times New Roman" w:hAnsi="Times New Roman" w:eastAsia="宋体" w:cs="Times New Roman"/>
                      <w:color w:val="auto"/>
                      <w:sz w:val="21"/>
                      <w:szCs w:val="21"/>
                      <w:lang w:val="en-US" w:eastAsia="zh-CN"/>
                    </w:rPr>
                    <w:t>）规定的水性油墨和能量固化油墨产品；符合《清洗剂挥发性有机化合物含量限值》（</w:t>
                  </w:r>
                  <w:r>
                    <w:rPr>
                      <w:rFonts w:hint="default" w:ascii="Times New Roman" w:hAnsi="Times New Roman" w:eastAsia="宋体" w:cs="Times New Roman"/>
                      <w:color w:val="auto"/>
                      <w:sz w:val="21"/>
                      <w:szCs w:val="21"/>
                      <w:lang w:val="en-US" w:eastAsia="zh-CN"/>
                    </w:rPr>
                    <w:t>GB38508-2020</w:t>
                  </w:r>
                  <w:r>
                    <w:rPr>
                      <w:rFonts w:hint="eastAsia" w:ascii="Times New Roman" w:hAnsi="Times New Roman" w:eastAsia="宋体" w:cs="Times New Roman"/>
                      <w:color w:val="auto"/>
                      <w:sz w:val="21"/>
                      <w:szCs w:val="21"/>
                      <w:lang w:val="en-US" w:eastAsia="zh-CN"/>
                    </w:rPr>
                    <w:t>）规定的水基、半水基清洗剂产品；符合《胶粘剂挥发性有机化合物限量》（</w:t>
                  </w:r>
                  <w:r>
                    <w:rPr>
                      <w:rFonts w:hint="default" w:ascii="Times New Roman" w:hAnsi="Times New Roman" w:eastAsia="宋体" w:cs="Times New Roman"/>
                      <w:color w:val="auto"/>
                      <w:sz w:val="21"/>
                      <w:szCs w:val="21"/>
                      <w:lang w:val="en-US" w:eastAsia="zh-CN"/>
                    </w:rPr>
                    <w:t>GB33372-2020</w:t>
                  </w:r>
                  <w:r>
                    <w:rPr>
                      <w:rFonts w:hint="eastAsia" w:ascii="Times New Roman" w:hAnsi="Times New Roman" w:eastAsia="宋体" w:cs="Times New Roman"/>
                      <w:color w:val="auto"/>
                      <w:sz w:val="21"/>
                      <w:szCs w:val="21"/>
                      <w:lang w:val="en-US" w:eastAsia="zh-CN"/>
                    </w:rPr>
                    <w:t>）规定的水基型、本体型胶粘剂产品。若确实无法达到上述要求，应提供相应的论证说明，相关涂料、油墨、清洗剂、胶粘剂等产品应符合相关标准中</w:t>
                  </w:r>
                  <w:r>
                    <w:rPr>
                      <w:rFonts w:hint="default" w:ascii="Times New Roman" w:hAnsi="Times New Roman" w:eastAsia="宋体" w:cs="Times New Roman"/>
                      <w:color w:val="auto"/>
                      <w:sz w:val="21"/>
                      <w:szCs w:val="21"/>
                      <w:lang w:val="en-US" w:eastAsia="zh-CN"/>
                    </w:rPr>
                    <w:t>VOCs</w:t>
                  </w:r>
                  <w:r>
                    <w:rPr>
                      <w:rFonts w:hint="eastAsia" w:ascii="Times New Roman" w:hAnsi="Times New Roman" w:eastAsia="宋体" w:cs="Times New Roman"/>
                      <w:color w:val="auto"/>
                      <w:sz w:val="21"/>
                      <w:szCs w:val="21"/>
                      <w:lang w:val="en-US" w:eastAsia="zh-CN"/>
                    </w:rPr>
                    <w:t>含量的限值要求。</w:t>
                  </w:r>
                </w:p>
              </w:tc>
              <w:tc>
                <w:tcPr>
                  <w:tcW w:w="1512" w:type="pct"/>
                  <w:vMerge w:val="restart"/>
                  <w:vAlign w:val="center"/>
                </w:tcPr>
                <w:p w14:paraId="433DF2E8">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根据</w:t>
                  </w:r>
                  <w:r>
                    <w:rPr>
                      <w:rFonts w:hint="default" w:ascii="Times New Roman" w:hAnsi="Times New Roman" w:eastAsia="宋体" w:cs="Times New Roman"/>
                      <w:color w:val="auto"/>
                      <w:sz w:val="21"/>
                      <w:szCs w:val="21"/>
                    </w:rPr>
                    <w:t>油墨</w:t>
                  </w:r>
                  <w:r>
                    <w:rPr>
                      <w:rFonts w:hint="eastAsia" w:cs="Times New Roman"/>
                      <w:color w:val="auto"/>
                      <w:sz w:val="21"/>
                      <w:szCs w:val="21"/>
                      <w:lang w:val="en-US" w:eastAsia="zh-CN"/>
                    </w:rPr>
                    <w:t>MSDS</w:t>
                  </w:r>
                  <w:r>
                    <w:rPr>
                      <w:rFonts w:hint="eastAsia"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rPr>
                    <w:t>项目油墨中挥发性有机化合物含量为</w:t>
                  </w:r>
                  <w:r>
                    <w:rPr>
                      <w:rFonts w:hint="eastAsia" w:cs="Times New Roman"/>
                      <w:color w:val="auto"/>
                      <w:sz w:val="21"/>
                      <w:szCs w:val="21"/>
                      <w:lang w:val="en-US" w:eastAsia="zh-CN"/>
                    </w:rPr>
                    <w:t>17</w:t>
                  </w:r>
                  <w:r>
                    <w:rPr>
                      <w:rFonts w:hint="default" w:ascii="Times New Roman" w:hAnsi="Times New Roman" w:eastAsia="宋体" w:cs="Times New Roman"/>
                      <w:color w:val="auto"/>
                      <w:sz w:val="21"/>
                      <w:szCs w:val="21"/>
                    </w:rPr>
                    <w:t>%，符合《油墨中可挥发性有机化合物（VOCs）含量的限值》（GB38507-2020）中关于“</w:t>
                  </w:r>
                  <w:r>
                    <w:rPr>
                      <w:rFonts w:hint="eastAsia" w:cs="Times New Roman"/>
                      <w:color w:val="auto"/>
                      <w:sz w:val="21"/>
                      <w:szCs w:val="21"/>
                      <w:lang w:val="en-US" w:eastAsia="zh-CN"/>
                    </w:rPr>
                    <w:t>水性</w:t>
                  </w:r>
                  <w:r>
                    <w:rPr>
                      <w:rFonts w:hint="default" w:ascii="Times New Roman" w:hAnsi="Times New Roman" w:eastAsia="宋体" w:cs="Times New Roman"/>
                      <w:color w:val="auto"/>
                      <w:sz w:val="21"/>
                      <w:szCs w:val="21"/>
                    </w:rPr>
                    <w:t>油墨”限值要求。</w:t>
                  </w:r>
                </w:p>
                <w:p w14:paraId="6C46CB62">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根据胶水SGS检测报告，</w:t>
                  </w:r>
                  <w:r>
                    <w:rPr>
                      <w:rFonts w:hint="default"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rPr>
                    <w:t>胶水</w:t>
                  </w:r>
                  <w:r>
                    <w:rPr>
                      <w:rFonts w:hint="default" w:ascii="Times New Roman" w:hAnsi="Times New Roman" w:eastAsia="宋体" w:cs="Times New Roman"/>
                      <w:color w:val="auto"/>
                      <w:sz w:val="21"/>
                      <w:szCs w:val="21"/>
                    </w:rPr>
                    <w:t>中挥发性有机化合物含量为</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g/</w:t>
                  </w:r>
                  <w:r>
                    <w:rPr>
                      <w:rFonts w:hint="eastAsia" w:ascii="Times New Roman" w:hAnsi="Times New Roman" w:eastAsia="宋体" w:cs="Times New Roman"/>
                      <w:color w:val="auto"/>
                      <w:sz w:val="21"/>
                      <w:szCs w:val="21"/>
                      <w:lang w:val="en-US" w:eastAsia="zh-CN"/>
                    </w:rPr>
                    <w:t>kg</w:t>
                  </w:r>
                  <w:r>
                    <w:rPr>
                      <w:rFonts w:hint="default" w:ascii="Times New Roman" w:hAnsi="Times New Roman" w:eastAsia="宋体" w:cs="Times New Roman"/>
                      <w:color w:val="auto"/>
                      <w:sz w:val="21"/>
                      <w:szCs w:val="21"/>
                    </w:rPr>
                    <w:t>，满足《胶粘剂挥发性有机化合物限量》(GB33372-2020)中关于“</w:t>
                  </w:r>
                  <w:r>
                    <w:rPr>
                      <w:rFonts w:hint="eastAsia" w:ascii="Times New Roman" w:hAnsi="Times New Roman" w:eastAsia="宋体" w:cs="Times New Roman"/>
                      <w:color w:val="auto"/>
                      <w:sz w:val="21"/>
                      <w:szCs w:val="21"/>
                      <w:lang w:val="en-US" w:eastAsia="zh-CN"/>
                    </w:rPr>
                    <w:t>本体型胶黏剂</w:t>
                  </w:r>
                  <w:r>
                    <w:rPr>
                      <w:rFonts w:hint="default" w:ascii="Times New Roman" w:hAnsi="Times New Roman" w:eastAsia="宋体" w:cs="Times New Roman"/>
                      <w:color w:val="auto"/>
                      <w:sz w:val="21"/>
                      <w:szCs w:val="21"/>
                    </w:rPr>
                    <w:t>”VOCs含量限值要求。</w:t>
                  </w:r>
                </w:p>
                <w:p w14:paraId="63AB6FB5">
                  <w:pPr>
                    <w:keepNext w:val="0"/>
                    <w:keepLines w:val="0"/>
                    <w:pageBreakBefore w:val="0"/>
                    <w:kinsoku/>
                    <w:wordWrap/>
                    <w:overflowPunct/>
                    <w:topLinePunct w:val="0"/>
                    <w:bidi w:val="0"/>
                    <w:spacing w:line="240" w:lineRule="exact"/>
                    <w:jc w:val="left"/>
                    <w:textAlignment w:val="auto"/>
                    <w:rPr>
                      <w:rFonts w:hint="eastAsia" w:ascii="Times New Roman" w:hAnsi="Times New Roman" w:eastAsia="宋体" w:cs="Times New Roman"/>
                      <w:color w:val="auto"/>
                      <w:sz w:val="21"/>
                      <w:szCs w:val="21"/>
                      <w:lang w:eastAsia="zh-CN"/>
                    </w:rPr>
                  </w:pPr>
                </w:p>
              </w:tc>
              <w:tc>
                <w:tcPr>
                  <w:tcW w:w="383" w:type="pct"/>
                  <w:vAlign w:val="center"/>
                </w:tcPr>
                <w:p w14:paraId="18123B7D">
                  <w:pPr>
                    <w:pStyle w:val="2"/>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0" w:leftChars="0" w:right="113"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kern w:val="0"/>
                      <w:sz w:val="21"/>
                      <w:szCs w:val="21"/>
                      <w:vertAlign w:val="baseline"/>
                      <w:lang w:val="en-US" w:eastAsia="zh-CN" w:bidi="ar-SA"/>
                    </w:rPr>
                    <w:t>相符</w:t>
                  </w:r>
                </w:p>
              </w:tc>
            </w:tr>
            <w:tr w14:paraId="7F549A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3103" w:type="pct"/>
                  <w:vAlign w:val="center"/>
                </w:tcPr>
                <w:p w14:paraId="4C8A3065">
                  <w:pPr>
                    <w:keepNext w:val="0"/>
                    <w:keepLines w:val="0"/>
                    <w:pageBreakBefore w:val="0"/>
                    <w:widowControl w:val="0"/>
                    <w:kinsoku/>
                    <w:wordWrap/>
                    <w:overflowPunct/>
                    <w:topLinePunct w:val="0"/>
                    <w:autoSpaceDE/>
                    <w:autoSpaceDN/>
                    <w:bidi w:val="0"/>
                    <w:adjustRightInd w:val="0"/>
                    <w:snapToGrid w:val="0"/>
                    <w:spacing w:line="240" w:lineRule="auto"/>
                    <w:ind w:right="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zh-CN" w:eastAsia="zh-CN"/>
                    </w:rPr>
                    <w:t>《</w:t>
                  </w:r>
                  <w:r>
                    <w:rPr>
                      <w:rFonts w:hint="eastAsia" w:ascii="Times New Roman" w:hAnsi="Times New Roman" w:eastAsia="宋体" w:cs="Times New Roman"/>
                      <w:color w:val="auto"/>
                      <w:sz w:val="21"/>
                      <w:szCs w:val="21"/>
                      <w:lang w:val="en-US" w:eastAsia="zh-CN"/>
                    </w:rPr>
                    <w:t>常州市挥发性有机物清洁原料替代工作方案》（常污防攻坚指办</w:t>
                  </w:r>
                  <w:r>
                    <w:rPr>
                      <w:rFonts w:hint="eastAsia" w:cs="Times New Roman"/>
                      <w:color w:val="auto"/>
                      <w:sz w:val="21"/>
                      <w:szCs w:val="21"/>
                      <w:lang w:val="en-US" w:eastAsia="zh-CN"/>
                    </w:rPr>
                    <w:t>〔2021〕32号</w:t>
                  </w:r>
                  <w:r>
                    <w:rPr>
                      <w:rFonts w:hint="eastAsia" w:ascii="Times New Roman" w:hAnsi="Times New Roman" w:eastAsia="宋体" w:cs="Times New Roman"/>
                      <w:color w:val="auto"/>
                      <w:sz w:val="21"/>
                      <w:szCs w:val="21"/>
                      <w:lang w:val="en-US" w:eastAsia="zh-CN"/>
                    </w:rPr>
                    <w:t>）要求：</w:t>
                  </w:r>
                  <w:r>
                    <w:rPr>
                      <w:rFonts w:hint="default" w:ascii="Times New Roman" w:hAnsi="Times New Roman" w:eastAsia="宋体" w:cs="Times New Roman"/>
                      <w:color w:val="auto"/>
                      <w:sz w:val="21"/>
                      <w:szCs w:val="21"/>
                      <w:lang w:val="en-US" w:eastAsia="zh-CN"/>
                    </w:rPr>
                    <w:t>以工业涂装、包装印刷、木材加工、纺织等行业为重点，按照省大气办《关于印发江苏省挥发性有机物清洁原料替代工作方案的通知》中源头替代具体要求，加快推进182家企业清洁原料替代工作。实施替代的企业要使用符合《低挥发性有机化合物含量涂料产品技术要求》（GB/T38597-2020）规定的粉末、水性、无溶剂、辐射固化涂料产品；符合《油墨中可挥发性有机化合物（VOCs）含量的限值》（GB38507-2020）规定的水性油墨和能量固化油墨产品；符合《清洗剂挥发性有机化合物含量限值》（GB38508-2020）规定的水基、半水基清洗剂产品；符合《胶粘剂挥发性有机化合物限量》（GB33372-2020）规定的水基型、本体型胶粘剂产品。若确实无法达到上述要求，应提供相应的论证说明，相关涂料、油墨、清洗剂、胶粘剂等产品应符合相关标准中VOCs含量的限值要求。</w:t>
                  </w:r>
                </w:p>
              </w:tc>
              <w:tc>
                <w:tcPr>
                  <w:tcW w:w="1512" w:type="pct"/>
                  <w:vMerge w:val="continue"/>
                  <w:vAlign w:val="center"/>
                </w:tcPr>
                <w:p w14:paraId="18F33452">
                  <w:pPr>
                    <w:keepNext w:val="0"/>
                    <w:keepLines w:val="0"/>
                    <w:widowControl/>
                    <w:suppressLineNumbers w:val="0"/>
                    <w:jc w:val="left"/>
                    <w:rPr>
                      <w:rFonts w:hint="default" w:ascii="Times New Roman" w:hAnsi="Times New Roman" w:eastAsia="宋体" w:cs="Times New Roman"/>
                      <w:color w:val="auto"/>
                      <w:sz w:val="21"/>
                      <w:szCs w:val="21"/>
                    </w:rPr>
                  </w:pPr>
                </w:p>
              </w:tc>
              <w:tc>
                <w:tcPr>
                  <w:tcW w:w="383" w:type="pct"/>
                  <w:vAlign w:val="center"/>
                </w:tcPr>
                <w:p w14:paraId="2A8E79D0">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kern w:val="0"/>
                      <w:sz w:val="21"/>
                      <w:szCs w:val="21"/>
                      <w:vertAlign w:val="baseline"/>
                      <w:lang w:val="en-US" w:eastAsia="zh-CN" w:bidi="ar-SA"/>
                    </w:rPr>
                    <w:t>相符</w:t>
                  </w:r>
                </w:p>
              </w:tc>
            </w:tr>
          </w:tbl>
          <w:p w14:paraId="6B8EBA46">
            <w:pPr>
              <w:keepNext w:val="0"/>
              <w:keepLines w:val="0"/>
              <w:pageBreakBefore w:val="0"/>
              <w:widowControl w:val="0"/>
              <w:kinsoku/>
              <w:wordWrap/>
              <w:overflowPunct/>
              <w:topLinePunct w:val="0"/>
              <w:autoSpaceDE w:val="0"/>
              <w:autoSpaceDN w:val="0"/>
              <w:bidi w:val="0"/>
              <w:adjustRightInd w:val="0"/>
              <w:snapToGrid w:val="0"/>
              <w:spacing w:line="500" w:lineRule="exact"/>
              <w:ind w:firstLine="422" w:firstLineChars="200"/>
              <w:textAlignment w:val="auto"/>
              <w:rPr>
                <w:rFonts w:hint="default" w:ascii="Times New Roman" w:hAnsi="Times New Roman" w:eastAsia="宋体" w:cs="Times New Roman"/>
                <w:b/>
                <w:bCs/>
                <w:color w:val="auto"/>
                <w:sz w:val="21"/>
                <w:szCs w:val="21"/>
              </w:rPr>
            </w:pPr>
            <w:r>
              <w:rPr>
                <w:rFonts w:hint="eastAsia" w:cs="Times New Roman"/>
                <w:b/>
                <w:bCs w:val="0"/>
                <w:color w:val="auto"/>
                <w:sz w:val="21"/>
                <w:szCs w:val="21"/>
                <w:lang w:eastAsia="zh-CN"/>
              </w:rPr>
              <w:t>（</w:t>
            </w:r>
            <w:r>
              <w:rPr>
                <w:rFonts w:hint="eastAsia" w:cs="Times New Roman"/>
                <w:b/>
                <w:bCs w:val="0"/>
                <w:color w:val="auto"/>
                <w:sz w:val="21"/>
                <w:szCs w:val="21"/>
                <w:lang w:val="en-US" w:eastAsia="zh-CN"/>
              </w:rPr>
              <w:t>6</w:t>
            </w:r>
            <w:r>
              <w:rPr>
                <w:rFonts w:hint="eastAsia" w:cs="Times New Roman"/>
                <w:b/>
                <w:bCs w:val="0"/>
                <w:color w:val="auto"/>
                <w:sz w:val="21"/>
                <w:szCs w:val="21"/>
                <w:lang w:eastAsia="zh-CN"/>
              </w:rPr>
              <w:t>）</w:t>
            </w:r>
            <w:r>
              <w:rPr>
                <w:rFonts w:hint="default" w:ascii="Times New Roman" w:hAnsi="Times New Roman" w:eastAsia="宋体" w:cs="Times New Roman"/>
                <w:b/>
                <w:bCs/>
                <w:color w:val="auto"/>
                <w:sz w:val="21"/>
                <w:szCs w:val="21"/>
                <w:lang w:val="en-US" w:eastAsia="zh-CN"/>
              </w:rPr>
              <w:t>与</w:t>
            </w:r>
            <w:r>
              <w:rPr>
                <w:rFonts w:hint="default" w:ascii="Times New Roman" w:hAnsi="Times New Roman" w:eastAsia="宋体" w:cs="Times New Roman"/>
                <w:b/>
                <w:bCs/>
                <w:color w:val="auto"/>
                <w:sz w:val="21"/>
                <w:szCs w:val="21"/>
              </w:rPr>
              <w:t>《市生态环境局关于建设项目的审批指导意见（试行）》（常州市生态环境局，2021年</w:t>
            </w:r>
            <w:r>
              <w:rPr>
                <w:rFonts w:hint="eastAsia" w:cs="Times New Roman"/>
                <w:b/>
                <w:bCs/>
                <w:color w:val="auto"/>
                <w:sz w:val="21"/>
                <w:szCs w:val="21"/>
                <w:lang w:val="en-US" w:eastAsia="zh-CN"/>
              </w:rPr>
              <w:t>11</w:t>
            </w:r>
            <w:r>
              <w:rPr>
                <w:rFonts w:hint="default" w:ascii="Times New Roman" w:hAnsi="Times New Roman" w:eastAsia="宋体" w:cs="Times New Roman"/>
                <w:b/>
                <w:bCs/>
                <w:color w:val="auto"/>
                <w:sz w:val="21"/>
                <w:szCs w:val="21"/>
              </w:rPr>
              <w:t>月</w:t>
            </w:r>
            <w:r>
              <w:rPr>
                <w:rFonts w:hint="eastAsia" w:cs="Times New Roman"/>
                <w:b/>
                <w:bCs/>
                <w:color w:val="auto"/>
                <w:sz w:val="21"/>
                <w:szCs w:val="21"/>
                <w:lang w:val="en-US" w:eastAsia="zh-CN"/>
              </w:rPr>
              <w:t>10</w:t>
            </w:r>
            <w:r>
              <w:rPr>
                <w:rFonts w:hint="default" w:ascii="Times New Roman" w:hAnsi="Times New Roman" w:eastAsia="宋体" w:cs="Times New Roman"/>
                <w:b/>
                <w:bCs/>
                <w:color w:val="auto"/>
                <w:sz w:val="21"/>
                <w:szCs w:val="21"/>
              </w:rPr>
              <w:t>日</w:t>
            </w:r>
            <w:r>
              <w:rPr>
                <w:rFonts w:hint="eastAsia" w:cs="Times New Roman"/>
                <w:b/>
                <w:bCs/>
                <w:color w:val="auto"/>
                <w:sz w:val="21"/>
                <w:szCs w:val="21"/>
                <w:lang w:eastAsia="zh-CN"/>
              </w:rPr>
              <w:t>调整</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的对照</w:t>
            </w:r>
            <w:r>
              <w:rPr>
                <w:rFonts w:hint="default" w:ascii="Times New Roman" w:hAnsi="Times New Roman" w:eastAsia="宋体" w:cs="Times New Roman"/>
                <w:b/>
                <w:bCs/>
                <w:color w:val="auto"/>
                <w:sz w:val="21"/>
                <w:szCs w:val="21"/>
              </w:rPr>
              <w:t>分析</w:t>
            </w:r>
          </w:p>
          <w:p w14:paraId="11FD0B96">
            <w:pPr>
              <w:pStyle w:val="90"/>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SA"/>
              </w:rPr>
              <w:t>表1-</w:t>
            </w:r>
            <w:r>
              <w:rPr>
                <w:rFonts w:hint="eastAsia" w:cs="Times New Roman"/>
                <w:b/>
                <w:bCs/>
                <w:color w:val="auto"/>
                <w:kern w:val="0"/>
                <w:sz w:val="21"/>
                <w:szCs w:val="21"/>
                <w:lang w:val="en-US" w:eastAsia="zh-CN" w:bidi="ar-SA"/>
              </w:rPr>
              <w:t xml:space="preserve">12 </w:t>
            </w:r>
            <w:r>
              <w:rPr>
                <w:rFonts w:hint="default" w:ascii="Times New Roman" w:hAnsi="Times New Roman" w:eastAsia="宋体" w:cs="Times New Roman"/>
                <w:b/>
                <w:bCs/>
                <w:color w:val="auto"/>
                <w:kern w:val="0"/>
                <w:sz w:val="21"/>
                <w:szCs w:val="21"/>
                <w:lang w:val="en-US" w:eastAsia="zh-CN" w:bidi="ar-SA"/>
              </w:rPr>
              <w:t>与“常州市生态环境局关于建设项目</w:t>
            </w:r>
            <w:r>
              <w:rPr>
                <w:rFonts w:hint="default" w:ascii="Times New Roman" w:hAnsi="Times New Roman" w:eastAsia="宋体" w:cs="Times New Roman"/>
                <w:b/>
                <w:bCs/>
                <w:color w:val="auto"/>
                <w:kern w:val="0"/>
                <w:sz w:val="21"/>
                <w:szCs w:val="21"/>
                <w:shd w:val="clear" w:fill="auto"/>
                <w:lang w:val="en-US" w:eastAsia="zh-CN" w:bidi="ar-SA"/>
              </w:rPr>
              <w:t>的审批</w:t>
            </w:r>
            <w:r>
              <w:rPr>
                <w:rFonts w:hint="default" w:ascii="Times New Roman" w:hAnsi="Times New Roman" w:eastAsia="宋体" w:cs="Times New Roman"/>
                <w:b/>
                <w:bCs/>
                <w:color w:val="auto"/>
                <w:kern w:val="0"/>
                <w:sz w:val="21"/>
                <w:szCs w:val="21"/>
                <w:lang w:val="en-US" w:eastAsia="zh-CN" w:bidi="ar-SA"/>
              </w:rPr>
              <w:t>指导意见（试行）”</w:t>
            </w:r>
            <w:r>
              <w:rPr>
                <w:rFonts w:hint="default" w:ascii="Times New Roman" w:hAnsi="Times New Roman" w:eastAsia="宋体" w:cs="Times New Roman"/>
                <w:b/>
                <w:bCs/>
                <w:color w:val="auto"/>
                <w:kern w:val="0"/>
                <w:sz w:val="21"/>
                <w:szCs w:val="21"/>
                <w:shd w:val="clear" w:fill="auto"/>
                <w:lang w:val="en-US" w:eastAsia="zh-CN" w:bidi="ar-SA"/>
              </w:rPr>
              <w:t>相符</w:t>
            </w:r>
            <w:r>
              <w:rPr>
                <w:rFonts w:hint="default" w:ascii="Times New Roman" w:hAnsi="Times New Roman" w:eastAsia="宋体" w:cs="Times New Roman"/>
                <w:b/>
                <w:bCs/>
                <w:color w:val="auto"/>
                <w:kern w:val="0"/>
                <w:sz w:val="21"/>
                <w:szCs w:val="21"/>
                <w:lang w:val="en-US" w:eastAsia="zh-CN" w:bidi="ar-SA"/>
              </w:rPr>
              <w:t>性分析</w:t>
            </w:r>
          </w:p>
          <w:tbl>
            <w:tblPr>
              <w:tblStyle w:val="3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59"/>
              <w:gridCol w:w="2316"/>
              <w:gridCol w:w="691"/>
            </w:tblGrid>
            <w:tr w14:paraId="0F92B7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37347FE4">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rPr>
                    <w:t>文件要求（建设项目环评审批要点）</w:t>
                  </w:r>
                </w:p>
              </w:tc>
              <w:tc>
                <w:tcPr>
                  <w:tcW w:w="1435" w:type="pct"/>
                  <w:noWrap w:val="0"/>
                  <w:tcMar>
                    <w:top w:w="0" w:type="dxa"/>
                    <w:left w:w="28" w:type="dxa"/>
                    <w:bottom w:w="0" w:type="dxa"/>
                    <w:right w:w="28" w:type="dxa"/>
                  </w:tcMar>
                  <w:vAlign w:val="center"/>
                </w:tcPr>
                <w:p w14:paraId="0F384BB1">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rPr>
                    <w:t>本项目</w:t>
                  </w:r>
                </w:p>
              </w:tc>
              <w:tc>
                <w:tcPr>
                  <w:tcW w:w="428" w:type="pct"/>
                  <w:noWrap w:val="0"/>
                  <w:tcMar>
                    <w:top w:w="0" w:type="dxa"/>
                    <w:left w:w="28" w:type="dxa"/>
                    <w:bottom w:w="0" w:type="dxa"/>
                    <w:right w:w="28" w:type="dxa"/>
                  </w:tcMar>
                  <w:vAlign w:val="center"/>
                </w:tcPr>
                <w:p w14:paraId="5EBCE095">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color w:val="auto"/>
                      <w:sz w:val="21"/>
                      <w:szCs w:val="21"/>
                      <w:lang w:val="en-US" w:eastAsia="zh-CN"/>
                    </w:rPr>
                    <w:t>相符性</w:t>
                  </w:r>
                </w:p>
              </w:tc>
            </w:tr>
            <w:tr w14:paraId="59B4C2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59FA95D6">
                  <w:pPr>
                    <w:pStyle w:val="2"/>
                    <w:keepNext w:val="0"/>
                    <w:keepLines w:val="0"/>
                    <w:pageBreakBefore w:val="0"/>
                    <w:numPr>
                      <w:ilvl w:val="0"/>
                      <w:numId w:val="0"/>
                    </w:numPr>
                    <w:kinsoku/>
                    <w:wordWrap/>
                    <w:overflowPunct/>
                    <w:topLinePunct w:val="0"/>
                    <w:bidi w:val="0"/>
                    <w:spacing w:line="240" w:lineRule="exact"/>
                    <w:ind w:right="113" w:rightChars="0"/>
                    <w:jc w:val="left"/>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1、实施建设项目大气污染物总量负增长原则</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即重点区域内建设项目使用大气污染物总量，原则上在重点区域范围内实施总量平衡，且必须实行总量2倍减量替代。</w:t>
                  </w:r>
                </w:p>
              </w:tc>
              <w:tc>
                <w:tcPr>
                  <w:tcW w:w="1435" w:type="pct"/>
                  <w:vMerge w:val="restart"/>
                  <w:noWrap w:val="0"/>
                  <w:tcMar>
                    <w:top w:w="0" w:type="dxa"/>
                    <w:left w:w="28" w:type="dxa"/>
                    <w:bottom w:w="0" w:type="dxa"/>
                    <w:right w:w="28" w:type="dxa"/>
                  </w:tcMar>
                  <w:vAlign w:val="center"/>
                </w:tcPr>
                <w:p w14:paraId="314B65CD">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2"/>
                      <w:sz w:val="21"/>
                      <w:szCs w:val="21"/>
                    </w:rPr>
                    <w:t>（1）</w:t>
                  </w:r>
                  <w:r>
                    <w:rPr>
                      <w:rFonts w:hint="default" w:ascii="Times New Roman" w:hAnsi="Times New Roman" w:eastAsia="宋体" w:cs="Times New Roman"/>
                      <w:color w:val="auto"/>
                      <w:sz w:val="21"/>
                      <w:szCs w:val="21"/>
                    </w:rPr>
                    <w:t>本项目位于</w:t>
                  </w:r>
                  <w:r>
                    <w:rPr>
                      <w:rFonts w:hint="default" w:ascii="Times New Roman" w:hAnsi="Times New Roman" w:eastAsia="宋体" w:cs="Times New Roman"/>
                      <w:color w:val="auto"/>
                      <w:sz w:val="21"/>
                      <w:szCs w:val="21"/>
                      <w:lang w:val="en-US" w:eastAsia="zh-CN"/>
                    </w:rPr>
                    <w:t>江苏省</w:t>
                  </w:r>
                  <w:r>
                    <w:rPr>
                      <w:rFonts w:hint="eastAsia" w:cs="Times New Roman"/>
                      <w:color w:val="auto"/>
                      <w:sz w:val="21"/>
                      <w:szCs w:val="21"/>
                      <w:lang w:val="en-US" w:eastAsia="zh-CN"/>
                    </w:rPr>
                    <w:t>常州市金坛区朱林镇创业路101号</w:t>
                  </w:r>
                  <w:r>
                    <w:rPr>
                      <w:rFonts w:hint="eastAsia" w:ascii="Times New Roman" w:hAnsi="Times New Roman" w:eastAsia="宋体" w:cs="Times New Roman"/>
                      <w:color w:val="auto"/>
                      <w:sz w:val="21"/>
                      <w:szCs w:val="21"/>
                      <w:lang w:val="en-US" w:eastAsia="zh-CN"/>
                    </w:rPr>
                    <w:t>，本项目不在国控站点</w:t>
                  </w:r>
                  <w:r>
                    <w:rPr>
                      <w:rFonts w:hint="default" w:ascii="Times New Roman" w:hAnsi="Times New Roman" w:eastAsia="宋体" w:cs="Times New Roman"/>
                      <w:color w:val="auto"/>
                      <w:sz w:val="21"/>
                      <w:szCs w:val="21"/>
                      <w:lang w:val="en-US" w:eastAsia="zh-CN"/>
                    </w:rPr>
                    <w:t>3km</w:t>
                  </w:r>
                  <w:r>
                    <w:rPr>
                      <w:rFonts w:hint="eastAsia" w:ascii="Times New Roman" w:hAnsi="Times New Roman" w:eastAsia="宋体" w:cs="Times New Roman"/>
                      <w:color w:val="auto"/>
                      <w:sz w:val="21"/>
                      <w:szCs w:val="21"/>
                      <w:lang w:val="en-US" w:eastAsia="zh-CN"/>
                    </w:rPr>
                    <w:t>范围内，不属于重点区域</w:t>
                  </w:r>
                  <w:r>
                    <w:rPr>
                      <w:rFonts w:hint="default" w:ascii="Times New Roman" w:hAnsi="Times New Roman" w:eastAsia="宋体" w:cs="Times New Roman"/>
                      <w:color w:val="auto"/>
                      <w:kern w:val="0"/>
                      <w:sz w:val="21"/>
                      <w:szCs w:val="21"/>
                      <w:lang w:val="en-US" w:eastAsia="zh-CN"/>
                    </w:rPr>
                    <w:t>。</w:t>
                  </w:r>
                </w:p>
                <w:p w14:paraId="3BED220E">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kern w:val="0"/>
                      <w:sz w:val="21"/>
                      <w:szCs w:val="21"/>
                    </w:rPr>
                    <w:t>本项目为</w:t>
                  </w:r>
                  <w:r>
                    <w:rPr>
                      <w:rFonts w:hint="eastAsia" w:ascii="Times New Roman" w:hAnsi="Times New Roman" w:eastAsia="宋体" w:cs="Times New Roman"/>
                      <w:color w:val="auto"/>
                      <w:kern w:val="2"/>
                      <w:sz w:val="21"/>
                      <w:szCs w:val="21"/>
                      <w:lang w:val="en-US" w:eastAsia="zh-CN" w:bidi="ar-SA"/>
                    </w:rPr>
                    <w:t>C2921塑料薄膜制造</w:t>
                  </w:r>
                  <w:r>
                    <w:rPr>
                      <w:rFonts w:hint="eastAsia" w:cs="Times New Roman"/>
                      <w:color w:val="auto"/>
                      <w:kern w:val="2"/>
                      <w:sz w:val="21"/>
                      <w:szCs w:val="21"/>
                      <w:lang w:val="en-US" w:eastAsia="zh-CN" w:bidi="ar-SA"/>
                    </w:rPr>
                    <w:t>和</w:t>
                  </w:r>
                  <w:r>
                    <w:rPr>
                      <w:rFonts w:hint="eastAsia" w:cs="Times New Roman"/>
                      <w:color w:val="auto"/>
                      <w:sz w:val="21"/>
                      <w:szCs w:val="21"/>
                      <w:lang w:val="en-US" w:eastAsia="zh-CN"/>
                    </w:rPr>
                    <w:t>C2923塑料丝、绳及编织品制造</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pacing w:val="2"/>
                      <w:sz w:val="21"/>
                      <w:szCs w:val="21"/>
                    </w:rPr>
                    <w:t>不属于高能耗项目。</w:t>
                  </w:r>
                  <w:r>
                    <w:rPr>
                      <w:rFonts w:hint="default" w:ascii="Times New Roman" w:hAnsi="Times New Roman" w:eastAsia="宋体" w:cs="Times New Roman"/>
                      <w:color w:val="auto"/>
                      <w:sz w:val="21"/>
                      <w:szCs w:val="21"/>
                    </w:rPr>
                    <w:t>本项目拟在环境影响评价文件审批前，取得主要污染物排放总量指标。</w:t>
                  </w:r>
                </w:p>
              </w:tc>
              <w:tc>
                <w:tcPr>
                  <w:tcW w:w="428" w:type="pct"/>
                  <w:vMerge w:val="restart"/>
                  <w:noWrap w:val="0"/>
                  <w:tcMar>
                    <w:top w:w="0" w:type="dxa"/>
                    <w:left w:w="28" w:type="dxa"/>
                    <w:bottom w:w="0" w:type="dxa"/>
                    <w:right w:w="28" w:type="dxa"/>
                  </w:tcMar>
                  <w:vAlign w:val="center"/>
                </w:tcPr>
                <w:p w14:paraId="0DC228B3">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相符</w:t>
                  </w:r>
                </w:p>
              </w:tc>
            </w:tr>
            <w:tr w14:paraId="278771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607BFCFE">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highlight w:val="none"/>
                      <w:shd w:val="clear" w:fill="auto"/>
                    </w:rPr>
                    <w:t>.</w:t>
                  </w:r>
                  <w:r>
                    <w:rPr>
                      <w:rFonts w:hint="default" w:ascii="Times New Roman" w:hAnsi="Times New Roman" w:eastAsia="宋体" w:cs="Times New Roman"/>
                      <w:color w:val="auto"/>
                      <w:sz w:val="21"/>
                      <w:szCs w:val="21"/>
                    </w:rPr>
                    <w:t>强化环评审批。对重点区域内新上的大气污染物排放的建设项目及全市范围内新上高能耗项目，审批部门对其环评文本应实施质量评估。</w:t>
                  </w:r>
                </w:p>
              </w:tc>
              <w:tc>
                <w:tcPr>
                  <w:tcW w:w="1435" w:type="pct"/>
                  <w:vMerge w:val="continue"/>
                  <w:noWrap w:val="0"/>
                  <w:tcMar>
                    <w:top w:w="0" w:type="dxa"/>
                    <w:left w:w="28" w:type="dxa"/>
                    <w:bottom w:w="0" w:type="dxa"/>
                    <w:right w:w="28" w:type="dxa"/>
                  </w:tcMar>
                  <w:vAlign w:val="center"/>
                </w:tcPr>
                <w:p w14:paraId="6E90C448">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c>
                <w:tcPr>
                  <w:tcW w:w="428" w:type="pct"/>
                  <w:vMerge w:val="continue"/>
                  <w:noWrap w:val="0"/>
                  <w:tcMar>
                    <w:top w:w="0" w:type="dxa"/>
                    <w:left w:w="28" w:type="dxa"/>
                    <w:bottom w:w="0" w:type="dxa"/>
                    <w:right w:w="28" w:type="dxa"/>
                  </w:tcMar>
                  <w:vAlign w:val="center"/>
                </w:tcPr>
                <w:p w14:paraId="3716FA4A">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r>
            <w:tr w14:paraId="080EB5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62412188">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highlight w:val="none"/>
                      <w:shd w:val="clear" w:fill="auto"/>
                    </w:rPr>
                    <w:t>.</w:t>
                  </w:r>
                  <w:r>
                    <w:rPr>
                      <w:rFonts w:hint="default" w:ascii="Times New Roman" w:hAnsi="Times New Roman" w:eastAsia="宋体" w:cs="Times New Roman"/>
                      <w:color w:val="auto"/>
                      <w:sz w:val="21"/>
                      <w:szCs w:val="21"/>
                    </w:rPr>
                    <w:t>推进减污降碳。对重点区域内新上的涉及大气污染排放的建设项目及全市范围内新上高能耗建设项目的严格审批，区级审批部门审批前需向生态环境局报备，审批部门方可出具审批文件。</w:t>
                  </w:r>
                </w:p>
              </w:tc>
              <w:tc>
                <w:tcPr>
                  <w:tcW w:w="1435" w:type="pct"/>
                  <w:vMerge w:val="continue"/>
                  <w:noWrap w:val="0"/>
                  <w:tcMar>
                    <w:top w:w="0" w:type="dxa"/>
                    <w:left w:w="28" w:type="dxa"/>
                    <w:bottom w:w="0" w:type="dxa"/>
                    <w:right w:w="28" w:type="dxa"/>
                  </w:tcMar>
                  <w:vAlign w:val="center"/>
                </w:tcPr>
                <w:p w14:paraId="58E08B2D">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c>
                <w:tcPr>
                  <w:tcW w:w="428" w:type="pct"/>
                  <w:vMerge w:val="continue"/>
                  <w:noWrap w:val="0"/>
                  <w:tcMar>
                    <w:top w:w="0" w:type="dxa"/>
                    <w:left w:w="28" w:type="dxa"/>
                    <w:bottom w:w="0" w:type="dxa"/>
                    <w:right w:w="28" w:type="dxa"/>
                  </w:tcMar>
                  <w:vAlign w:val="center"/>
                </w:tcPr>
                <w:p w14:paraId="751C609E">
                  <w:pPr>
                    <w:pStyle w:val="2"/>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r>
          </w:tbl>
          <w:p w14:paraId="47E3C07E">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注：</w:t>
            </w:r>
            <w:r>
              <w:rPr>
                <w:rFonts w:hint="default" w:ascii="Times New Roman" w:hAnsi="Times New Roman" w:eastAsia="宋体" w:cs="Times New Roman"/>
                <w:color w:val="auto"/>
                <w:sz w:val="21"/>
                <w:szCs w:val="21"/>
                <w:lang w:val="en-US" w:eastAsia="zh-CN"/>
              </w:rPr>
              <w:t>①高能耗项目为：石油、煤炭及其他燃料加工业，电力、热力生产和供应业，非金属矿物制品业，食品制造业，黑色金属冶炼和压延加工业，有色金属冶炼和压延加工业，造纸及纸制品业，化学原料和化学制品制造业；本项目不属于高能耗项目；②本项目</w:t>
            </w:r>
            <w:r>
              <w:rPr>
                <w:rFonts w:hint="eastAsia" w:cs="Times New Roman"/>
                <w:color w:val="auto"/>
                <w:sz w:val="21"/>
                <w:szCs w:val="21"/>
                <w:lang w:val="en-US" w:eastAsia="zh-CN"/>
              </w:rPr>
              <w:t>距离</w:t>
            </w:r>
            <w:r>
              <w:rPr>
                <w:rFonts w:hint="eastAsia" w:ascii="Times New Roman" w:hAnsi="Times New Roman" w:eastAsia="宋体" w:cs="Times New Roman"/>
                <w:color w:val="auto"/>
                <w:sz w:val="21"/>
                <w:szCs w:val="21"/>
                <w:lang w:val="en-US" w:eastAsia="zh-CN"/>
              </w:rPr>
              <w:t>大气质量国控站点（金坛区政府</w:t>
            </w:r>
            <w:r>
              <w:rPr>
                <w:rFonts w:hint="default" w:ascii="Times New Roman" w:hAnsi="Times New Roman" w:eastAsia="宋体" w:cs="Times New Roman"/>
                <w:color w:val="auto"/>
                <w:sz w:val="21"/>
                <w:szCs w:val="21"/>
                <w:lang w:val="en-US" w:eastAsia="zh-CN"/>
              </w:rPr>
              <w:t>D</w:t>
            </w:r>
            <w:r>
              <w:rPr>
                <w:rFonts w:hint="eastAsia" w:ascii="Times New Roman" w:hAnsi="Times New Roman" w:eastAsia="宋体" w:cs="Times New Roman"/>
                <w:color w:val="auto"/>
                <w:sz w:val="21"/>
                <w:szCs w:val="21"/>
                <w:lang w:val="en-US" w:eastAsia="zh-CN"/>
              </w:rPr>
              <w:t>座楼）直线距离约为</w:t>
            </w:r>
            <w:r>
              <w:rPr>
                <w:rFonts w:hint="eastAsia" w:cs="Times New Roman"/>
                <w:color w:val="auto"/>
                <w:sz w:val="21"/>
                <w:szCs w:val="21"/>
                <w:lang w:val="en-US" w:eastAsia="zh-CN"/>
              </w:rPr>
              <w:t>14</w:t>
            </w:r>
            <w:r>
              <w:rPr>
                <w:rFonts w:hint="default" w:ascii="Times New Roman" w:hAnsi="Times New Roman" w:eastAsia="宋体" w:cs="Times New Roman"/>
                <w:color w:val="auto"/>
                <w:sz w:val="21"/>
                <w:szCs w:val="21"/>
                <w:lang w:val="en-US" w:eastAsia="zh-CN"/>
              </w:rPr>
              <w:t>km，本项目</w:t>
            </w:r>
            <w:r>
              <w:rPr>
                <w:rFonts w:hint="eastAsia" w:ascii="Times New Roman" w:hAnsi="Times New Roman" w:eastAsia="宋体" w:cs="Times New Roman"/>
                <w:color w:val="auto"/>
                <w:sz w:val="21"/>
                <w:szCs w:val="21"/>
                <w:lang w:val="en-US" w:eastAsia="zh-CN"/>
              </w:rPr>
              <w:t>不</w:t>
            </w:r>
            <w:r>
              <w:rPr>
                <w:rFonts w:hint="default" w:ascii="Times New Roman" w:hAnsi="Times New Roman" w:eastAsia="宋体" w:cs="Times New Roman"/>
                <w:color w:val="auto"/>
                <w:sz w:val="21"/>
                <w:szCs w:val="21"/>
                <w:lang w:val="en-US" w:eastAsia="zh-CN"/>
              </w:rPr>
              <w:t>在国控点三公里范围内。</w:t>
            </w:r>
          </w:p>
          <w:p w14:paraId="281DDFB3">
            <w:pPr>
              <w:autoSpaceDE w:val="0"/>
              <w:autoSpaceDN w:val="0"/>
              <w:snapToGrid w:val="0"/>
              <w:spacing w:line="500" w:lineRule="exact"/>
              <w:ind w:firstLine="422" w:firstLineChars="200"/>
              <w:jc w:val="left"/>
              <w:rPr>
                <w:rFonts w:hint="default" w:ascii="Times New Roman" w:hAnsi="Times New Roman" w:eastAsia="宋体" w:cs="Times New Roman"/>
                <w:b/>
                <w:bCs/>
                <w:color w:val="auto"/>
                <w:sz w:val="21"/>
                <w:szCs w:val="21"/>
                <w:lang w:val="zh-CN" w:eastAsia="zh-CN"/>
              </w:rPr>
            </w:pPr>
            <w:r>
              <w:rPr>
                <w:rFonts w:hint="eastAsia" w:cs="Times New Roman"/>
                <w:b/>
                <w:bCs/>
                <w:color w:val="auto"/>
                <w:sz w:val="21"/>
                <w:szCs w:val="21"/>
                <w:lang w:eastAsia="zh-CN"/>
              </w:rPr>
              <w:t>（</w:t>
            </w:r>
            <w:r>
              <w:rPr>
                <w:rFonts w:hint="eastAsia" w:cs="Times New Roman"/>
                <w:b/>
                <w:bCs/>
                <w:color w:val="auto"/>
                <w:sz w:val="21"/>
                <w:szCs w:val="21"/>
                <w:lang w:val="en-US" w:eastAsia="zh-CN"/>
              </w:rPr>
              <w:t>7</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与</w:t>
            </w:r>
            <w:r>
              <w:rPr>
                <w:rFonts w:hint="default" w:ascii="Times New Roman" w:hAnsi="Times New Roman" w:eastAsia="宋体" w:cs="Times New Roman"/>
                <w:b/>
                <w:color w:val="auto"/>
                <w:sz w:val="21"/>
                <w:szCs w:val="21"/>
                <w:lang w:val="zh-CN"/>
              </w:rPr>
              <w:t>《省生态环境厅关于进一步做好建设项目环评审批工作的通知》（苏环办</w:t>
            </w:r>
            <w:r>
              <w:rPr>
                <w:rFonts w:hint="eastAsia" w:cs="Times New Roman"/>
                <w:b/>
                <w:color w:val="auto"/>
                <w:sz w:val="21"/>
                <w:szCs w:val="21"/>
                <w:lang w:val="zh-CN"/>
              </w:rPr>
              <w:t>〔2019〕36号</w:t>
            </w:r>
            <w:r>
              <w:rPr>
                <w:rFonts w:hint="default" w:ascii="Times New Roman" w:hAnsi="Times New Roman" w:eastAsia="宋体" w:cs="Times New Roman"/>
                <w:b/>
                <w:color w:val="auto"/>
                <w:sz w:val="21"/>
                <w:szCs w:val="21"/>
                <w:lang w:val="zh-CN"/>
              </w:rPr>
              <w:t>）相符性分析</w:t>
            </w:r>
          </w:p>
          <w:p w14:paraId="57AEC7D2">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lang w:val="zh-CN" w:eastAsia="zh-CN"/>
              </w:rPr>
            </w:pPr>
            <w:r>
              <w:rPr>
                <w:rFonts w:hint="default" w:ascii="Times New Roman" w:hAnsi="Times New Roman" w:eastAsia="宋体" w:cs="Times New Roman"/>
                <w:b/>
                <w:bCs/>
                <w:color w:val="auto"/>
                <w:sz w:val="21"/>
                <w:szCs w:val="21"/>
                <w:lang w:val="zh-CN" w:eastAsia="zh-CN"/>
              </w:rPr>
              <w:t>表</w:t>
            </w:r>
            <w:r>
              <w:rPr>
                <w:rFonts w:hint="default" w:ascii="Times New Roman" w:hAnsi="Times New Roman" w:eastAsia="宋体" w:cs="Times New Roman"/>
                <w:b/>
                <w:bCs/>
                <w:color w:val="auto"/>
                <w:sz w:val="21"/>
                <w:szCs w:val="21"/>
                <w:lang w:val="en-US" w:eastAsia="zh-CN"/>
              </w:rPr>
              <w:t>1-1</w:t>
            </w:r>
            <w:r>
              <w:rPr>
                <w:rFonts w:hint="eastAsia" w:cs="Times New Roman"/>
                <w:b/>
                <w:bCs/>
                <w:color w:val="auto"/>
                <w:sz w:val="21"/>
                <w:szCs w:val="21"/>
                <w:lang w:val="en-US" w:eastAsia="zh-CN"/>
              </w:rPr>
              <w:t xml:space="preserve">3 </w:t>
            </w:r>
            <w:r>
              <w:rPr>
                <w:rFonts w:hint="default" w:ascii="Times New Roman" w:hAnsi="Times New Roman" w:eastAsia="宋体" w:cs="Times New Roman"/>
                <w:b/>
                <w:bCs/>
                <w:color w:val="auto"/>
                <w:sz w:val="21"/>
                <w:szCs w:val="21"/>
                <w:lang w:val="zh-CN" w:eastAsia="zh-CN"/>
              </w:rPr>
              <w:t>与苏环办</w:t>
            </w:r>
            <w:r>
              <w:rPr>
                <w:rFonts w:hint="eastAsia" w:cs="Times New Roman"/>
                <w:b/>
                <w:bCs/>
                <w:color w:val="auto"/>
                <w:sz w:val="21"/>
                <w:szCs w:val="21"/>
                <w:lang w:val="zh-CN" w:eastAsia="zh-CN"/>
              </w:rPr>
              <w:t>〔2019〕36号</w:t>
            </w:r>
            <w:r>
              <w:rPr>
                <w:rFonts w:hint="default" w:ascii="Times New Roman" w:hAnsi="Times New Roman" w:eastAsia="宋体" w:cs="Times New Roman"/>
                <w:b/>
                <w:bCs/>
                <w:color w:val="auto"/>
                <w:sz w:val="21"/>
                <w:szCs w:val="21"/>
                <w:lang w:val="zh-CN" w:eastAsia="zh-CN"/>
              </w:rPr>
              <w:t>文对照分析</w:t>
            </w:r>
          </w:p>
          <w:tbl>
            <w:tblPr>
              <w:tblStyle w:val="31"/>
              <w:tblW w:w="805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1402"/>
              <w:gridCol w:w="3620"/>
              <w:gridCol w:w="2504"/>
              <w:gridCol w:w="529"/>
            </w:tblGrid>
            <w:tr w14:paraId="08D1FF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870" w:type="pct"/>
                  <w:vAlign w:val="center"/>
                </w:tcPr>
                <w:p w14:paraId="6E53D5E7">
                  <w:pPr>
                    <w:autoSpaceDE w:val="0"/>
                    <w:autoSpaceDN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2246" w:type="pct"/>
                  <w:vAlign w:val="center"/>
                </w:tcPr>
                <w:p w14:paraId="34D6874D">
                  <w:pPr>
                    <w:autoSpaceDE w:val="0"/>
                    <w:autoSpaceDN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文件要求（建设项目环评审批要点）</w:t>
                  </w:r>
                </w:p>
              </w:tc>
              <w:tc>
                <w:tcPr>
                  <w:tcW w:w="1554" w:type="pct"/>
                  <w:vAlign w:val="center"/>
                </w:tcPr>
                <w:p w14:paraId="256EA37B">
                  <w:pPr>
                    <w:autoSpaceDE w:val="0"/>
                    <w:autoSpaceDN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w:t>
                  </w:r>
                </w:p>
              </w:tc>
              <w:tc>
                <w:tcPr>
                  <w:tcW w:w="328" w:type="pct"/>
                  <w:vAlign w:val="center"/>
                </w:tcPr>
                <w:p w14:paraId="786B1E38">
                  <w:pPr>
                    <w:autoSpaceDE w:val="0"/>
                    <w:autoSpaceDN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相符性</w:t>
                  </w:r>
                </w:p>
              </w:tc>
            </w:tr>
            <w:tr w14:paraId="696214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870" w:type="pct"/>
                  <w:vAlign w:val="center"/>
                </w:tcPr>
                <w:p w14:paraId="3599C96B">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《建设项目环境保护管理条例》</w:t>
                  </w:r>
                </w:p>
              </w:tc>
              <w:tc>
                <w:tcPr>
                  <w:tcW w:w="2246" w:type="pct"/>
                  <w:vAlign w:val="center"/>
                </w:tcPr>
                <w:p w14:paraId="33B81693">
                  <w:pPr>
                    <w:autoSpaceDE w:val="0"/>
                    <w:autoSpaceDN w:val="0"/>
                    <w:adjustRightInd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治措施；（5）建设项目的环境影响报告书、环境影响报告表的基础资料数据明显不实，内容存在重大缺陷、遗漏，或者环境影响评价结论不明确、不合理。</w:t>
                  </w:r>
                </w:p>
              </w:tc>
              <w:tc>
                <w:tcPr>
                  <w:tcW w:w="1554" w:type="pct"/>
                  <w:vAlign w:val="center"/>
                </w:tcPr>
                <w:p w14:paraId="2DA645CC">
                  <w:pPr>
                    <w:autoSpaceDE w:val="0"/>
                    <w:autoSpaceDN w:val="0"/>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本项目所在地规划符合环境保护法律法规和相关法定规划要求；②项目所在区域环境控制质量不达标，本项目采取的措施有效可行，确保污染物稳定达标，区域已经制定限期达标规划，项目建设满足区域环境质量改善目标管理要求；③项目污染物经处理后可稳定达到国家和地方排放标准；④本项目基础数据真实有效，评价结论合理可信。</w:t>
                  </w:r>
                </w:p>
              </w:tc>
              <w:tc>
                <w:tcPr>
                  <w:tcW w:w="328" w:type="pct"/>
                  <w:vAlign w:val="center"/>
                </w:tcPr>
                <w:p w14:paraId="044F59F3">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82210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53" w:hRule="atLeast"/>
                <w:jc w:val="center"/>
              </w:trPr>
              <w:tc>
                <w:tcPr>
                  <w:tcW w:w="870" w:type="pct"/>
                  <w:vAlign w:val="center"/>
                </w:tcPr>
                <w:p w14:paraId="7056DDA1">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《农用地土壤环境管理办法（试行）》</w:t>
                  </w:r>
                </w:p>
              </w:tc>
              <w:tc>
                <w:tcPr>
                  <w:tcW w:w="2246" w:type="pct"/>
                  <w:vAlign w:val="center"/>
                </w:tcPr>
                <w:p w14:paraId="35A72155">
                  <w:pPr>
                    <w:autoSpaceDE w:val="0"/>
                    <w:autoSpaceDN w:val="0"/>
                    <w:adjustRightInd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554" w:type="pct"/>
                  <w:vAlign w:val="center"/>
                </w:tcPr>
                <w:p w14:paraId="506C9075">
                  <w:pPr>
                    <w:autoSpaceDE w:val="0"/>
                    <w:autoSpaceDN w:val="0"/>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cs="Times New Roman"/>
                      <w:bCs/>
                      <w:color w:val="auto"/>
                      <w:sz w:val="21"/>
                      <w:szCs w:val="21"/>
                      <w:lang w:eastAsia="zh-CN"/>
                    </w:rPr>
                    <w:t>常州市金坛区朱林镇创业路101号</w:t>
                  </w:r>
                  <w:r>
                    <w:rPr>
                      <w:rFonts w:hint="default" w:ascii="Times New Roman" w:hAnsi="Times New Roman" w:eastAsia="宋体" w:cs="Times New Roman"/>
                      <w:color w:val="auto"/>
                      <w:sz w:val="21"/>
                      <w:szCs w:val="21"/>
                    </w:rPr>
                    <w:t>，用地性质为工业用地。</w:t>
                  </w:r>
                </w:p>
              </w:tc>
              <w:tc>
                <w:tcPr>
                  <w:tcW w:w="328" w:type="pct"/>
                  <w:vAlign w:val="center"/>
                </w:tcPr>
                <w:p w14:paraId="0B08C3F3">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227EA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32" w:hRule="atLeast"/>
                <w:jc w:val="center"/>
              </w:trPr>
              <w:tc>
                <w:tcPr>
                  <w:tcW w:w="870" w:type="pct"/>
                  <w:vAlign w:val="center"/>
                </w:tcPr>
                <w:p w14:paraId="45F58617">
                  <w:pPr>
                    <w:autoSpaceDE w:val="0"/>
                    <w:autoSpaceDN w:val="0"/>
                    <w:adjustRightInd w:val="0"/>
                    <w:snapToGrid w:val="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《关于印发&lt;建设项目主要污染物排放总量指标审核及管理暂行办法&gt;的通知》</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环发〔2014〕197号</w:t>
                  </w:r>
                  <w:r>
                    <w:rPr>
                      <w:rFonts w:hint="eastAsia" w:ascii="Times New Roman" w:hAnsi="Times New Roman" w:eastAsia="宋体" w:cs="Times New Roman"/>
                      <w:color w:val="auto"/>
                      <w:sz w:val="21"/>
                      <w:szCs w:val="21"/>
                      <w:lang w:val="en-US" w:eastAsia="zh-CN"/>
                    </w:rPr>
                    <w:t>)</w:t>
                  </w:r>
                </w:p>
              </w:tc>
              <w:tc>
                <w:tcPr>
                  <w:tcW w:w="2246" w:type="pct"/>
                  <w:vAlign w:val="center"/>
                </w:tcPr>
                <w:p w14:paraId="687CD8E9">
                  <w:pPr>
                    <w:autoSpaceDE w:val="0"/>
                    <w:autoSpaceDN w:val="0"/>
                    <w:adjustRightInd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554" w:type="pct"/>
                  <w:vAlign w:val="center"/>
                </w:tcPr>
                <w:p w14:paraId="189EAABB">
                  <w:pPr>
                    <w:autoSpaceDE w:val="0"/>
                    <w:autoSpaceDN w:val="0"/>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本项目拟在环境影响评价文件审批前，取得主要污染物排放总量指标。</w:t>
                  </w:r>
                </w:p>
              </w:tc>
              <w:tc>
                <w:tcPr>
                  <w:tcW w:w="328" w:type="pct"/>
                  <w:vAlign w:val="center"/>
                </w:tcPr>
                <w:p w14:paraId="68DB9BC4">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7F26A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8" w:hRule="atLeast"/>
                <w:jc w:val="center"/>
              </w:trPr>
              <w:tc>
                <w:tcPr>
                  <w:tcW w:w="870" w:type="pct"/>
                  <w:vAlign w:val="center"/>
                </w:tcPr>
                <w:p w14:paraId="48018982">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《关于以改善环境质量为核心加强环境影响评价管理的通知》（环环评〔2016〕150号）</w:t>
                  </w:r>
                </w:p>
              </w:tc>
              <w:tc>
                <w:tcPr>
                  <w:tcW w:w="2246" w:type="pct"/>
                  <w:vAlign w:val="center"/>
                </w:tcPr>
                <w:p w14:paraId="00A5AA6E">
                  <w:pPr>
                    <w:autoSpaceDE w:val="0"/>
                    <w:autoSpaceDN w:val="0"/>
                    <w:snapToGrid w:val="0"/>
                    <w:ind w:firstLine="420" w:firstLineChars="20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规划环评要作为规划所包含项目环评的重要依据，对于不符合规划环评结论及审查意见的项目环评，依法不予审批。</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对于现有同类型项目环境污染或生态破坏严重、环境违法违规现象多发，致使环境容量接近或超过承载能力的地区，在现有问题整改到位前，依法暂停审批该地区同类行业的项目环评文件。</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554" w:type="pct"/>
                  <w:vAlign w:val="center"/>
                </w:tcPr>
                <w:p w14:paraId="47356ED5">
                  <w:pPr>
                    <w:autoSpaceDE w:val="0"/>
                    <w:autoSpaceDN w:val="0"/>
                    <w:snapToGrid w:val="0"/>
                    <w:ind w:firstLine="420" w:firstLineChars="20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本项目建设内容符合所在区域定位，且不在生态保护红线范围内；</w:t>
                  </w:r>
                </w:p>
                <w:p w14:paraId="01D72DDB">
                  <w:pPr>
                    <w:autoSpaceDE w:val="0"/>
                    <w:autoSpaceDN w:val="0"/>
                    <w:snapToGrid w:val="0"/>
                    <w:ind w:firstLine="420" w:firstLineChars="20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项目所在地为非达标区，</w:t>
                  </w:r>
                  <w:r>
                    <w:rPr>
                      <w:rFonts w:hint="default" w:ascii="Times New Roman" w:hAnsi="Times New Roman" w:eastAsia="宋体" w:cs="Times New Roman"/>
                      <w:color w:val="auto"/>
                      <w:sz w:val="21"/>
                      <w:szCs w:val="21"/>
                      <w:highlight w:val="none"/>
                    </w:rPr>
                    <w:t>本项目各废气因子排放量较小，</w:t>
                  </w:r>
                  <w:r>
                    <w:rPr>
                      <w:rFonts w:hint="default" w:ascii="Times New Roman" w:hAnsi="Times New Roman" w:eastAsia="宋体" w:cs="Times New Roman"/>
                      <w:color w:val="auto"/>
                      <w:sz w:val="21"/>
                      <w:szCs w:val="21"/>
                    </w:rPr>
                    <w:t>对周围保护目标影响均较小，均未超过各因子的环境质量标准。因此，项目排放的大气污染物对周围空气环境影响较小。</w:t>
                  </w:r>
                </w:p>
              </w:tc>
              <w:tc>
                <w:tcPr>
                  <w:tcW w:w="328" w:type="pct"/>
                  <w:vAlign w:val="center"/>
                </w:tcPr>
                <w:p w14:paraId="309C8B50">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2DD27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94" w:hRule="atLeast"/>
                <w:jc w:val="center"/>
              </w:trPr>
              <w:tc>
                <w:tcPr>
                  <w:tcW w:w="870" w:type="pct"/>
                  <w:vAlign w:val="center"/>
                </w:tcPr>
                <w:p w14:paraId="426BA3C7">
                  <w:pPr>
                    <w:autoSpaceDE w:val="0"/>
                    <w:autoSpaceDN w:val="0"/>
                    <w:snapToGrid w:val="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《关于全面加强生态环境保护坚决打好污染防治攻坚战的实施意见》</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苏发</w:t>
                  </w:r>
                  <w:r>
                    <w:rPr>
                      <w:rFonts w:hint="eastAsia" w:cs="Times New Roman"/>
                      <w:color w:val="auto"/>
                      <w:sz w:val="21"/>
                      <w:szCs w:val="21"/>
                      <w:lang w:eastAsia="zh-CN"/>
                    </w:rPr>
                    <w:t>〔2018〕24号</w:t>
                  </w:r>
                  <w:r>
                    <w:rPr>
                      <w:rFonts w:hint="eastAsia" w:ascii="Times New Roman" w:hAnsi="Times New Roman" w:eastAsia="宋体" w:cs="Times New Roman"/>
                      <w:color w:val="auto"/>
                      <w:sz w:val="21"/>
                      <w:szCs w:val="21"/>
                      <w:lang w:val="en-US" w:eastAsia="zh-CN"/>
                    </w:rPr>
                    <w:t>)</w:t>
                  </w:r>
                </w:p>
              </w:tc>
              <w:tc>
                <w:tcPr>
                  <w:tcW w:w="2246" w:type="pct"/>
                  <w:vAlign w:val="center"/>
                </w:tcPr>
                <w:p w14:paraId="4FD6F547">
                  <w:pPr>
                    <w:autoSpaceDE w:val="0"/>
                    <w:autoSpaceDN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严禁在长江干流及主要支流岸线1公里范围内新建布局化工园区和化工企业。严格化工项目环评审批，提高准入门槛，新建化工项目原则上投资额不得低于10亿元，不得新建、改建、扩建三类中间体项目。</w:t>
                  </w:r>
                </w:p>
              </w:tc>
              <w:tc>
                <w:tcPr>
                  <w:tcW w:w="1554" w:type="pct"/>
                  <w:vAlign w:val="center"/>
                </w:tcPr>
                <w:p w14:paraId="3FEBBBF9">
                  <w:pPr>
                    <w:autoSpaceDE w:val="0"/>
                    <w:autoSpaceDN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本项目不属于化工企业。</w:t>
                  </w:r>
                </w:p>
              </w:tc>
              <w:tc>
                <w:tcPr>
                  <w:tcW w:w="328" w:type="pct"/>
                  <w:vAlign w:val="center"/>
                </w:tcPr>
                <w:p w14:paraId="7715C084">
                  <w:pPr>
                    <w:autoSpaceDE w:val="0"/>
                    <w:autoSpaceDN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A7397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918" w:hRule="atLeast"/>
                <w:jc w:val="center"/>
              </w:trPr>
              <w:tc>
                <w:tcPr>
                  <w:tcW w:w="870" w:type="pct"/>
                  <w:vAlign w:val="center"/>
                </w:tcPr>
                <w:p w14:paraId="124A78D8">
                  <w:pPr>
                    <w:autoSpaceDE w:val="0"/>
                    <w:autoSpaceDN w:val="0"/>
                    <w:adjustRightInd w:val="0"/>
                    <w:snapToGrid w:val="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《省政府关于印发江苏省国家级生态保护红线规划的通知》</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苏政发〔2018〕74号</w:t>
                  </w:r>
                  <w:r>
                    <w:rPr>
                      <w:rFonts w:hint="eastAsia" w:ascii="Times New Roman" w:hAnsi="Times New Roman" w:eastAsia="宋体" w:cs="Times New Roman"/>
                      <w:color w:val="auto"/>
                      <w:sz w:val="21"/>
                      <w:szCs w:val="21"/>
                      <w:lang w:val="en-US" w:eastAsia="zh-CN"/>
                    </w:rPr>
                    <w:t>)</w:t>
                  </w:r>
                </w:p>
              </w:tc>
              <w:tc>
                <w:tcPr>
                  <w:tcW w:w="2246" w:type="pct"/>
                  <w:vAlign w:val="center"/>
                </w:tcPr>
                <w:p w14:paraId="67CE2CDC">
                  <w:pPr>
                    <w:autoSpaceDE w:val="0"/>
                    <w:autoSpaceDN w:val="0"/>
                    <w:adjustRightInd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生态保护红线原则上按禁止开发区域的要求进行管理，严禁不符合主体功能定位的各类开发活动，严禁任意改变用途。</w:t>
                  </w:r>
                </w:p>
              </w:tc>
              <w:tc>
                <w:tcPr>
                  <w:tcW w:w="1554" w:type="pct"/>
                  <w:vAlign w:val="center"/>
                </w:tcPr>
                <w:p w14:paraId="19A6CFFD">
                  <w:pPr>
                    <w:autoSpaceDE w:val="0"/>
                    <w:autoSpaceDN w:val="0"/>
                    <w:adjustRightInd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本项目不在生态保护红线内。</w:t>
                  </w:r>
                </w:p>
              </w:tc>
              <w:tc>
                <w:tcPr>
                  <w:tcW w:w="328" w:type="pct"/>
                  <w:vAlign w:val="center"/>
                </w:tcPr>
                <w:p w14:paraId="785D60F6">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EABF8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670" w:hRule="atLeast"/>
                <w:jc w:val="center"/>
              </w:trPr>
              <w:tc>
                <w:tcPr>
                  <w:tcW w:w="870" w:type="pct"/>
                  <w:vAlign w:val="center"/>
                </w:tcPr>
                <w:p w14:paraId="535E5E04">
                  <w:pPr>
                    <w:autoSpaceDE w:val="0"/>
                    <w:autoSpaceDN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推动长江经济带发展领导小组办公室关于印发《长江经济带发展负面清单指南（试行，2022年版）》的通知（长江办〔2022〕7号）</w:t>
                  </w:r>
                </w:p>
              </w:tc>
              <w:tc>
                <w:tcPr>
                  <w:tcW w:w="2246" w:type="pct"/>
                  <w:vAlign w:val="center"/>
                </w:tcPr>
                <w:p w14:paraId="056BE82A">
                  <w:pPr>
                    <w:autoSpaceDE w:val="0"/>
                    <w:autoSpaceDN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禁止建设不符合全国和省级港口布局规划以及港口总体规划的码头项目，禁止建设不符合《长江干线过江通道布局规划》的过长江通道项目。2.禁止在自然保护区核心区、缓冲区的岸线和河段范围内投资建设旅游和生产经营项目。禁止在风景名胜区核心景区的岸线和河段范围内投资建设与风景名胜资源保护无关的项目。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4.禁止在水产种质资源保护区的岸线和河段范围内新建围湖造田、围海造地或围填海等投资建设项目。禁止在国家湿地公园的岸线和河段范围内挖沙、采矿，以及任何不符合主体功能定位的投资建设项目。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6．禁止未经许可在长江</w:t>
                  </w:r>
                  <w:r>
                    <w:rPr>
                      <w:rFonts w:hint="eastAsia"/>
                      <w:color w:val="auto"/>
                      <w:sz w:val="21"/>
                      <w:szCs w:val="21"/>
                      <w:lang w:val="en-US" w:eastAsia="zh-CN"/>
                    </w:rPr>
                    <w:t>干支流</w:t>
                  </w:r>
                  <w:r>
                    <w:rPr>
                      <w:rFonts w:hint="default" w:ascii="Times New Roman" w:hAnsi="Times New Roman" w:eastAsia="宋体" w:cs="Times New Roman"/>
                      <w:color w:val="auto"/>
                      <w:sz w:val="21"/>
                      <w:szCs w:val="21"/>
                    </w:rPr>
                    <w:t>及湖泊新设、改设或扩大排污口。7．禁止在“一江一口两湖七河”和332个水生生物保护区开展生产性捕捞。8.禁止在长江</w:t>
                  </w:r>
                  <w:r>
                    <w:rPr>
                      <w:rFonts w:hint="eastAsia"/>
                      <w:color w:val="auto"/>
                      <w:sz w:val="21"/>
                      <w:szCs w:val="21"/>
                      <w:lang w:val="en-US" w:eastAsia="zh-CN"/>
                    </w:rPr>
                    <w:t>干</w:t>
                  </w:r>
                  <w:r>
                    <w:rPr>
                      <w:rFonts w:hint="default" w:ascii="Times New Roman" w:hAnsi="Times New Roman" w:eastAsia="宋体" w:cs="Times New Roman"/>
                      <w:color w:val="auto"/>
                      <w:sz w:val="21"/>
                      <w:szCs w:val="21"/>
                    </w:rPr>
                    <w:t>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9.禁止在合规园区外新建、扩建钢铁、石化、化工、焦化、建材、有色、制浆造纸等高污染项目。10.禁止新建、扩建不符合国家石化、现代煤化工等产业布局规划的项目。11.禁止新建、扩建法律法规和相关政策明令禁止的落后产能项目。禁止新建、扩建不符合国家产能置换要求的严重过剩产能行业的项目。禁止新建、扩建不符合要求的高耗能高排放项目。12，法律法规及相关政策文件有更加严格规定的从其规定。</w:t>
                  </w:r>
                </w:p>
              </w:tc>
              <w:tc>
                <w:tcPr>
                  <w:tcW w:w="1554" w:type="pct"/>
                  <w:vAlign w:val="center"/>
                </w:tcPr>
                <w:p w14:paraId="0869B54A">
                  <w:pPr>
                    <w:autoSpaceDE w:val="0"/>
                    <w:autoSpaceDN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本项目不属于禁止建设项目。</w:t>
                  </w:r>
                </w:p>
              </w:tc>
              <w:tc>
                <w:tcPr>
                  <w:tcW w:w="328" w:type="pct"/>
                  <w:vAlign w:val="center"/>
                </w:tcPr>
                <w:p w14:paraId="793881A7">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365EB3CE">
            <w:pPr>
              <w:autoSpaceDE w:val="0"/>
              <w:autoSpaceDN w:val="0"/>
              <w:adjustRightInd w:val="0"/>
              <w:snapToGrid w:val="0"/>
              <w:rPr>
                <w:rFonts w:hint="default" w:ascii="Times New Roman" w:hAnsi="Times New Roman" w:eastAsia="宋体" w:cs="Times New Roman"/>
                <w:color w:val="auto"/>
                <w:kern w:val="0"/>
                <w:sz w:val="21"/>
                <w:szCs w:val="21"/>
              </w:rPr>
            </w:pPr>
          </w:p>
        </w:tc>
      </w:tr>
    </w:tbl>
    <w:p w14:paraId="050518E4">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0"/>
        <w:rPr>
          <w:rFonts w:hint="default" w:ascii="Times New Roman" w:hAnsi="Times New Roman" w:eastAsia="黑体" w:cs="Times New Roman"/>
          <w:color w:val="auto"/>
          <w:sz w:val="10"/>
          <w:szCs w:val="10"/>
        </w:rPr>
        <w:sectPr>
          <w:footerReference r:id="rId5" w:type="default"/>
          <w:pgSz w:w="11906" w:h="16838"/>
          <w:pgMar w:top="1417" w:right="1417" w:bottom="1417" w:left="1417"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4F412932">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rPr>
      </w:pPr>
      <w:bookmarkStart w:id="3" w:name="_Toc10921"/>
      <w:bookmarkStart w:id="4" w:name="_Toc19526"/>
      <w:r>
        <w:rPr>
          <w:rFonts w:hint="default" w:ascii="Times New Roman" w:hAnsi="Times New Roman" w:eastAsia="黑体" w:cs="Times New Roman"/>
          <w:snapToGrid w:val="0"/>
          <w:color w:val="auto"/>
          <w:sz w:val="30"/>
          <w:szCs w:val="30"/>
        </w:rPr>
        <w:t>二、建设项目工程分析</w:t>
      </w:r>
      <w:bookmarkEnd w:id="3"/>
      <w:bookmarkEnd w:id="4"/>
    </w:p>
    <w:tbl>
      <w:tblPr>
        <w:tblStyle w:val="31"/>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6"/>
        <w:gridCol w:w="8872"/>
      </w:tblGrid>
      <w:tr w14:paraId="6CCFF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1" w:hRule="atLeast"/>
        </w:trPr>
        <w:tc>
          <w:tcPr>
            <w:tcW w:w="777" w:type="dxa"/>
            <w:vAlign w:val="center"/>
          </w:tcPr>
          <w:p w14:paraId="36BF7930">
            <w:pPr>
              <w:pStyle w:val="25"/>
              <w:adjustRightInd w:val="0"/>
              <w:snapToGrid w:val="0"/>
              <w:spacing w:before="0" w:beforeAutospacing="0" w:after="0" w:afterAutospacing="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建设内容</w:t>
            </w:r>
          </w:p>
        </w:tc>
        <w:tc>
          <w:tcPr>
            <w:tcW w:w="8283" w:type="dxa"/>
          </w:tcPr>
          <w:p w14:paraId="02B3D975">
            <w:pPr>
              <w:snapToGrid w:val="0"/>
              <w:spacing w:line="500" w:lineRule="exact"/>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1、项目由来</w:t>
            </w:r>
          </w:p>
          <w:p w14:paraId="0D9E1C7E">
            <w:pPr>
              <w:widowControl/>
              <w:spacing w:line="500" w:lineRule="exact"/>
              <w:ind w:firstLine="420" w:firstLineChars="200"/>
              <w:rPr>
                <w:rFonts w:hint="default" w:ascii="Times New Roman" w:hAnsi="Times New Roman" w:cs="Times New Roman" w:eastAsiaTheme="minorEastAsia"/>
                <w:color w:val="auto"/>
                <w:sz w:val="21"/>
                <w:szCs w:val="21"/>
                <w:highlight w:val="none"/>
                <w:lang w:val="en-US" w:eastAsia="zh-CN"/>
              </w:rPr>
            </w:pPr>
            <w:bookmarkStart w:id="23" w:name="_GoBack"/>
            <w:r>
              <w:rPr>
                <w:rFonts w:hint="eastAsia" w:ascii="Times New Roman" w:hAnsi="Times New Roman" w:cs="Times New Roman" w:eastAsiaTheme="minorEastAsia"/>
                <w:color w:val="auto"/>
                <w:sz w:val="21"/>
                <w:szCs w:val="21"/>
                <w:highlight w:val="none"/>
                <w:lang w:val="en-US" w:eastAsia="zh-CN"/>
              </w:rPr>
              <w:t>常州安圣印务有限公司</w:t>
            </w:r>
            <w:bookmarkEnd w:id="23"/>
            <w:r>
              <w:rPr>
                <w:rFonts w:hint="default" w:ascii="Times New Roman" w:hAnsi="Times New Roman" w:cs="Times New Roman" w:eastAsiaTheme="minorEastAsia"/>
                <w:color w:val="auto"/>
                <w:sz w:val="21"/>
                <w:szCs w:val="21"/>
                <w:highlight w:val="none"/>
                <w:lang w:val="en-US" w:eastAsia="zh-CN"/>
              </w:rPr>
              <w:t>（以下简称“</w:t>
            </w:r>
            <w:r>
              <w:rPr>
                <w:rFonts w:hint="eastAsia" w:ascii="Times New Roman" w:hAnsi="Times New Roman" w:cs="Times New Roman" w:eastAsiaTheme="minorEastAsia"/>
                <w:color w:val="auto"/>
                <w:sz w:val="21"/>
                <w:szCs w:val="21"/>
                <w:highlight w:val="none"/>
                <w:lang w:val="en-US" w:eastAsia="zh-CN"/>
              </w:rPr>
              <w:t>安圣印务</w:t>
            </w:r>
            <w:r>
              <w:rPr>
                <w:rFonts w:hint="default" w:ascii="Times New Roman" w:hAnsi="Times New Roman" w:cs="Times New Roman" w:eastAsiaTheme="minorEastAsia"/>
                <w:color w:val="auto"/>
                <w:sz w:val="21"/>
                <w:szCs w:val="21"/>
                <w:highlight w:val="none"/>
                <w:lang w:val="en-US" w:eastAsia="zh-CN"/>
              </w:rPr>
              <w:t>”）成立于</w:t>
            </w:r>
            <w:r>
              <w:rPr>
                <w:rFonts w:hint="eastAsia" w:ascii="Times New Roman" w:hAnsi="Times New Roman" w:cs="Times New Roman" w:eastAsiaTheme="minorEastAsia"/>
                <w:color w:val="auto"/>
                <w:sz w:val="21"/>
                <w:szCs w:val="21"/>
                <w:highlight w:val="none"/>
                <w:lang w:val="en-US" w:eastAsia="zh-CN"/>
              </w:rPr>
              <w:t>2021</w:t>
            </w:r>
            <w:r>
              <w:rPr>
                <w:rFonts w:hint="default" w:ascii="Times New Roman" w:hAnsi="Times New Roman" w:cs="Times New Roman" w:eastAsiaTheme="minorEastAsia"/>
                <w:color w:val="auto"/>
                <w:sz w:val="21"/>
                <w:szCs w:val="21"/>
                <w:highlight w:val="none"/>
                <w:lang w:val="en-US" w:eastAsia="zh-CN"/>
              </w:rPr>
              <w:t>年</w:t>
            </w:r>
            <w:r>
              <w:rPr>
                <w:rFonts w:hint="eastAsia" w:ascii="Times New Roman" w:hAnsi="Times New Roman" w:cs="Times New Roman" w:eastAsiaTheme="minorEastAsia"/>
                <w:color w:val="auto"/>
                <w:sz w:val="21"/>
                <w:szCs w:val="21"/>
                <w:highlight w:val="none"/>
                <w:lang w:val="en-US" w:eastAsia="zh-CN"/>
              </w:rPr>
              <w:t>12月</w:t>
            </w:r>
            <w:r>
              <w:rPr>
                <w:rFonts w:hint="default" w:ascii="Times New Roman" w:hAnsi="Times New Roman" w:cs="Times New Roman" w:eastAsiaTheme="minorEastAsia"/>
                <w:color w:val="auto"/>
                <w:sz w:val="21"/>
                <w:szCs w:val="21"/>
                <w:highlight w:val="none"/>
                <w:lang w:val="en-US" w:eastAsia="zh-CN"/>
              </w:rPr>
              <w:t>，</w:t>
            </w:r>
            <w:r>
              <w:rPr>
                <w:rFonts w:hint="eastAsia" w:ascii="Times New Roman" w:hAnsi="Times New Roman" w:cs="Times New Roman" w:eastAsiaTheme="minorEastAsia"/>
                <w:color w:val="auto"/>
                <w:sz w:val="21"/>
                <w:szCs w:val="21"/>
                <w:highlight w:val="none"/>
                <w:lang w:val="en-US" w:eastAsia="zh-CN"/>
              </w:rPr>
              <w:t>公司</w:t>
            </w:r>
            <w:r>
              <w:rPr>
                <w:rFonts w:hint="eastAsia" w:cs="Times New Roman" w:eastAsiaTheme="minorEastAsia"/>
                <w:color w:val="auto"/>
                <w:sz w:val="21"/>
                <w:szCs w:val="21"/>
                <w:highlight w:val="none"/>
                <w:lang w:val="en-US" w:eastAsia="zh-CN"/>
              </w:rPr>
              <w:t>注册地址</w:t>
            </w:r>
            <w:r>
              <w:rPr>
                <w:rFonts w:hint="eastAsia" w:ascii="Times New Roman" w:hAnsi="Times New Roman" w:cs="Times New Roman" w:eastAsiaTheme="minorEastAsia"/>
                <w:color w:val="auto"/>
                <w:sz w:val="21"/>
                <w:szCs w:val="21"/>
                <w:highlight w:val="none"/>
                <w:lang w:val="en-US" w:eastAsia="zh-CN"/>
              </w:rPr>
              <w:t>位于</w:t>
            </w:r>
            <w:r>
              <w:rPr>
                <w:rFonts w:hint="default" w:ascii="Times New Roman" w:hAnsi="Times New Roman" w:cs="Times New Roman" w:eastAsiaTheme="minorEastAsia"/>
                <w:color w:val="auto"/>
                <w:sz w:val="21"/>
                <w:szCs w:val="21"/>
                <w:highlight w:val="none"/>
                <w:lang w:val="en-US" w:eastAsia="zh-CN"/>
              </w:rPr>
              <w:t>常州市金坛区直溪镇西直里路28号</w:t>
            </w:r>
            <w:r>
              <w:rPr>
                <w:rFonts w:hint="eastAsia" w:ascii="Times New Roman" w:hAnsi="Times New Roman"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主要从事</w:t>
            </w:r>
            <w:r>
              <w:rPr>
                <w:rFonts w:hint="eastAsia" w:ascii="Times New Roman" w:hAnsi="Times New Roman" w:cs="Times New Roman" w:eastAsiaTheme="minorEastAsia"/>
                <w:color w:val="auto"/>
                <w:sz w:val="21"/>
                <w:szCs w:val="21"/>
                <w:highlight w:val="none"/>
                <w:lang w:val="en-US" w:eastAsia="zh-CN"/>
              </w:rPr>
              <w:t>塑料</w:t>
            </w:r>
            <w:r>
              <w:rPr>
                <w:rFonts w:hint="default" w:ascii="Times New Roman" w:hAnsi="Times New Roman" w:cs="Times New Roman" w:eastAsiaTheme="minorEastAsia"/>
                <w:color w:val="auto"/>
                <w:sz w:val="21"/>
                <w:szCs w:val="21"/>
                <w:highlight w:val="none"/>
                <w:lang w:val="en-US" w:eastAsia="zh-CN"/>
              </w:rPr>
              <w:t>包装</w:t>
            </w:r>
            <w:r>
              <w:rPr>
                <w:rFonts w:hint="eastAsia" w:ascii="Times New Roman" w:hAnsi="Times New Roman" w:cs="Times New Roman" w:eastAsiaTheme="minorEastAsia"/>
                <w:color w:val="auto"/>
                <w:sz w:val="21"/>
                <w:szCs w:val="21"/>
                <w:highlight w:val="none"/>
                <w:lang w:val="en-US" w:eastAsia="zh-CN"/>
              </w:rPr>
              <w:t>膜（袋）</w:t>
            </w:r>
            <w:r>
              <w:rPr>
                <w:rFonts w:hint="default" w:ascii="Times New Roman" w:hAnsi="Times New Roman" w:cs="Times New Roman" w:eastAsiaTheme="minorEastAsia"/>
                <w:color w:val="auto"/>
                <w:sz w:val="21"/>
                <w:szCs w:val="21"/>
                <w:highlight w:val="none"/>
                <w:lang w:val="en-US" w:eastAsia="zh-CN"/>
              </w:rPr>
              <w:t>的生产与销售。</w:t>
            </w:r>
          </w:p>
          <w:p w14:paraId="2391DAEF">
            <w:pPr>
              <w:widowControl/>
              <w:spacing w:line="500" w:lineRule="exact"/>
              <w:ind w:firstLine="420" w:firstLineChars="200"/>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建设单位于20</w:t>
            </w:r>
            <w:r>
              <w:rPr>
                <w:rFonts w:hint="eastAsia" w:ascii="Times New Roman" w:hAnsi="Times New Roman" w:cs="Times New Roman" w:eastAsiaTheme="minorEastAsia"/>
                <w:color w:val="auto"/>
                <w:sz w:val="21"/>
                <w:szCs w:val="21"/>
                <w:highlight w:val="none"/>
                <w:lang w:val="en-US" w:eastAsia="zh-CN"/>
              </w:rPr>
              <w:t>22</w:t>
            </w:r>
            <w:r>
              <w:rPr>
                <w:rFonts w:hint="default" w:ascii="Times New Roman" w:hAnsi="Times New Roman" w:cs="Times New Roman" w:eastAsiaTheme="minorEastAsia"/>
                <w:color w:val="auto"/>
                <w:sz w:val="21"/>
                <w:szCs w:val="21"/>
                <w:highlight w:val="none"/>
                <w:lang w:val="en-US" w:eastAsia="zh-CN"/>
              </w:rPr>
              <w:t>年6月委托编制了《软包装彩印项目环境影响报告表》，并于2022年8月25日取得《常州市生态环境局关于&lt;常州安圣印务有限公司软包装彩印项目建设项目环境影响报告表&gt;的批复》（常州市生态环境局，常金环审〔2022〕59号），该项目</w:t>
            </w:r>
            <w:r>
              <w:rPr>
                <w:rFonts w:hint="eastAsia" w:ascii="Times New Roman" w:hAnsi="Times New Roman" w:cs="Times New Roman" w:eastAsiaTheme="minorEastAsia"/>
                <w:color w:val="auto"/>
                <w:sz w:val="21"/>
                <w:szCs w:val="21"/>
                <w:highlight w:val="none"/>
                <w:lang w:val="en-US" w:eastAsia="zh-CN"/>
              </w:rPr>
              <w:t>已于2023年</w:t>
            </w:r>
            <w:r>
              <w:rPr>
                <w:rFonts w:hint="eastAsia" w:cs="Times New Roman" w:eastAsiaTheme="minorEastAsia"/>
                <w:color w:val="auto"/>
                <w:sz w:val="21"/>
                <w:szCs w:val="21"/>
                <w:highlight w:val="none"/>
                <w:lang w:val="en-US" w:eastAsia="zh-CN"/>
              </w:rPr>
              <w:t>4</w:t>
            </w:r>
            <w:r>
              <w:rPr>
                <w:rFonts w:hint="eastAsia" w:ascii="Times New Roman" w:hAnsi="Times New Roman" w:cs="Times New Roman" w:eastAsiaTheme="minorEastAsia"/>
                <w:color w:val="auto"/>
                <w:sz w:val="21"/>
                <w:szCs w:val="21"/>
                <w:highlight w:val="none"/>
                <w:lang w:val="en-US" w:eastAsia="zh-CN"/>
              </w:rPr>
              <w:t>月</w:t>
            </w:r>
            <w:r>
              <w:rPr>
                <w:rFonts w:hint="eastAsia" w:cs="Times New Roman" w:eastAsiaTheme="minorEastAsia"/>
                <w:color w:val="auto"/>
                <w:sz w:val="21"/>
                <w:szCs w:val="21"/>
                <w:highlight w:val="none"/>
                <w:lang w:val="en-US" w:eastAsia="zh-CN"/>
              </w:rPr>
              <w:t>8日</w:t>
            </w:r>
            <w:r>
              <w:rPr>
                <w:rFonts w:hint="eastAsia" w:ascii="Times New Roman" w:hAnsi="Times New Roman" w:cs="Times New Roman" w:eastAsiaTheme="minorEastAsia"/>
                <w:color w:val="auto"/>
                <w:sz w:val="21"/>
                <w:szCs w:val="21"/>
                <w:highlight w:val="none"/>
                <w:lang w:val="en-US" w:eastAsia="zh-CN"/>
              </w:rPr>
              <w:t>通过“三同时”自主验收（部分验收，验收产能为</w:t>
            </w:r>
            <w:r>
              <w:rPr>
                <w:rFonts w:hint="default" w:ascii="Times New Roman" w:hAnsi="Times New Roman" w:cs="Times New Roman" w:eastAsiaTheme="minorEastAsia"/>
                <w:color w:val="auto"/>
                <w:sz w:val="21"/>
                <w:szCs w:val="21"/>
                <w:highlight w:val="none"/>
                <w:lang w:val="en-US" w:eastAsia="zh-CN"/>
              </w:rPr>
              <w:t>年产1</w:t>
            </w:r>
            <w:r>
              <w:rPr>
                <w:rFonts w:hint="eastAsia" w:ascii="Times New Roman" w:hAnsi="Times New Roman" w:cs="Times New Roman" w:eastAsiaTheme="minorEastAsia"/>
                <w:color w:val="auto"/>
                <w:sz w:val="21"/>
                <w:szCs w:val="21"/>
                <w:highlight w:val="none"/>
                <w:lang w:val="en-US" w:eastAsia="zh-CN"/>
              </w:rPr>
              <w:t>20</w:t>
            </w:r>
            <w:r>
              <w:rPr>
                <w:rFonts w:hint="default" w:ascii="Times New Roman" w:hAnsi="Times New Roman" w:cs="Times New Roman" w:eastAsiaTheme="minorEastAsia"/>
                <w:color w:val="auto"/>
                <w:sz w:val="21"/>
                <w:szCs w:val="21"/>
                <w:highlight w:val="none"/>
                <w:lang w:val="en-US" w:eastAsia="zh-CN"/>
              </w:rPr>
              <w:t>吨塑料膜、年产1</w:t>
            </w:r>
            <w:r>
              <w:rPr>
                <w:rFonts w:hint="eastAsia" w:ascii="Times New Roman" w:hAnsi="Times New Roman" w:cs="Times New Roman" w:eastAsiaTheme="minorEastAsia"/>
                <w:color w:val="auto"/>
                <w:sz w:val="21"/>
                <w:szCs w:val="21"/>
                <w:highlight w:val="none"/>
                <w:lang w:val="en-US" w:eastAsia="zh-CN"/>
              </w:rPr>
              <w:t>8</w:t>
            </w:r>
            <w:r>
              <w:rPr>
                <w:rFonts w:hint="default" w:ascii="Times New Roman" w:hAnsi="Times New Roman" w:cs="Times New Roman" w:eastAsiaTheme="minorEastAsia"/>
                <w:color w:val="auto"/>
                <w:sz w:val="21"/>
                <w:szCs w:val="21"/>
                <w:highlight w:val="none"/>
                <w:lang w:val="en-US" w:eastAsia="zh-CN"/>
              </w:rPr>
              <w:t>0吨塑料包装袋</w:t>
            </w:r>
            <w:r>
              <w:rPr>
                <w:rFonts w:hint="eastAsia" w:ascii="Times New Roman" w:hAnsi="Times New Roman" w:cs="Times New Roman" w:eastAsiaTheme="minorEastAsia"/>
                <w:color w:val="auto"/>
                <w:sz w:val="21"/>
                <w:szCs w:val="21"/>
                <w:highlight w:val="none"/>
                <w:lang w:val="en-US" w:eastAsia="zh-CN"/>
              </w:rPr>
              <w:t>），剩余产能尚在建设中</w:t>
            </w:r>
            <w:r>
              <w:rPr>
                <w:rFonts w:hint="default" w:ascii="Times New Roman" w:hAnsi="Times New Roman" w:cs="Times New Roman" w:eastAsiaTheme="minorEastAsia"/>
                <w:color w:val="auto"/>
                <w:sz w:val="21"/>
                <w:szCs w:val="21"/>
                <w:highlight w:val="none"/>
                <w:lang w:val="en-US" w:eastAsia="zh-CN"/>
              </w:rPr>
              <w:t>。</w:t>
            </w:r>
          </w:p>
          <w:p w14:paraId="23A49057">
            <w:pPr>
              <w:widowControl/>
              <w:spacing w:line="500" w:lineRule="exact"/>
              <w:ind w:firstLine="420" w:firstLineChars="200"/>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由于企业发展需要，</w:t>
            </w:r>
            <w:r>
              <w:rPr>
                <w:rFonts w:hint="eastAsia" w:ascii="Times New Roman" w:hAnsi="Times New Roman" w:cs="Times New Roman" w:eastAsiaTheme="minorEastAsia"/>
                <w:color w:val="auto"/>
                <w:sz w:val="21"/>
                <w:szCs w:val="21"/>
                <w:highlight w:val="none"/>
                <w:lang w:val="en-US" w:eastAsia="zh-CN"/>
              </w:rPr>
              <w:t>安圣印务拟</w:t>
            </w:r>
            <w:r>
              <w:rPr>
                <w:rFonts w:hint="default" w:ascii="Times New Roman" w:hAnsi="Times New Roman" w:cs="Times New Roman" w:eastAsiaTheme="minorEastAsia"/>
                <w:color w:val="auto"/>
                <w:sz w:val="21"/>
                <w:szCs w:val="21"/>
                <w:highlight w:val="none"/>
                <w:lang w:val="en-US" w:eastAsia="zh-CN"/>
              </w:rPr>
              <w:t>投资</w:t>
            </w:r>
            <w:r>
              <w:rPr>
                <w:rFonts w:hint="eastAsia" w:cs="Times New Roman" w:eastAsiaTheme="minorEastAsia"/>
                <w:color w:val="auto"/>
                <w:sz w:val="21"/>
                <w:szCs w:val="21"/>
                <w:highlight w:val="none"/>
                <w:lang w:val="en-US" w:eastAsia="zh-CN"/>
              </w:rPr>
              <w:t>50</w:t>
            </w:r>
            <w:r>
              <w:rPr>
                <w:rFonts w:hint="default" w:ascii="Times New Roman" w:hAnsi="Times New Roman" w:cs="Times New Roman" w:eastAsiaTheme="minorEastAsia"/>
                <w:color w:val="auto"/>
                <w:sz w:val="21"/>
                <w:szCs w:val="21"/>
                <w:highlight w:val="none"/>
                <w:lang w:val="en-US" w:eastAsia="zh-CN"/>
              </w:rPr>
              <w:t>0万元，</w:t>
            </w:r>
            <w:r>
              <w:rPr>
                <w:rFonts w:hint="eastAsia" w:ascii="Times New Roman" w:hAnsi="Times New Roman" w:cs="Times New Roman" w:eastAsiaTheme="minorEastAsia"/>
                <w:color w:val="auto"/>
                <w:sz w:val="21"/>
                <w:szCs w:val="21"/>
                <w:highlight w:val="none"/>
                <w:lang w:val="en-US" w:eastAsia="zh-CN"/>
              </w:rPr>
              <w:t>租用</w:t>
            </w:r>
            <w:r>
              <w:rPr>
                <w:rFonts w:hint="eastAsia" w:cs="Times New Roman" w:eastAsiaTheme="minorEastAsia"/>
                <w:color w:val="auto"/>
                <w:sz w:val="21"/>
                <w:szCs w:val="21"/>
                <w:highlight w:val="none"/>
                <w:lang w:val="en-US" w:eastAsia="zh-CN"/>
              </w:rPr>
              <w:t>江苏茂泰管业科技有限公司</w:t>
            </w:r>
            <w:r>
              <w:rPr>
                <w:rFonts w:hint="eastAsia" w:ascii="Times New Roman" w:hAnsi="Times New Roman" w:cs="Times New Roman" w:eastAsiaTheme="minorEastAsia"/>
                <w:color w:val="auto"/>
                <w:sz w:val="21"/>
                <w:szCs w:val="21"/>
                <w:highlight w:val="none"/>
                <w:lang w:val="en-US" w:eastAsia="zh-CN"/>
              </w:rPr>
              <w:t>位于</w:t>
            </w:r>
            <w:r>
              <w:rPr>
                <w:rFonts w:hint="eastAsia" w:cs="Times New Roman" w:eastAsiaTheme="minorEastAsia"/>
                <w:color w:val="auto"/>
                <w:sz w:val="21"/>
                <w:szCs w:val="21"/>
                <w:highlight w:val="none"/>
                <w:lang w:val="en-US" w:eastAsia="zh-CN"/>
              </w:rPr>
              <w:t>常州市金坛区朱林镇创业路101号的厂房</w:t>
            </w:r>
            <w:r>
              <w:rPr>
                <w:rFonts w:hint="eastAsia" w:cs="Times New Roman"/>
                <w:color w:val="auto"/>
                <w:sz w:val="21"/>
                <w:szCs w:val="21"/>
                <w:lang w:val="en-US" w:eastAsia="zh-CN"/>
              </w:rPr>
              <w:t>2181.44</w:t>
            </w:r>
            <w:r>
              <w:rPr>
                <w:rFonts w:hint="eastAsia" w:cs="Times New Roman" w:eastAsiaTheme="minorEastAsia"/>
                <w:color w:val="auto"/>
                <w:sz w:val="21"/>
                <w:szCs w:val="21"/>
                <w:highlight w:val="none"/>
                <w:lang w:val="en-US" w:eastAsia="zh-CN"/>
              </w:rPr>
              <w:t>平方米</w:t>
            </w:r>
            <w:r>
              <w:rPr>
                <w:rFonts w:hint="default" w:ascii="Times New Roman" w:hAnsi="Times New Roman" w:cs="Times New Roman" w:eastAsiaTheme="minorEastAsia"/>
                <w:color w:val="auto"/>
                <w:sz w:val="21"/>
                <w:szCs w:val="21"/>
                <w:highlight w:val="none"/>
                <w:lang w:val="en-US" w:eastAsia="zh-CN"/>
              </w:rPr>
              <w:t>，</w:t>
            </w:r>
            <w:r>
              <w:rPr>
                <w:rFonts w:hint="eastAsia" w:cs="Times New Roman" w:eastAsiaTheme="minorEastAsia"/>
                <w:color w:val="auto"/>
                <w:sz w:val="21"/>
                <w:szCs w:val="21"/>
                <w:highlight w:val="none"/>
                <w:lang w:val="en-US" w:eastAsia="zh-CN"/>
              </w:rPr>
              <w:t>新建年产复合膜300吨、复合包装袋(厚度大于0.025毫米)200吨项目</w:t>
            </w:r>
            <w:r>
              <w:rPr>
                <w:rFonts w:hint="default" w:ascii="Times New Roman" w:hAnsi="Times New Roman" w:cs="Times New Roman" w:eastAsiaTheme="minorEastAsia"/>
                <w:color w:val="auto"/>
                <w:sz w:val="21"/>
                <w:szCs w:val="21"/>
                <w:highlight w:val="none"/>
                <w:lang w:val="en-US" w:eastAsia="zh-CN"/>
              </w:rPr>
              <w:t>。项目</w:t>
            </w:r>
            <w:r>
              <w:rPr>
                <w:rFonts w:hint="eastAsia" w:cs="Times New Roman" w:eastAsiaTheme="minorEastAsia"/>
                <w:color w:val="auto"/>
                <w:sz w:val="21"/>
                <w:szCs w:val="21"/>
                <w:highlight w:val="none"/>
                <w:lang w:val="en-US" w:eastAsia="zh-CN"/>
              </w:rPr>
              <w:t>利用原有的复合机、分切机等设备，同时新增印刷机</w:t>
            </w:r>
            <w:r>
              <w:rPr>
                <w:rFonts w:hint="default" w:ascii="Times New Roman" w:hAnsi="Times New Roman" w:cs="Times New Roman" w:eastAsiaTheme="minorEastAsia"/>
                <w:color w:val="auto"/>
                <w:sz w:val="21"/>
                <w:szCs w:val="21"/>
                <w:highlight w:val="none"/>
                <w:lang w:val="en-US" w:eastAsia="zh-CN"/>
              </w:rPr>
              <w:t>、</w:t>
            </w:r>
            <w:r>
              <w:rPr>
                <w:rFonts w:hint="eastAsia" w:cs="Times New Roman" w:eastAsiaTheme="minorEastAsia"/>
                <w:color w:val="auto"/>
                <w:sz w:val="21"/>
                <w:szCs w:val="21"/>
                <w:highlight w:val="none"/>
                <w:lang w:val="en-US" w:eastAsia="zh-CN"/>
              </w:rPr>
              <w:t>制袋机等设备（淘汰原有的老式印刷机、制袋机）</w:t>
            </w:r>
            <w:r>
              <w:rPr>
                <w:rFonts w:hint="default" w:ascii="Times New Roman" w:hAnsi="Times New Roman" w:cs="Times New Roman" w:eastAsiaTheme="minorEastAsia"/>
                <w:color w:val="auto"/>
                <w:sz w:val="21"/>
                <w:szCs w:val="21"/>
                <w:highlight w:val="none"/>
                <w:lang w:val="en-US" w:eastAsia="zh-CN"/>
              </w:rPr>
              <w:t>，建成后可形成年产</w:t>
            </w:r>
            <w:r>
              <w:rPr>
                <w:rFonts w:hint="eastAsia" w:cs="Times New Roman" w:eastAsiaTheme="minorEastAsia"/>
                <w:color w:val="auto"/>
                <w:sz w:val="21"/>
                <w:szCs w:val="21"/>
                <w:highlight w:val="none"/>
                <w:lang w:val="en-US" w:eastAsia="zh-CN"/>
              </w:rPr>
              <w:t>复合膜300吨、复合包装袋200吨</w:t>
            </w:r>
            <w:r>
              <w:rPr>
                <w:rFonts w:hint="default" w:ascii="Times New Roman" w:hAnsi="Times New Roman" w:cs="Times New Roman" w:eastAsiaTheme="minorEastAsia"/>
                <w:color w:val="auto"/>
                <w:sz w:val="21"/>
                <w:szCs w:val="21"/>
                <w:highlight w:val="none"/>
                <w:lang w:val="en-US" w:eastAsia="zh-CN"/>
              </w:rPr>
              <w:t>的生产规模。</w:t>
            </w:r>
          </w:p>
          <w:p w14:paraId="199E6566">
            <w:pPr>
              <w:widowControl/>
              <w:spacing w:line="500" w:lineRule="exact"/>
              <w:ind w:firstLine="420" w:firstLineChars="200"/>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本项目已于202</w:t>
            </w:r>
            <w:r>
              <w:rPr>
                <w:rFonts w:hint="eastAsia" w:cs="Times New Roman" w:eastAsiaTheme="minorEastAsia"/>
                <w:color w:val="auto"/>
                <w:sz w:val="21"/>
                <w:szCs w:val="21"/>
                <w:highlight w:val="none"/>
                <w:lang w:val="en-US" w:eastAsia="zh-CN"/>
              </w:rPr>
              <w:t>6</w:t>
            </w:r>
            <w:r>
              <w:rPr>
                <w:rFonts w:hint="default" w:ascii="Times New Roman" w:hAnsi="Times New Roman" w:cs="Times New Roman" w:eastAsiaTheme="minorEastAsia"/>
                <w:color w:val="auto"/>
                <w:sz w:val="21"/>
                <w:szCs w:val="21"/>
                <w:highlight w:val="none"/>
                <w:lang w:val="en-US" w:eastAsia="zh-CN"/>
              </w:rPr>
              <w:t>年</w:t>
            </w:r>
            <w:r>
              <w:rPr>
                <w:rFonts w:hint="eastAsia" w:cs="Times New Roman" w:eastAsiaTheme="minorEastAsia"/>
                <w:color w:val="auto"/>
                <w:sz w:val="21"/>
                <w:szCs w:val="21"/>
                <w:highlight w:val="none"/>
                <w:lang w:val="en-US" w:eastAsia="zh-CN"/>
              </w:rPr>
              <w:t>2</w:t>
            </w:r>
            <w:r>
              <w:rPr>
                <w:rFonts w:hint="default" w:ascii="Times New Roman" w:hAnsi="Times New Roman" w:cs="Times New Roman" w:eastAsiaTheme="minorEastAsia"/>
                <w:color w:val="auto"/>
                <w:sz w:val="21"/>
                <w:szCs w:val="21"/>
                <w:highlight w:val="none"/>
                <w:lang w:val="en-US" w:eastAsia="zh-CN"/>
              </w:rPr>
              <w:t>月</w:t>
            </w:r>
            <w:r>
              <w:rPr>
                <w:rFonts w:hint="eastAsia" w:cs="Times New Roman" w:eastAsiaTheme="minorEastAsia"/>
                <w:color w:val="auto"/>
                <w:sz w:val="21"/>
                <w:szCs w:val="21"/>
                <w:highlight w:val="none"/>
                <w:lang w:val="en-US" w:eastAsia="zh-CN"/>
              </w:rPr>
              <w:t>4</w:t>
            </w:r>
            <w:r>
              <w:rPr>
                <w:rFonts w:hint="default" w:ascii="Times New Roman" w:hAnsi="Times New Roman" w:cs="Times New Roman" w:eastAsiaTheme="minorEastAsia"/>
                <w:color w:val="auto"/>
                <w:sz w:val="21"/>
                <w:szCs w:val="21"/>
                <w:highlight w:val="none"/>
                <w:lang w:val="en-US" w:eastAsia="zh-CN"/>
              </w:rPr>
              <w:t>日取得常州市金坛区发展和改革局的项目备案证明，备案证号：</w:t>
            </w:r>
            <w:r>
              <w:rPr>
                <w:rFonts w:hint="eastAsia" w:cs="Times New Roman" w:eastAsiaTheme="minorEastAsia"/>
                <w:color w:val="auto"/>
                <w:sz w:val="21"/>
                <w:szCs w:val="21"/>
                <w:highlight w:val="none"/>
                <w:lang w:val="en-US" w:eastAsia="zh-CN"/>
              </w:rPr>
              <w:t>坛发改备〔2026〕126号</w:t>
            </w:r>
            <w:r>
              <w:rPr>
                <w:rFonts w:hint="default" w:ascii="Times New Roman" w:hAnsi="Times New Roman" w:cs="Times New Roman" w:eastAsiaTheme="minorEastAsia"/>
                <w:color w:val="auto"/>
                <w:sz w:val="21"/>
                <w:szCs w:val="21"/>
                <w:highlight w:val="none"/>
                <w:lang w:val="en-US" w:eastAsia="zh-CN"/>
              </w:rPr>
              <w:t>。</w:t>
            </w:r>
          </w:p>
          <w:p w14:paraId="20E37B8F">
            <w:pPr>
              <w:widowControl/>
              <w:spacing w:line="500" w:lineRule="exact"/>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highlight w:val="none"/>
                <w:lang w:val="en-US" w:eastAsia="zh-CN"/>
              </w:rPr>
              <w:t>根据《中华人民共和国环境保护法》（</w:t>
            </w:r>
            <w:r>
              <w:rPr>
                <w:rFonts w:hint="default" w:ascii="Times New Roman" w:hAnsi="Times New Roman" w:cs="Times New Roman" w:eastAsiaTheme="minorEastAsia"/>
                <w:color w:val="auto"/>
                <w:sz w:val="21"/>
                <w:szCs w:val="21"/>
                <w:lang w:eastAsia="zh-CN"/>
              </w:rPr>
              <w:t>2014年修订）、《中华人民共和国环境影响评价法》（2018年修订）和《建设项目环境影响评价分类管理名录》（2021年）的有关规定，本项目应进行环境影响评价。本项目</w:t>
            </w:r>
            <w:r>
              <w:rPr>
                <w:rFonts w:hint="eastAsia" w:ascii="Times New Roman" w:hAnsi="Times New Roman" w:cs="Times New Roman" w:eastAsiaTheme="minorEastAsia"/>
                <w:color w:val="auto"/>
                <w:sz w:val="21"/>
                <w:szCs w:val="21"/>
                <w:lang w:val="en-US" w:eastAsia="zh-CN"/>
              </w:rPr>
              <w:t>属于</w:t>
            </w:r>
            <w:r>
              <w:rPr>
                <w:rFonts w:hint="eastAsia" w:ascii="Times New Roman" w:hAnsi="Times New Roman" w:eastAsia="宋体" w:cs="Times New Roman"/>
                <w:color w:val="auto"/>
                <w:kern w:val="2"/>
                <w:sz w:val="21"/>
                <w:szCs w:val="21"/>
                <w:lang w:val="en-US" w:eastAsia="zh-CN" w:bidi="ar-SA"/>
              </w:rPr>
              <w:t>C2921塑料薄膜制造</w:t>
            </w:r>
            <w:r>
              <w:rPr>
                <w:rFonts w:hint="eastAsia" w:cs="Times New Roman"/>
                <w:color w:val="auto"/>
                <w:kern w:val="2"/>
                <w:sz w:val="21"/>
                <w:szCs w:val="21"/>
                <w:lang w:val="en-US" w:eastAsia="zh-CN" w:bidi="ar-SA"/>
              </w:rPr>
              <w:t>和</w:t>
            </w:r>
            <w:r>
              <w:rPr>
                <w:rFonts w:hint="eastAsia" w:cs="Times New Roman" w:eastAsiaTheme="minorEastAsia"/>
                <w:color w:val="auto"/>
                <w:sz w:val="21"/>
                <w:szCs w:val="21"/>
                <w:lang w:val="en-US" w:eastAsia="zh-CN"/>
              </w:rPr>
              <w:t>C2923塑料丝、绳及编织品</w:t>
            </w:r>
            <w:r>
              <w:rPr>
                <w:rFonts w:hint="eastAsia" w:ascii="Times New Roman" w:hAnsi="Times New Roman" w:cs="Times New Roman" w:eastAsiaTheme="minorEastAsia"/>
                <w:color w:val="auto"/>
                <w:sz w:val="21"/>
                <w:szCs w:val="21"/>
                <w:lang w:val="en-US" w:eastAsia="zh-CN"/>
              </w:rPr>
              <w:t>制造。对照</w:t>
            </w:r>
            <w:r>
              <w:rPr>
                <w:rFonts w:hint="default" w:ascii="Times New Roman" w:hAnsi="Times New Roman" w:cs="Times New Roman" w:eastAsiaTheme="minorEastAsia"/>
                <w:color w:val="auto"/>
                <w:sz w:val="21"/>
                <w:szCs w:val="21"/>
                <w:lang w:eastAsia="zh-CN"/>
              </w:rPr>
              <w:t>《建设项目环境影响评价分类管理名录》（2021年）</w:t>
            </w:r>
            <w:r>
              <w:rPr>
                <w:rFonts w:hint="eastAsia" w:ascii="Times New Roman" w:hAnsi="Times New Roman" w:cs="Times New Roman" w:eastAsiaTheme="minorEastAsia"/>
                <w:color w:val="auto"/>
                <w:sz w:val="21"/>
                <w:szCs w:val="21"/>
                <w:lang w:val="en-US" w:eastAsia="zh-CN"/>
              </w:rPr>
              <w:t xml:space="preserve"> ，</w:t>
            </w:r>
            <w:r>
              <w:rPr>
                <w:rFonts w:hint="default" w:ascii="Times New Roman" w:hAnsi="Times New Roman" w:cs="Times New Roman" w:eastAsiaTheme="minorEastAsia"/>
                <w:color w:val="auto"/>
                <w:sz w:val="21"/>
                <w:szCs w:val="21"/>
                <w:lang w:eastAsia="zh-CN"/>
              </w:rPr>
              <w:t>属于</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eastAsia="zh-CN"/>
              </w:rPr>
              <w:t>二十六</w:t>
            </w:r>
            <w:r>
              <w:rPr>
                <w:rFonts w:hint="default" w:ascii="Times New Roman" w:hAnsi="Times New Roman" w:cs="Times New Roman" w:eastAsiaTheme="minorEastAsia"/>
                <w:color w:val="auto"/>
                <w:sz w:val="21"/>
                <w:szCs w:val="21"/>
                <w:lang w:eastAsia="zh-CN"/>
              </w:rPr>
              <w:t>、</w:t>
            </w:r>
            <w:r>
              <w:rPr>
                <w:rFonts w:hint="eastAsia" w:ascii="Times New Roman" w:hAnsi="Times New Roman" w:cs="Times New Roman" w:eastAsiaTheme="minorEastAsia"/>
                <w:color w:val="auto"/>
                <w:sz w:val="21"/>
                <w:szCs w:val="21"/>
                <w:lang w:eastAsia="zh-CN"/>
              </w:rPr>
              <w:t>橡胶和塑料制品业</w:t>
            </w:r>
            <w:r>
              <w:rPr>
                <w:rFonts w:hint="default" w:ascii="Times New Roman" w:hAnsi="Times New Roman" w:cs="Times New Roman" w:eastAsiaTheme="minorEastAsia"/>
                <w:color w:val="auto"/>
                <w:sz w:val="21"/>
                <w:szCs w:val="21"/>
                <w:lang w:eastAsia="zh-CN"/>
              </w:rPr>
              <w:t>-</w:t>
            </w:r>
            <w:r>
              <w:rPr>
                <w:rFonts w:hint="eastAsia" w:ascii="Times New Roman" w:hAnsi="Times New Roman" w:cs="Times New Roman" w:eastAsiaTheme="minorEastAsia"/>
                <w:color w:val="auto"/>
                <w:sz w:val="21"/>
                <w:szCs w:val="21"/>
                <w:lang w:eastAsia="zh-CN"/>
              </w:rPr>
              <w:t>53</w:t>
            </w:r>
            <w:r>
              <w:rPr>
                <w:rFonts w:hint="default" w:ascii="Times New Roman" w:hAnsi="Times New Roman" w:cs="Times New Roman" w:eastAsiaTheme="minorEastAsia"/>
                <w:color w:val="auto"/>
                <w:sz w:val="21"/>
                <w:szCs w:val="21"/>
                <w:lang w:eastAsia="zh-CN"/>
              </w:rPr>
              <w:t>-</w:t>
            </w:r>
            <w:r>
              <w:rPr>
                <w:rFonts w:hint="eastAsia" w:ascii="Times New Roman" w:hAnsi="Times New Roman" w:cs="Times New Roman" w:eastAsiaTheme="minorEastAsia"/>
                <w:color w:val="auto"/>
                <w:sz w:val="21"/>
                <w:szCs w:val="21"/>
                <w:lang w:eastAsia="zh-CN"/>
              </w:rPr>
              <w:t>塑料制品业</w:t>
            </w:r>
            <w:r>
              <w:rPr>
                <w:rFonts w:hint="default" w:ascii="Times New Roman" w:hAnsi="Times New Roman"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lang w:eastAsia="zh-CN"/>
              </w:rPr>
              <w:t>其他</w:t>
            </w:r>
            <w:r>
              <w:rPr>
                <w:rFonts w:hint="eastAsia" w:ascii="Times New Roman" w:hAnsi="Times New Roman" w:cs="Times New Roman" w:eastAsiaTheme="minorEastAsia"/>
                <w:color w:val="auto"/>
                <w:sz w:val="21"/>
                <w:szCs w:val="21"/>
                <w:lang w:eastAsia="zh-CN"/>
              </w:rPr>
              <w:t>（年用非溶剂型低VOCs含量涂料10吨以下的除外）</w:t>
            </w:r>
            <w:r>
              <w:rPr>
                <w:rFonts w:hint="default" w:ascii="Times New Roman" w:hAnsi="Times New Roman"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lang w:eastAsia="zh-CN"/>
              </w:rPr>
              <w:t>类别，应编制环境影响评价报告表。</w:t>
            </w:r>
            <w:r>
              <w:rPr>
                <w:rFonts w:hint="eastAsia" w:ascii="Times New Roman" w:hAnsi="Times New Roman" w:cs="Times New Roman" w:eastAsiaTheme="minorEastAsia"/>
                <w:color w:val="auto"/>
                <w:sz w:val="21"/>
                <w:szCs w:val="21"/>
                <w:lang w:eastAsia="zh-CN"/>
              </w:rPr>
              <w:t>常州安圣印务有限公司</w:t>
            </w:r>
            <w:r>
              <w:rPr>
                <w:rFonts w:hint="default" w:ascii="Times New Roman" w:hAnsi="Times New Roman" w:cs="Times New Roman" w:eastAsiaTheme="minorEastAsia"/>
                <w:color w:val="auto"/>
                <w:sz w:val="21"/>
                <w:szCs w:val="21"/>
                <w:lang w:eastAsia="zh-CN"/>
              </w:rPr>
              <w:t>委托专业环评单位承担该项目的环境影响评价工作。环评单位在现场踏勘、调查的基础上，通过对有关资料的收集、整理和分析计算，编制完成了该项目的</w:t>
            </w:r>
            <w:r>
              <w:rPr>
                <w:rFonts w:hint="default" w:ascii="Times New Roman" w:hAnsi="Times New Roman" w:cs="Times New Roman" w:eastAsiaTheme="minorEastAsia"/>
                <w:color w:val="auto"/>
                <w:sz w:val="21"/>
                <w:szCs w:val="21"/>
              </w:rPr>
              <w:t>环境影响报告表，报请审批。</w:t>
            </w:r>
          </w:p>
          <w:p w14:paraId="4065D2BB">
            <w:pPr>
              <w:autoSpaceDE w:val="0"/>
              <w:autoSpaceDN w:val="0"/>
              <w:adjustRightInd w:val="0"/>
              <w:snapToGrid w:val="0"/>
              <w:spacing w:line="500" w:lineRule="exact"/>
              <w:jc w:val="left"/>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lang w:val="en-US" w:eastAsia="zh-CN"/>
              </w:rPr>
              <w:t>2</w:t>
            </w:r>
            <w:r>
              <w:rPr>
                <w:rFonts w:hint="default" w:ascii="Times New Roman" w:hAnsi="Times New Roman" w:cs="Times New Roman" w:eastAsiaTheme="minorEastAsia"/>
                <w:b/>
                <w:bCs/>
                <w:color w:val="auto"/>
                <w:kern w:val="0"/>
                <w:sz w:val="21"/>
                <w:szCs w:val="21"/>
              </w:rPr>
              <w:t>、产品方案</w:t>
            </w:r>
          </w:p>
          <w:p w14:paraId="6679ADB5">
            <w:pPr>
              <w:autoSpaceDE w:val="0"/>
              <w:autoSpaceDN w:val="0"/>
              <w:adjustRightInd w:val="0"/>
              <w:snapToGrid w:val="0"/>
              <w:spacing w:line="500" w:lineRule="exact"/>
              <w:ind w:firstLine="420" w:firstLineChars="200"/>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本项目建成后，产品方案见</w:t>
            </w:r>
            <w:r>
              <w:rPr>
                <w:rFonts w:hint="default" w:ascii="Times New Roman" w:hAnsi="Times New Roman" w:cs="Times New Roman" w:eastAsiaTheme="minorEastAsia"/>
                <w:color w:val="auto"/>
                <w:kern w:val="0"/>
                <w:sz w:val="21"/>
                <w:szCs w:val="21"/>
                <w:lang w:val="en-US" w:eastAsia="zh-CN"/>
              </w:rPr>
              <w:t>下</w:t>
            </w:r>
            <w:r>
              <w:rPr>
                <w:rFonts w:hint="default" w:ascii="Times New Roman" w:hAnsi="Times New Roman" w:cs="Times New Roman" w:eastAsiaTheme="minorEastAsia"/>
                <w:color w:val="auto"/>
                <w:kern w:val="0"/>
                <w:sz w:val="21"/>
                <w:szCs w:val="21"/>
              </w:rPr>
              <w:t>表。</w:t>
            </w:r>
          </w:p>
          <w:p w14:paraId="50E77DA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cs="Times New Roman" w:eastAsiaTheme="minorEastAsia"/>
                <w:b/>
                <w:bCs/>
                <w:color w:val="auto"/>
                <w:sz w:val="21"/>
                <w:szCs w:val="21"/>
                <w:highlight w:val="none"/>
              </w:rPr>
            </w:pPr>
          </w:p>
          <w:p w14:paraId="59766A1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cs="Times New Roman" w:eastAsiaTheme="minorEastAsia"/>
                <w:b/>
                <w:bCs/>
                <w:color w:val="auto"/>
                <w:sz w:val="21"/>
                <w:szCs w:val="21"/>
                <w:highlight w:val="none"/>
              </w:rPr>
            </w:pPr>
          </w:p>
          <w:p w14:paraId="6B1796D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表2-</w:t>
            </w:r>
            <w:r>
              <w:rPr>
                <w:rFonts w:hint="default" w:ascii="Times New Roman" w:hAnsi="Times New Roman" w:cs="Times New Roman" w:eastAsiaTheme="minorEastAsia"/>
                <w:b/>
                <w:bCs/>
                <w:color w:val="auto"/>
                <w:sz w:val="21"/>
                <w:szCs w:val="21"/>
                <w:highlight w:val="none"/>
                <w:lang w:val="en-US" w:eastAsia="zh-CN"/>
              </w:rPr>
              <w:t>1</w:t>
            </w:r>
            <w:r>
              <w:rPr>
                <w:rFonts w:hint="default" w:ascii="Times New Roman" w:hAnsi="Times New Roman" w:cs="Times New Roman" w:eastAsiaTheme="minorEastAsia"/>
                <w:b/>
                <w:bCs/>
                <w:color w:val="auto"/>
                <w:sz w:val="21"/>
                <w:szCs w:val="21"/>
                <w:highlight w:val="none"/>
              </w:rPr>
              <w:t>本项目产品方案一览表</w:t>
            </w:r>
          </w:p>
          <w:tbl>
            <w:tblPr>
              <w:tblStyle w:val="31"/>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1"/>
              <w:gridCol w:w="1928"/>
              <w:gridCol w:w="1523"/>
              <w:gridCol w:w="2100"/>
              <w:gridCol w:w="1177"/>
              <w:gridCol w:w="1302"/>
            </w:tblGrid>
            <w:tr w14:paraId="4080DB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35" w:type="pct"/>
                  <w:noWrap w:val="0"/>
                  <w:vAlign w:val="center"/>
                </w:tcPr>
                <w:p w14:paraId="432CFB83">
                  <w:pPr>
                    <w:spacing w:line="240" w:lineRule="atLeast"/>
                    <w:jc w:val="center"/>
                    <w:rPr>
                      <w:b/>
                      <w:bCs/>
                      <w:color w:val="auto"/>
                      <w:sz w:val="21"/>
                      <w:szCs w:val="21"/>
                    </w:rPr>
                  </w:pPr>
                  <w:r>
                    <w:rPr>
                      <w:b/>
                      <w:bCs/>
                      <w:color w:val="auto"/>
                      <w:sz w:val="21"/>
                      <w:szCs w:val="21"/>
                    </w:rPr>
                    <w:t>序号</w:t>
                  </w:r>
                </w:p>
              </w:tc>
              <w:tc>
                <w:tcPr>
                  <w:tcW w:w="1190" w:type="pct"/>
                  <w:noWrap w:val="0"/>
                  <w:vAlign w:val="center"/>
                </w:tcPr>
                <w:p w14:paraId="6404D372">
                  <w:pPr>
                    <w:spacing w:line="240" w:lineRule="atLeast"/>
                    <w:jc w:val="center"/>
                    <w:rPr>
                      <w:b/>
                      <w:bCs/>
                      <w:color w:val="auto"/>
                      <w:sz w:val="21"/>
                      <w:szCs w:val="21"/>
                    </w:rPr>
                  </w:pPr>
                  <w:r>
                    <w:rPr>
                      <w:b/>
                      <w:bCs/>
                      <w:color w:val="auto"/>
                      <w:sz w:val="21"/>
                      <w:szCs w:val="21"/>
                    </w:rPr>
                    <w:t>主体工程名称</w:t>
                  </w:r>
                  <w:r>
                    <w:rPr>
                      <w:rStyle w:val="38"/>
                      <w:b/>
                      <w:bCs/>
                      <w:color w:val="auto"/>
                      <w:sz w:val="21"/>
                      <w:szCs w:val="21"/>
                    </w:rPr>
                    <w:t>（车间、生产装置或生产线）</w:t>
                  </w:r>
                </w:p>
              </w:tc>
              <w:tc>
                <w:tcPr>
                  <w:tcW w:w="956" w:type="pct"/>
                  <w:noWrap w:val="0"/>
                  <w:vAlign w:val="center"/>
                </w:tcPr>
                <w:p w14:paraId="6338D832">
                  <w:pPr>
                    <w:spacing w:line="240" w:lineRule="atLeast"/>
                    <w:jc w:val="center"/>
                    <w:rPr>
                      <w:b/>
                      <w:bCs/>
                      <w:color w:val="auto"/>
                      <w:sz w:val="21"/>
                      <w:szCs w:val="21"/>
                    </w:rPr>
                  </w:pPr>
                  <w:r>
                    <w:rPr>
                      <w:b/>
                      <w:bCs/>
                      <w:color w:val="auto"/>
                      <w:sz w:val="21"/>
                      <w:szCs w:val="21"/>
                    </w:rPr>
                    <w:t>产品名称</w:t>
                  </w:r>
                </w:p>
              </w:tc>
              <w:tc>
                <w:tcPr>
                  <w:tcW w:w="834" w:type="pct"/>
                  <w:noWrap w:val="0"/>
                  <w:vAlign w:val="center"/>
                </w:tcPr>
                <w:p w14:paraId="6F96E0A6">
                  <w:pPr>
                    <w:spacing w:line="240" w:lineRule="atLeast"/>
                    <w:jc w:val="center"/>
                    <w:rPr>
                      <w:rFonts w:hint="default" w:eastAsia="宋体"/>
                      <w:b/>
                      <w:bCs/>
                      <w:color w:val="auto"/>
                      <w:sz w:val="21"/>
                      <w:szCs w:val="21"/>
                      <w:lang w:val="en-US" w:eastAsia="zh-CN"/>
                    </w:rPr>
                  </w:pPr>
                  <w:r>
                    <w:rPr>
                      <w:rFonts w:hint="eastAsia"/>
                      <w:b/>
                      <w:bCs/>
                      <w:color w:val="auto"/>
                      <w:sz w:val="21"/>
                      <w:szCs w:val="21"/>
                      <w:lang w:val="en-US" w:eastAsia="zh-CN"/>
                    </w:rPr>
                    <w:t>典型尺寸</w:t>
                  </w:r>
                </w:p>
              </w:tc>
              <w:tc>
                <w:tcPr>
                  <w:tcW w:w="756" w:type="pct"/>
                  <w:noWrap w:val="0"/>
                  <w:vAlign w:val="center"/>
                </w:tcPr>
                <w:p w14:paraId="680ED450">
                  <w:pPr>
                    <w:spacing w:line="240" w:lineRule="atLeast"/>
                    <w:jc w:val="center"/>
                    <w:rPr>
                      <w:color w:val="auto"/>
                      <w:sz w:val="21"/>
                      <w:szCs w:val="21"/>
                    </w:rPr>
                  </w:pPr>
                  <w:r>
                    <w:rPr>
                      <w:b/>
                      <w:bCs/>
                      <w:color w:val="auto"/>
                      <w:sz w:val="21"/>
                      <w:szCs w:val="21"/>
                    </w:rPr>
                    <w:t>设计能力</w:t>
                  </w:r>
                </w:p>
              </w:tc>
              <w:tc>
                <w:tcPr>
                  <w:tcW w:w="828" w:type="pct"/>
                  <w:noWrap w:val="0"/>
                  <w:vAlign w:val="center"/>
                </w:tcPr>
                <w:p w14:paraId="11E0936A">
                  <w:pPr>
                    <w:spacing w:line="240" w:lineRule="atLeast"/>
                    <w:jc w:val="center"/>
                    <w:rPr>
                      <w:color w:val="auto"/>
                      <w:sz w:val="21"/>
                      <w:szCs w:val="21"/>
                    </w:rPr>
                  </w:pPr>
                  <w:r>
                    <w:rPr>
                      <w:b/>
                      <w:bCs/>
                      <w:color w:val="auto"/>
                      <w:sz w:val="21"/>
                      <w:szCs w:val="21"/>
                    </w:rPr>
                    <w:t>年运行时数</w:t>
                  </w:r>
                </w:p>
              </w:tc>
            </w:tr>
            <w:tr w14:paraId="6B5CD4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5" w:type="pct"/>
                  <w:noWrap w:val="0"/>
                  <w:vAlign w:val="center"/>
                </w:tcPr>
                <w:p w14:paraId="7FD6166B">
                  <w:pPr>
                    <w:spacing w:line="240" w:lineRule="atLeast"/>
                    <w:jc w:val="center"/>
                    <w:rPr>
                      <w:color w:val="auto"/>
                      <w:sz w:val="21"/>
                      <w:szCs w:val="21"/>
                    </w:rPr>
                  </w:pPr>
                  <w:r>
                    <w:rPr>
                      <w:color w:val="auto"/>
                      <w:sz w:val="21"/>
                      <w:szCs w:val="21"/>
                    </w:rPr>
                    <w:t>1</w:t>
                  </w:r>
                </w:p>
              </w:tc>
              <w:tc>
                <w:tcPr>
                  <w:tcW w:w="1190" w:type="pct"/>
                  <w:vMerge w:val="restart"/>
                  <w:noWrap w:val="0"/>
                  <w:vAlign w:val="center"/>
                </w:tcPr>
                <w:p w14:paraId="19C18E42">
                  <w:pPr>
                    <w:pStyle w:val="49"/>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生产</w:t>
                  </w:r>
                  <w:r>
                    <w:rPr>
                      <w:rFonts w:ascii="Times New Roman" w:hAnsi="Times New Roman" w:eastAsia="宋体"/>
                      <w:color w:val="auto"/>
                      <w:kern w:val="2"/>
                      <w:sz w:val="21"/>
                      <w:szCs w:val="21"/>
                    </w:rPr>
                    <w:t>车间</w:t>
                  </w:r>
                </w:p>
              </w:tc>
              <w:tc>
                <w:tcPr>
                  <w:tcW w:w="956" w:type="pct"/>
                  <w:noWrap w:val="0"/>
                  <w:vAlign w:val="center"/>
                </w:tcPr>
                <w:p w14:paraId="629BEA38">
                  <w:pPr>
                    <w:adjustRightInd w:val="0"/>
                    <w:snapToGrid w:val="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复合膜</w:t>
                  </w:r>
                </w:p>
              </w:tc>
              <w:tc>
                <w:tcPr>
                  <w:tcW w:w="834" w:type="pct"/>
                  <w:noWrap w:val="0"/>
                  <w:vAlign w:val="center"/>
                </w:tcPr>
                <w:p w14:paraId="42FDE047">
                  <w:pPr>
                    <w:adjustRightInd w:val="0"/>
                    <w:snapToGrid w:val="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1000m*10cm*0.01cm</w:t>
                  </w:r>
                </w:p>
              </w:tc>
              <w:tc>
                <w:tcPr>
                  <w:tcW w:w="756" w:type="pct"/>
                  <w:noWrap w:val="0"/>
                  <w:vAlign w:val="center"/>
                </w:tcPr>
                <w:p w14:paraId="6B0D7819">
                  <w:pPr>
                    <w:adjustRightInd w:val="0"/>
                    <w:snapToGrid w:val="0"/>
                    <w:jc w:val="center"/>
                    <w:rPr>
                      <w:bCs/>
                      <w:color w:val="auto"/>
                      <w:sz w:val="21"/>
                      <w:szCs w:val="21"/>
                    </w:rPr>
                  </w:pPr>
                  <w:r>
                    <w:rPr>
                      <w:rFonts w:hint="eastAsia"/>
                      <w:bCs/>
                      <w:color w:val="auto"/>
                      <w:sz w:val="21"/>
                      <w:szCs w:val="21"/>
                      <w:lang w:val="en-US" w:eastAsia="zh-CN"/>
                    </w:rPr>
                    <w:t>3</w:t>
                  </w:r>
                  <w:r>
                    <w:rPr>
                      <w:bCs/>
                      <w:color w:val="auto"/>
                      <w:sz w:val="21"/>
                      <w:szCs w:val="21"/>
                    </w:rPr>
                    <w:t>00t/a</w:t>
                  </w:r>
                </w:p>
              </w:tc>
              <w:tc>
                <w:tcPr>
                  <w:tcW w:w="828" w:type="pct"/>
                  <w:noWrap w:val="0"/>
                  <w:vAlign w:val="center"/>
                </w:tcPr>
                <w:p w14:paraId="21342C3C">
                  <w:pPr>
                    <w:adjustRightInd w:val="0"/>
                    <w:snapToGrid w:val="0"/>
                    <w:jc w:val="center"/>
                    <w:rPr>
                      <w:color w:val="auto"/>
                      <w:sz w:val="21"/>
                      <w:szCs w:val="21"/>
                    </w:rPr>
                  </w:pPr>
                  <w:r>
                    <w:rPr>
                      <w:rFonts w:hint="eastAsia"/>
                      <w:color w:val="auto"/>
                      <w:sz w:val="21"/>
                      <w:szCs w:val="21"/>
                    </w:rPr>
                    <w:t>24</w:t>
                  </w:r>
                  <w:r>
                    <w:rPr>
                      <w:color w:val="auto"/>
                      <w:sz w:val="21"/>
                      <w:szCs w:val="21"/>
                    </w:rPr>
                    <w:t>00h</w:t>
                  </w:r>
                </w:p>
              </w:tc>
            </w:tr>
            <w:tr w14:paraId="31D06A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5" w:type="pct"/>
                  <w:noWrap w:val="0"/>
                  <w:vAlign w:val="center"/>
                </w:tcPr>
                <w:p w14:paraId="68179D97">
                  <w:pPr>
                    <w:spacing w:line="240" w:lineRule="atLeast"/>
                    <w:jc w:val="center"/>
                    <w:rPr>
                      <w:color w:val="auto"/>
                      <w:sz w:val="21"/>
                      <w:szCs w:val="21"/>
                    </w:rPr>
                  </w:pPr>
                  <w:r>
                    <w:rPr>
                      <w:color w:val="auto"/>
                      <w:sz w:val="21"/>
                      <w:szCs w:val="21"/>
                    </w:rPr>
                    <w:t>2</w:t>
                  </w:r>
                </w:p>
              </w:tc>
              <w:tc>
                <w:tcPr>
                  <w:tcW w:w="1190" w:type="pct"/>
                  <w:vMerge w:val="continue"/>
                  <w:noWrap w:val="0"/>
                  <w:vAlign w:val="center"/>
                </w:tcPr>
                <w:p w14:paraId="2D8549CA">
                  <w:pPr>
                    <w:pStyle w:val="49"/>
                    <w:rPr>
                      <w:rFonts w:ascii="Times New Roman" w:hAnsi="Times New Roman" w:eastAsia="宋体"/>
                      <w:color w:val="auto"/>
                      <w:kern w:val="2"/>
                      <w:sz w:val="21"/>
                      <w:szCs w:val="21"/>
                    </w:rPr>
                  </w:pPr>
                </w:p>
              </w:tc>
              <w:tc>
                <w:tcPr>
                  <w:tcW w:w="956" w:type="pct"/>
                  <w:noWrap w:val="0"/>
                  <w:vAlign w:val="center"/>
                </w:tcPr>
                <w:p w14:paraId="12DA3223">
                  <w:pPr>
                    <w:adjustRightInd w:val="0"/>
                    <w:snapToGrid w:val="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复合包装袋</w:t>
                  </w:r>
                </w:p>
              </w:tc>
              <w:tc>
                <w:tcPr>
                  <w:tcW w:w="834" w:type="pct"/>
                  <w:noWrap w:val="0"/>
                  <w:vAlign w:val="center"/>
                </w:tcPr>
                <w:p w14:paraId="7AC35FF0">
                  <w:pPr>
                    <w:adjustRightInd w:val="0"/>
                    <w:snapToGrid w:val="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30cm*40cm*0.011cm</w:t>
                  </w:r>
                  <w:r>
                    <w:rPr>
                      <w:rFonts w:hint="eastAsia" w:ascii="Times New Roman" w:hAnsi="Times New Roman" w:eastAsia="宋体" w:cs="Times New Roman"/>
                      <w:bCs/>
                      <w:color w:val="auto"/>
                      <w:sz w:val="21"/>
                      <w:szCs w:val="21"/>
                      <w:lang w:val="en-US" w:eastAsia="zh-CN"/>
                    </w:rPr>
                    <w:br w:type="textWrapping"/>
                  </w:r>
                  <w:r>
                    <w:rPr>
                      <w:rFonts w:hint="eastAsia" w:ascii="Times New Roman" w:hAnsi="Times New Roman" w:eastAsia="宋体" w:cs="Times New Roman"/>
                      <w:bCs/>
                      <w:color w:val="auto"/>
                      <w:sz w:val="21"/>
                      <w:szCs w:val="21"/>
                      <w:lang w:val="en-US" w:eastAsia="zh-CN"/>
                    </w:rPr>
                    <w:t>20cm*10cm*0.01cm</w:t>
                  </w:r>
                </w:p>
              </w:tc>
              <w:tc>
                <w:tcPr>
                  <w:tcW w:w="756" w:type="pct"/>
                  <w:noWrap w:val="0"/>
                  <w:vAlign w:val="center"/>
                </w:tcPr>
                <w:p w14:paraId="2D3ECDC3">
                  <w:pPr>
                    <w:adjustRightInd w:val="0"/>
                    <w:snapToGrid w:val="0"/>
                    <w:jc w:val="center"/>
                    <w:rPr>
                      <w:bCs/>
                      <w:color w:val="auto"/>
                      <w:sz w:val="21"/>
                      <w:szCs w:val="21"/>
                    </w:rPr>
                  </w:pPr>
                  <w:r>
                    <w:rPr>
                      <w:rFonts w:hint="eastAsia"/>
                      <w:bCs/>
                      <w:color w:val="auto"/>
                      <w:sz w:val="21"/>
                      <w:szCs w:val="21"/>
                      <w:lang w:val="en-US" w:eastAsia="zh-CN"/>
                    </w:rPr>
                    <w:t>2</w:t>
                  </w:r>
                  <w:r>
                    <w:rPr>
                      <w:rFonts w:hint="eastAsia"/>
                      <w:bCs/>
                      <w:color w:val="auto"/>
                      <w:sz w:val="21"/>
                      <w:szCs w:val="21"/>
                    </w:rPr>
                    <w:t>00</w:t>
                  </w:r>
                  <w:r>
                    <w:rPr>
                      <w:bCs/>
                      <w:color w:val="auto"/>
                      <w:sz w:val="21"/>
                      <w:szCs w:val="21"/>
                    </w:rPr>
                    <w:t>t/a</w:t>
                  </w:r>
                </w:p>
              </w:tc>
              <w:tc>
                <w:tcPr>
                  <w:tcW w:w="828" w:type="pct"/>
                  <w:noWrap w:val="0"/>
                  <w:vAlign w:val="center"/>
                </w:tcPr>
                <w:p w14:paraId="7E8F1013">
                  <w:pPr>
                    <w:adjustRightInd w:val="0"/>
                    <w:snapToGrid w:val="0"/>
                    <w:jc w:val="center"/>
                    <w:rPr>
                      <w:color w:val="auto"/>
                      <w:sz w:val="21"/>
                      <w:szCs w:val="21"/>
                    </w:rPr>
                  </w:pPr>
                  <w:r>
                    <w:rPr>
                      <w:rFonts w:hint="eastAsia"/>
                      <w:color w:val="auto"/>
                      <w:sz w:val="21"/>
                      <w:szCs w:val="21"/>
                    </w:rPr>
                    <w:t>24</w:t>
                  </w:r>
                  <w:r>
                    <w:rPr>
                      <w:color w:val="auto"/>
                      <w:sz w:val="21"/>
                      <w:szCs w:val="21"/>
                    </w:rPr>
                    <w:t>00h</w:t>
                  </w:r>
                </w:p>
              </w:tc>
            </w:tr>
          </w:tbl>
          <w:p w14:paraId="129CF695">
            <w:pPr>
              <w:numPr>
                <w:ilvl w:val="0"/>
                <w:numId w:val="2"/>
              </w:numPr>
              <w:adjustRightInd w:val="0"/>
              <w:snapToGrid w:val="0"/>
              <w:spacing w:before="48" w:beforeLines="20" w:line="500" w:lineRule="exact"/>
              <w:ind w:left="0" w:leftChars="0" w:firstLine="422" w:firstLineChars="200"/>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原辅材料</w:t>
            </w:r>
          </w:p>
          <w:p w14:paraId="0E1D45D5">
            <w:pPr>
              <w:autoSpaceDE w:val="0"/>
              <w:autoSpaceDN w:val="0"/>
              <w:adjustRightInd w:val="0"/>
              <w:snapToGrid w:val="0"/>
              <w:spacing w:line="500" w:lineRule="exact"/>
              <w:ind w:firstLine="422" w:firstLineChars="200"/>
              <w:jc w:val="left"/>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bCs/>
                <w:color w:val="auto"/>
                <w:sz w:val="21"/>
                <w:szCs w:val="21"/>
                <w:highlight w:val="none"/>
                <w:lang w:eastAsia="zh-CN"/>
              </w:rPr>
              <w:t>（</w:t>
            </w:r>
            <w:r>
              <w:rPr>
                <w:rFonts w:hint="default" w:ascii="Times New Roman" w:hAnsi="Times New Roman" w:cs="Times New Roman" w:eastAsiaTheme="minorEastAsia"/>
                <w:b/>
                <w:bCs/>
                <w:color w:val="auto"/>
                <w:sz w:val="21"/>
                <w:szCs w:val="21"/>
                <w:highlight w:val="none"/>
                <w:lang w:val="en-US" w:eastAsia="zh-CN"/>
              </w:rPr>
              <w:t>1</w:t>
            </w:r>
            <w:r>
              <w:rPr>
                <w:rFonts w:hint="default" w:ascii="Times New Roman" w:hAnsi="Times New Roman" w:cs="Times New Roman" w:eastAsiaTheme="minorEastAsia"/>
                <w:b/>
                <w:bCs/>
                <w:color w:val="auto"/>
                <w:sz w:val="21"/>
                <w:szCs w:val="21"/>
                <w:highlight w:val="none"/>
                <w:lang w:eastAsia="zh-CN"/>
              </w:rPr>
              <w:t>）</w:t>
            </w:r>
            <w:r>
              <w:rPr>
                <w:rFonts w:hint="default" w:ascii="Times New Roman" w:hAnsi="Times New Roman" w:cs="Times New Roman" w:eastAsiaTheme="minorEastAsia"/>
                <w:b/>
                <w:bCs/>
                <w:color w:val="auto"/>
                <w:kern w:val="0"/>
                <w:sz w:val="21"/>
                <w:szCs w:val="21"/>
                <w:highlight w:val="none"/>
                <w:lang w:val="en-US" w:eastAsia="zh-CN"/>
              </w:rPr>
              <w:t>原料消耗情况</w:t>
            </w:r>
          </w:p>
          <w:p w14:paraId="27EF279F">
            <w:pPr>
              <w:adjustRightInd w:val="0"/>
              <w:snapToGrid w:val="0"/>
              <w:spacing w:line="500" w:lineRule="exact"/>
              <w:jc w:val="center"/>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eastAsiaTheme="minorEastAsia"/>
                <w:b/>
                <w:bCs/>
                <w:color w:val="auto"/>
                <w:sz w:val="21"/>
                <w:szCs w:val="21"/>
                <w:highlight w:val="none"/>
              </w:rPr>
              <w:t>表2-</w:t>
            </w:r>
            <w:r>
              <w:rPr>
                <w:rFonts w:hint="default" w:ascii="Times New Roman" w:hAnsi="Times New Roman" w:cs="Times New Roman" w:eastAsiaTheme="minorEastAsia"/>
                <w:b/>
                <w:bCs/>
                <w:color w:val="auto"/>
                <w:sz w:val="21"/>
                <w:szCs w:val="21"/>
                <w:highlight w:val="none"/>
                <w:lang w:val="en-US" w:eastAsia="zh-CN"/>
              </w:rPr>
              <w:t>2</w:t>
            </w:r>
            <w:r>
              <w:rPr>
                <w:rFonts w:hint="default" w:ascii="Times New Roman" w:hAnsi="Times New Roman" w:cs="Times New Roman" w:eastAsiaTheme="minorEastAsia"/>
                <w:b/>
                <w:bCs/>
                <w:color w:val="auto"/>
                <w:sz w:val="21"/>
                <w:szCs w:val="21"/>
                <w:highlight w:val="none"/>
              </w:rPr>
              <w:t>本项目原辅料消耗情况</w:t>
            </w:r>
            <w:r>
              <w:rPr>
                <w:rFonts w:hint="default" w:ascii="Times New Roman" w:hAnsi="Times New Roman" w:cs="Times New Roman" w:eastAsiaTheme="minorEastAsia"/>
                <w:b/>
                <w:bCs/>
                <w:color w:val="auto"/>
                <w:sz w:val="21"/>
                <w:szCs w:val="21"/>
                <w:highlight w:val="none"/>
                <w:lang w:eastAsia="zh-CN"/>
              </w:rPr>
              <w:t>一览表</w:t>
            </w:r>
          </w:p>
          <w:tbl>
            <w:tblPr>
              <w:tblStyle w:val="31"/>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18"/>
              <w:gridCol w:w="1205"/>
              <w:gridCol w:w="3152"/>
              <w:gridCol w:w="713"/>
              <w:gridCol w:w="813"/>
              <w:gridCol w:w="1291"/>
              <w:gridCol w:w="959"/>
            </w:tblGrid>
            <w:tr w14:paraId="6E81CD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9" w:type="pct"/>
                  <w:shd w:val="clear" w:color="auto" w:fill="FFFFFF"/>
                  <w:noWrap w:val="0"/>
                  <w:vAlign w:val="center"/>
                </w:tcPr>
                <w:p w14:paraId="09117B45">
                  <w:pPr>
                    <w:jc w:val="center"/>
                    <w:rPr>
                      <w:color w:val="auto"/>
                      <w:sz w:val="21"/>
                      <w:szCs w:val="21"/>
                    </w:rPr>
                  </w:pPr>
                  <w:r>
                    <w:rPr>
                      <w:color w:val="auto"/>
                      <w:sz w:val="21"/>
                      <w:szCs w:val="21"/>
                    </w:rPr>
                    <w:t>序号</w:t>
                  </w:r>
                </w:p>
              </w:tc>
              <w:tc>
                <w:tcPr>
                  <w:tcW w:w="696" w:type="pct"/>
                  <w:shd w:val="clear" w:color="auto" w:fill="FFFFFF"/>
                  <w:noWrap w:val="0"/>
                  <w:vAlign w:val="center"/>
                </w:tcPr>
                <w:p w14:paraId="33E05BA3">
                  <w:pPr>
                    <w:jc w:val="center"/>
                    <w:rPr>
                      <w:color w:val="auto"/>
                      <w:sz w:val="21"/>
                      <w:szCs w:val="21"/>
                    </w:rPr>
                  </w:pPr>
                  <w:r>
                    <w:rPr>
                      <w:color w:val="auto"/>
                      <w:sz w:val="21"/>
                      <w:szCs w:val="21"/>
                    </w:rPr>
                    <w:t>名称</w:t>
                  </w:r>
                </w:p>
              </w:tc>
              <w:tc>
                <w:tcPr>
                  <w:tcW w:w="1821" w:type="pct"/>
                  <w:shd w:val="clear" w:color="auto" w:fill="FFFFFF"/>
                  <w:noWrap w:val="0"/>
                  <w:vAlign w:val="center"/>
                </w:tcPr>
                <w:p w14:paraId="6D467CC6">
                  <w:pPr>
                    <w:jc w:val="center"/>
                    <w:rPr>
                      <w:color w:val="auto"/>
                      <w:sz w:val="21"/>
                      <w:szCs w:val="21"/>
                    </w:rPr>
                  </w:pPr>
                  <w:r>
                    <w:rPr>
                      <w:color w:val="auto"/>
                      <w:sz w:val="21"/>
                      <w:szCs w:val="21"/>
                    </w:rPr>
                    <w:t>主要成分及规格</w:t>
                  </w:r>
                </w:p>
              </w:tc>
              <w:tc>
                <w:tcPr>
                  <w:tcW w:w="412" w:type="pct"/>
                  <w:shd w:val="clear" w:color="auto" w:fill="FFFFFF"/>
                  <w:noWrap w:val="0"/>
                  <w:vAlign w:val="center"/>
                </w:tcPr>
                <w:p w14:paraId="06E61D4E">
                  <w:pPr>
                    <w:jc w:val="center"/>
                    <w:rPr>
                      <w:color w:val="auto"/>
                      <w:sz w:val="21"/>
                      <w:szCs w:val="21"/>
                    </w:rPr>
                  </w:pPr>
                  <w:r>
                    <w:rPr>
                      <w:color w:val="auto"/>
                      <w:sz w:val="21"/>
                      <w:szCs w:val="21"/>
                    </w:rPr>
                    <w:t>消耗量（t/a）</w:t>
                  </w:r>
                </w:p>
              </w:tc>
              <w:tc>
                <w:tcPr>
                  <w:tcW w:w="470" w:type="pct"/>
                  <w:shd w:val="clear" w:color="auto" w:fill="FFFFFF"/>
                  <w:noWrap w:val="0"/>
                  <w:vAlign w:val="center"/>
                </w:tcPr>
                <w:p w14:paraId="5785F67D">
                  <w:pPr>
                    <w:jc w:val="center"/>
                    <w:rPr>
                      <w:color w:val="auto"/>
                      <w:sz w:val="21"/>
                      <w:szCs w:val="21"/>
                    </w:rPr>
                  </w:pPr>
                  <w:r>
                    <w:rPr>
                      <w:color w:val="auto"/>
                      <w:sz w:val="21"/>
                      <w:szCs w:val="21"/>
                    </w:rPr>
                    <w:t>最大储存量（t）</w:t>
                  </w:r>
                </w:p>
              </w:tc>
              <w:tc>
                <w:tcPr>
                  <w:tcW w:w="746" w:type="pct"/>
                  <w:shd w:val="clear" w:color="auto" w:fill="FFFFFF"/>
                  <w:noWrap w:val="0"/>
                  <w:vAlign w:val="center"/>
                </w:tcPr>
                <w:p w14:paraId="412D8CF3">
                  <w:pPr>
                    <w:jc w:val="center"/>
                    <w:rPr>
                      <w:color w:val="auto"/>
                      <w:sz w:val="21"/>
                      <w:szCs w:val="21"/>
                    </w:rPr>
                  </w:pPr>
                  <w:r>
                    <w:rPr>
                      <w:color w:val="auto"/>
                      <w:sz w:val="21"/>
                      <w:szCs w:val="21"/>
                    </w:rPr>
                    <w:t>包装方式</w:t>
                  </w:r>
                </w:p>
              </w:tc>
              <w:tc>
                <w:tcPr>
                  <w:tcW w:w="554" w:type="pct"/>
                  <w:shd w:val="clear" w:color="auto" w:fill="FFFFFF"/>
                  <w:noWrap w:val="0"/>
                  <w:vAlign w:val="center"/>
                </w:tcPr>
                <w:p w14:paraId="1142E52A">
                  <w:pPr>
                    <w:jc w:val="center"/>
                    <w:rPr>
                      <w:color w:val="auto"/>
                      <w:sz w:val="21"/>
                      <w:szCs w:val="21"/>
                    </w:rPr>
                  </w:pPr>
                  <w:r>
                    <w:rPr>
                      <w:color w:val="auto"/>
                      <w:sz w:val="21"/>
                      <w:szCs w:val="21"/>
                    </w:rPr>
                    <w:t>来源及运输方式</w:t>
                  </w:r>
                </w:p>
              </w:tc>
            </w:tr>
            <w:tr w14:paraId="6A6F8F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9" w:type="pct"/>
                  <w:shd w:val="clear" w:color="auto" w:fill="FFFFFF"/>
                  <w:noWrap w:val="0"/>
                  <w:vAlign w:val="center"/>
                </w:tcPr>
                <w:p w14:paraId="1CB6FAD4">
                  <w:pPr>
                    <w:jc w:val="center"/>
                    <w:rPr>
                      <w:color w:val="auto"/>
                      <w:spacing w:val="-11"/>
                      <w:sz w:val="21"/>
                      <w:szCs w:val="21"/>
                    </w:rPr>
                  </w:pPr>
                  <w:r>
                    <w:rPr>
                      <w:color w:val="auto"/>
                      <w:spacing w:val="-11"/>
                      <w:sz w:val="21"/>
                      <w:szCs w:val="21"/>
                    </w:rPr>
                    <w:t>1</w:t>
                  </w:r>
                </w:p>
              </w:tc>
              <w:tc>
                <w:tcPr>
                  <w:tcW w:w="696" w:type="pct"/>
                  <w:shd w:val="clear" w:color="auto" w:fill="FFFFFF"/>
                  <w:noWrap w:val="0"/>
                  <w:vAlign w:val="center"/>
                </w:tcPr>
                <w:p w14:paraId="3E14C5B4">
                  <w:pPr>
                    <w:jc w:val="center"/>
                    <w:rPr>
                      <w:color w:val="auto"/>
                      <w:sz w:val="21"/>
                      <w:szCs w:val="21"/>
                    </w:rPr>
                  </w:pPr>
                  <w:r>
                    <w:rPr>
                      <w:color w:val="auto"/>
                      <w:sz w:val="21"/>
                      <w:szCs w:val="21"/>
                    </w:rPr>
                    <w:t>PET薄膜</w:t>
                  </w:r>
                </w:p>
              </w:tc>
              <w:tc>
                <w:tcPr>
                  <w:tcW w:w="1821" w:type="pct"/>
                  <w:shd w:val="clear" w:color="auto" w:fill="FFFFFF"/>
                  <w:noWrap w:val="0"/>
                  <w:vAlign w:val="center"/>
                </w:tcPr>
                <w:p w14:paraId="44CD0060">
                  <w:pPr>
                    <w:widowControl/>
                    <w:spacing w:line="320" w:lineRule="exact"/>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聚对苯二甲酸乙二醇酯</w:t>
                  </w:r>
                </w:p>
              </w:tc>
              <w:tc>
                <w:tcPr>
                  <w:tcW w:w="412" w:type="pct"/>
                  <w:shd w:val="clear" w:color="auto" w:fill="FFFFFF"/>
                  <w:noWrap w:val="0"/>
                  <w:vAlign w:val="center"/>
                </w:tcPr>
                <w:p w14:paraId="5BF9FFE3">
                  <w:pPr>
                    <w:spacing w:line="320" w:lineRule="exact"/>
                    <w:jc w:val="center"/>
                    <w:rPr>
                      <w:rFonts w:hint="default"/>
                      <w:color w:val="auto"/>
                      <w:sz w:val="21"/>
                      <w:szCs w:val="21"/>
                      <w:lang w:val="en-US" w:eastAsia="zh-CN"/>
                    </w:rPr>
                  </w:pPr>
                  <w:r>
                    <w:rPr>
                      <w:rFonts w:hint="eastAsia"/>
                      <w:color w:val="auto"/>
                      <w:sz w:val="21"/>
                      <w:szCs w:val="21"/>
                      <w:lang w:val="en-US" w:eastAsia="zh-CN"/>
                    </w:rPr>
                    <w:t>170</w:t>
                  </w:r>
                </w:p>
              </w:tc>
              <w:tc>
                <w:tcPr>
                  <w:tcW w:w="470" w:type="pct"/>
                  <w:shd w:val="clear" w:color="auto" w:fill="FFFFFF"/>
                  <w:noWrap w:val="0"/>
                  <w:vAlign w:val="center"/>
                </w:tcPr>
                <w:p w14:paraId="54EB2685">
                  <w:pPr>
                    <w:spacing w:line="320" w:lineRule="exact"/>
                    <w:jc w:val="center"/>
                    <w:rPr>
                      <w:color w:val="auto"/>
                      <w:sz w:val="21"/>
                      <w:szCs w:val="21"/>
                    </w:rPr>
                  </w:pPr>
                  <w:r>
                    <w:rPr>
                      <w:color w:val="auto"/>
                      <w:sz w:val="21"/>
                      <w:szCs w:val="21"/>
                    </w:rPr>
                    <w:t>5</w:t>
                  </w:r>
                </w:p>
              </w:tc>
              <w:tc>
                <w:tcPr>
                  <w:tcW w:w="746" w:type="pct"/>
                  <w:shd w:val="clear" w:color="auto" w:fill="FFFFFF"/>
                  <w:noWrap w:val="0"/>
                  <w:vAlign w:val="center"/>
                </w:tcPr>
                <w:p w14:paraId="6EC4C63D">
                  <w:pPr>
                    <w:spacing w:line="320" w:lineRule="exact"/>
                    <w:jc w:val="center"/>
                    <w:rPr>
                      <w:color w:val="auto"/>
                      <w:sz w:val="21"/>
                      <w:szCs w:val="21"/>
                    </w:rPr>
                  </w:pPr>
                  <w:r>
                    <w:rPr>
                      <w:color w:val="auto"/>
                      <w:sz w:val="21"/>
                      <w:szCs w:val="21"/>
                    </w:rPr>
                    <w:t>100m/卷</w:t>
                  </w:r>
                </w:p>
              </w:tc>
              <w:tc>
                <w:tcPr>
                  <w:tcW w:w="554" w:type="pct"/>
                  <w:vMerge w:val="restart"/>
                  <w:shd w:val="clear" w:color="auto" w:fill="FFFFFF"/>
                  <w:noWrap w:val="0"/>
                  <w:vAlign w:val="center"/>
                </w:tcPr>
                <w:p w14:paraId="3421284F">
                  <w:pPr>
                    <w:pStyle w:val="49"/>
                    <w:adjustRightInd w:val="0"/>
                    <w:snapToGrid w:val="0"/>
                    <w:rPr>
                      <w:rFonts w:ascii="Times New Roman" w:hAnsi="Times New Roman" w:eastAsia="宋体"/>
                      <w:color w:val="auto"/>
                      <w:spacing w:val="-11"/>
                      <w:sz w:val="21"/>
                      <w:szCs w:val="21"/>
                    </w:rPr>
                  </w:pPr>
                  <w:r>
                    <w:rPr>
                      <w:rFonts w:ascii="Times New Roman" w:hAnsi="Times New Roman" w:eastAsia="宋体"/>
                      <w:color w:val="auto"/>
                      <w:spacing w:val="-11"/>
                      <w:sz w:val="21"/>
                      <w:szCs w:val="21"/>
                    </w:rPr>
                    <w:t>外购及车运</w:t>
                  </w:r>
                </w:p>
              </w:tc>
            </w:tr>
            <w:tr w14:paraId="75E31E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9" w:type="pct"/>
                  <w:shd w:val="clear" w:color="auto" w:fill="FFFFFF"/>
                  <w:noWrap w:val="0"/>
                  <w:vAlign w:val="center"/>
                </w:tcPr>
                <w:p w14:paraId="33D4E0C8">
                  <w:pPr>
                    <w:jc w:val="center"/>
                    <w:rPr>
                      <w:color w:val="auto"/>
                      <w:spacing w:val="-11"/>
                      <w:sz w:val="21"/>
                      <w:szCs w:val="21"/>
                    </w:rPr>
                  </w:pPr>
                  <w:r>
                    <w:rPr>
                      <w:color w:val="auto"/>
                      <w:spacing w:val="-11"/>
                      <w:sz w:val="21"/>
                      <w:szCs w:val="21"/>
                    </w:rPr>
                    <w:t>2</w:t>
                  </w:r>
                </w:p>
              </w:tc>
              <w:tc>
                <w:tcPr>
                  <w:tcW w:w="696" w:type="pct"/>
                  <w:shd w:val="clear" w:color="auto" w:fill="FFFFFF"/>
                  <w:noWrap w:val="0"/>
                  <w:vAlign w:val="center"/>
                </w:tcPr>
                <w:p w14:paraId="2673AE82">
                  <w:pPr>
                    <w:jc w:val="center"/>
                    <w:rPr>
                      <w:color w:val="auto"/>
                      <w:spacing w:val="-11"/>
                      <w:sz w:val="21"/>
                      <w:szCs w:val="21"/>
                    </w:rPr>
                  </w:pPr>
                  <w:r>
                    <w:rPr>
                      <w:color w:val="auto"/>
                      <w:sz w:val="21"/>
                      <w:szCs w:val="21"/>
                    </w:rPr>
                    <w:t>BOPP薄膜</w:t>
                  </w:r>
                </w:p>
              </w:tc>
              <w:tc>
                <w:tcPr>
                  <w:tcW w:w="1821" w:type="pct"/>
                  <w:shd w:val="clear" w:color="auto" w:fill="FFFFFF"/>
                  <w:noWrap w:val="0"/>
                  <w:vAlign w:val="center"/>
                </w:tcPr>
                <w:p w14:paraId="3E6F58D0">
                  <w:pPr>
                    <w:widowControl/>
                    <w:spacing w:line="320" w:lineRule="exact"/>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双向拉伸聚丙烯</w:t>
                  </w:r>
                </w:p>
              </w:tc>
              <w:tc>
                <w:tcPr>
                  <w:tcW w:w="412" w:type="pct"/>
                  <w:shd w:val="clear" w:color="auto" w:fill="FFFFFF"/>
                  <w:noWrap w:val="0"/>
                  <w:vAlign w:val="center"/>
                </w:tcPr>
                <w:p w14:paraId="106E13EC">
                  <w:pPr>
                    <w:spacing w:line="320" w:lineRule="exact"/>
                    <w:jc w:val="center"/>
                    <w:rPr>
                      <w:rFonts w:hint="default"/>
                      <w:color w:val="auto"/>
                      <w:sz w:val="21"/>
                      <w:szCs w:val="21"/>
                      <w:lang w:val="en-US" w:eastAsia="zh-CN"/>
                    </w:rPr>
                  </w:pPr>
                  <w:r>
                    <w:rPr>
                      <w:rFonts w:hint="eastAsia"/>
                      <w:color w:val="auto"/>
                      <w:sz w:val="21"/>
                      <w:szCs w:val="21"/>
                      <w:lang w:val="en-US" w:eastAsia="zh-CN"/>
                    </w:rPr>
                    <w:t>110</w:t>
                  </w:r>
                </w:p>
              </w:tc>
              <w:tc>
                <w:tcPr>
                  <w:tcW w:w="470" w:type="pct"/>
                  <w:shd w:val="clear" w:color="auto" w:fill="FFFFFF"/>
                  <w:noWrap w:val="0"/>
                  <w:vAlign w:val="center"/>
                </w:tcPr>
                <w:p w14:paraId="33B6DF83">
                  <w:pPr>
                    <w:spacing w:line="320" w:lineRule="exact"/>
                    <w:jc w:val="center"/>
                    <w:rPr>
                      <w:color w:val="auto"/>
                      <w:sz w:val="21"/>
                      <w:szCs w:val="21"/>
                    </w:rPr>
                  </w:pPr>
                  <w:r>
                    <w:rPr>
                      <w:color w:val="auto"/>
                      <w:sz w:val="21"/>
                      <w:szCs w:val="21"/>
                    </w:rPr>
                    <w:t>5</w:t>
                  </w:r>
                </w:p>
              </w:tc>
              <w:tc>
                <w:tcPr>
                  <w:tcW w:w="746" w:type="pct"/>
                  <w:shd w:val="clear" w:color="auto" w:fill="FFFFFF"/>
                  <w:noWrap w:val="0"/>
                  <w:vAlign w:val="center"/>
                </w:tcPr>
                <w:p w14:paraId="7FA6994A">
                  <w:pPr>
                    <w:spacing w:line="320" w:lineRule="exact"/>
                    <w:jc w:val="center"/>
                    <w:rPr>
                      <w:color w:val="auto"/>
                      <w:sz w:val="21"/>
                      <w:szCs w:val="21"/>
                    </w:rPr>
                  </w:pPr>
                  <w:r>
                    <w:rPr>
                      <w:color w:val="auto"/>
                      <w:sz w:val="21"/>
                      <w:szCs w:val="21"/>
                    </w:rPr>
                    <w:t>100m/卷</w:t>
                  </w:r>
                </w:p>
              </w:tc>
              <w:tc>
                <w:tcPr>
                  <w:tcW w:w="554" w:type="pct"/>
                  <w:vMerge w:val="continue"/>
                  <w:shd w:val="clear" w:color="auto" w:fill="FFFFFF"/>
                  <w:noWrap w:val="0"/>
                  <w:vAlign w:val="center"/>
                </w:tcPr>
                <w:p w14:paraId="74A8E92C">
                  <w:pPr>
                    <w:pStyle w:val="49"/>
                    <w:adjustRightInd w:val="0"/>
                    <w:snapToGrid w:val="0"/>
                    <w:rPr>
                      <w:rFonts w:ascii="Times New Roman" w:hAnsi="Times New Roman" w:eastAsia="宋体"/>
                      <w:color w:val="auto"/>
                      <w:spacing w:val="-11"/>
                      <w:sz w:val="21"/>
                      <w:szCs w:val="21"/>
                    </w:rPr>
                  </w:pPr>
                </w:p>
              </w:tc>
            </w:tr>
            <w:tr w14:paraId="07F52C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9" w:type="pct"/>
                  <w:shd w:val="clear" w:color="auto" w:fill="FFFFFF"/>
                  <w:noWrap w:val="0"/>
                  <w:vAlign w:val="center"/>
                </w:tcPr>
                <w:p w14:paraId="71121FD0">
                  <w:pPr>
                    <w:jc w:val="center"/>
                    <w:rPr>
                      <w:color w:val="auto"/>
                      <w:spacing w:val="-11"/>
                      <w:sz w:val="21"/>
                      <w:szCs w:val="21"/>
                    </w:rPr>
                  </w:pPr>
                  <w:r>
                    <w:rPr>
                      <w:color w:val="auto"/>
                      <w:spacing w:val="-11"/>
                      <w:sz w:val="21"/>
                      <w:szCs w:val="21"/>
                    </w:rPr>
                    <w:t>3</w:t>
                  </w:r>
                </w:p>
              </w:tc>
              <w:tc>
                <w:tcPr>
                  <w:tcW w:w="696" w:type="pct"/>
                  <w:shd w:val="clear" w:color="auto" w:fill="FFFFFF"/>
                  <w:noWrap w:val="0"/>
                  <w:vAlign w:val="center"/>
                </w:tcPr>
                <w:p w14:paraId="69B99DEB">
                  <w:pPr>
                    <w:jc w:val="center"/>
                    <w:rPr>
                      <w:color w:val="auto"/>
                      <w:sz w:val="21"/>
                      <w:szCs w:val="21"/>
                    </w:rPr>
                  </w:pPr>
                  <w:r>
                    <w:rPr>
                      <w:rFonts w:hint="eastAsia"/>
                      <w:color w:val="auto"/>
                      <w:sz w:val="21"/>
                      <w:szCs w:val="21"/>
                      <w:lang w:val="en-US" w:eastAsia="zh-CN"/>
                    </w:rPr>
                    <w:t>CPP</w:t>
                  </w:r>
                  <w:r>
                    <w:rPr>
                      <w:color w:val="auto"/>
                      <w:sz w:val="21"/>
                      <w:szCs w:val="21"/>
                    </w:rPr>
                    <w:t>薄膜</w:t>
                  </w:r>
                </w:p>
              </w:tc>
              <w:tc>
                <w:tcPr>
                  <w:tcW w:w="1821" w:type="pct"/>
                  <w:shd w:val="clear" w:color="auto" w:fill="FFFFFF"/>
                  <w:noWrap w:val="0"/>
                  <w:vAlign w:val="center"/>
                </w:tcPr>
                <w:p w14:paraId="458A8F2E">
                  <w:pPr>
                    <w:widowControl/>
                    <w:spacing w:line="320" w:lineRule="exact"/>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流延聚丙烯</w:t>
                  </w:r>
                </w:p>
              </w:tc>
              <w:tc>
                <w:tcPr>
                  <w:tcW w:w="412" w:type="pct"/>
                  <w:shd w:val="clear" w:color="auto" w:fill="FFFFFF"/>
                  <w:noWrap w:val="0"/>
                  <w:vAlign w:val="center"/>
                </w:tcPr>
                <w:p w14:paraId="4085F3A9">
                  <w:pPr>
                    <w:spacing w:line="320" w:lineRule="exact"/>
                    <w:jc w:val="center"/>
                    <w:rPr>
                      <w:rFonts w:hint="default"/>
                      <w:color w:val="auto"/>
                      <w:sz w:val="21"/>
                      <w:szCs w:val="21"/>
                      <w:lang w:val="en-US" w:eastAsia="zh-CN"/>
                    </w:rPr>
                  </w:pPr>
                  <w:r>
                    <w:rPr>
                      <w:rFonts w:hint="eastAsia"/>
                      <w:color w:val="auto"/>
                      <w:sz w:val="21"/>
                      <w:szCs w:val="21"/>
                      <w:lang w:val="en-US" w:eastAsia="zh-CN"/>
                    </w:rPr>
                    <w:t>130</w:t>
                  </w:r>
                </w:p>
              </w:tc>
              <w:tc>
                <w:tcPr>
                  <w:tcW w:w="470" w:type="pct"/>
                  <w:shd w:val="clear" w:color="auto" w:fill="FFFFFF"/>
                  <w:noWrap w:val="0"/>
                  <w:vAlign w:val="center"/>
                </w:tcPr>
                <w:p w14:paraId="266A9637">
                  <w:pPr>
                    <w:spacing w:line="320" w:lineRule="exact"/>
                    <w:jc w:val="center"/>
                    <w:rPr>
                      <w:color w:val="auto"/>
                      <w:sz w:val="21"/>
                      <w:szCs w:val="21"/>
                    </w:rPr>
                  </w:pPr>
                  <w:r>
                    <w:rPr>
                      <w:color w:val="auto"/>
                      <w:sz w:val="21"/>
                      <w:szCs w:val="21"/>
                    </w:rPr>
                    <w:t>5</w:t>
                  </w:r>
                </w:p>
              </w:tc>
              <w:tc>
                <w:tcPr>
                  <w:tcW w:w="746" w:type="pct"/>
                  <w:shd w:val="clear" w:color="auto" w:fill="FFFFFF"/>
                  <w:noWrap w:val="0"/>
                  <w:vAlign w:val="center"/>
                </w:tcPr>
                <w:p w14:paraId="5175D3C9">
                  <w:pPr>
                    <w:spacing w:line="320" w:lineRule="exact"/>
                    <w:jc w:val="center"/>
                    <w:rPr>
                      <w:color w:val="auto"/>
                      <w:sz w:val="21"/>
                      <w:szCs w:val="21"/>
                    </w:rPr>
                  </w:pPr>
                  <w:r>
                    <w:rPr>
                      <w:color w:val="auto"/>
                      <w:sz w:val="21"/>
                      <w:szCs w:val="21"/>
                    </w:rPr>
                    <w:t>100m/卷</w:t>
                  </w:r>
                </w:p>
              </w:tc>
              <w:tc>
                <w:tcPr>
                  <w:tcW w:w="554" w:type="pct"/>
                  <w:vMerge w:val="continue"/>
                  <w:shd w:val="clear" w:color="auto" w:fill="FFFFFF"/>
                  <w:noWrap w:val="0"/>
                  <w:vAlign w:val="center"/>
                </w:tcPr>
                <w:p w14:paraId="6FE4B78C">
                  <w:pPr>
                    <w:pStyle w:val="49"/>
                    <w:adjustRightInd w:val="0"/>
                    <w:snapToGrid w:val="0"/>
                    <w:rPr>
                      <w:rFonts w:ascii="Times New Roman" w:hAnsi="Times New Roman" w:eastAsia="宋体"/>
                      <w:color w:val="auto"/>
                      <w:spacing w:val="-11"/>
                      <w:sz w:val="21"/>
                      <w:szCs w:val="21"/>
                    </w:rPr>
                  </w:pPr>
                </w:p>
              </w:tc>
            </w:tr>
            <w:tr w14:paraId="53B9E2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9" w:type="pct"/>
                  <w:shd w:val="clear" w:color="auto" w:fill="FFFFFF"/>
                  <w:noWrap w:val="0"/>
                  <w:vAlign w:val="center"/>
                </w:tcPr>
                <w:p w14:paraId="7104E2DA">
                  <w:pPr>
                    <w:jc w:val="center"/>
                    <w:rPr>
                      <w:color w:val="auto"/>
                      <w:spacing w:val="-11"/>
                      <w:sz w:val="21"/>
                      <w:szCs w:val="21"/>
                    </w:rPr>
                  </w:pPr>
                  <w:r>
                    <w:rPr>
                      <w:color w:val="auto"/>
                      <w:spacing w:val="-11"/>
                      <w:sz w:val="21"/>
                      <w:szCs w:val="21"/>
                    </w:rPr>
                    <w:t>4</w:t>
                  </w:r>
                </w:p>
              </w:tc>
              <w:tc>
                <w:tcPr>
                  <w:tcW w:w="696" w:type="pct"/>
                  <w:shd w:val="clear" w:color="auto" w:fill="FFFFFF"/>
                  <w:noWrap w:val="0"/>
                  <w:vAlign w:val="center"/>
                </w:tcPr>
                <w:p w14:paraId="048D8A05">
                  <w:pPr>
                    <w:pStyle w:val="49"/>
                    <w:adjustRightInd w:val="0"/>
                    <w:snapToGrid w:val="0"/>
                    <w:rPr>
                      <w:rFonts w:ascii="Times New Roman" w:hAnsi="Times New Roman" w:eastAsia="宋体"/>
                      <w:color w:val="auto"/>
                      <w:sz w:val="21"/>
                      <w:szCs w:val="21"/>
                    </w:rPr>
                  </w:pPr>
                  <w:r>
                    <w:rPr>
                      <w:rFonts w:ascii="Times New Roman" w:hAnsi="Times New Roman"/>
                      <w:color w:val="auto"/>
                      <w:sz w:val="21"/>
                      <w:szCs w:val="21"/>
                    </w:rPr>
                    <w:t>PE</w:t>
                  </w:r>
                  <w:r>
                    <w:rPr>
                      <w:rFonts w:ascii="Times New Roman" w:hAnsi="Times New Roman" w:eastAsia="宋体"/>
                      <w:color w:val="auto"/>
                      <w:sz w:val="21"/>
                      <w:szCs w:val="21"/>
                    </w:rPr>
                    <w:t>薄膜</w:t>
                  </w:r>
                </w:p>
              </w:tc>
              <w:tc>
                <w:tcPr>
                  <w:tcW w:w="1821" w:type="pct"/>
                  <w:shd w:val="clear" w:color="auto" w:fill="FFFFFF"/>
                  <w:noWrap w:val="0"/>
                  <w:vAlign w:val="center"/>
                </w:tcPr>
                <w:p w14:paraId="384BCD36">
                  <w:pPr>
                    <w:widowControl/>
                    <w:spacing w:line="320" w:lineRule="exact"/>
                    <w:jc w:val="center"/>
                    <w:rPr>
                      <w:color w:val="auto"/>
                      <w:sz w:val="21"/>
                      <w:szCs w:val="21"/>
                    </w:rPr>
                  </w:pPr>
                  <w:r>
                    <w:rPr>
                      <w:color w:val="auto"/>
                      <w:sz w:val="21"/>
                      <w:szCs w:val="21"/>
                    </w:rPr>
                    <w:t>聚乙烯</w:t>
                  </w:r>
                </w:p>
              </w:tc>
              <w:tc>
                <w:tcPr>
                  <w:tcW w:w="412" w:type="pct"/>
                  <w:shd w:val="clear" w:color="auto" w:fill="FFFFFF"/>
                  <w:noWrap w:val="0"/>
                  <w:vAlign w:val="center"/>
                </w:tcPr>
                <w:p w14:paraId="28480DA8">
                  <w:pPr>
                    <w:spacing w:line="320" w:lineRule="exact"/>
                    <w:jc w:val="center"/>
                    <w:rPr>
                      <w:rFonts w:hint="default"/>
                      <w:color w:val="auto"/>
                      <w:sz w:val="21"/>
                      <w:szCs w:val="21"/>
                      <w:lang w:val="en-US" w:eastAsia="zh-CN"/>
                    </w:rPr>
                  </w:pPr>
                  <w:r>
                    <w:rPr>
                      <w:rFonts w:hint="eastAsia"/>
                      <w:color w:val="auto"/>
                      <w:sz w:val="21"/>
                      <w:szCs w:val="21"/>
                      <w:lang w:val="en-US" w:eastAsia="zh-CN"/>
                    </w:rPr>
                    <w:t>85.15</w:t>
                  </w:r>
                </w:p>
              </w:tc>
              <w:tc>
                <w:tcPr>
                  <w:tcW w:w="470" w:type="pct"/>
                  <w:shd w:val="clear" w:color="auto" w:fill="FFFFFF"/>
                  <w:noWrap w:val="0"/>
                  <w:vAlign w:val="center"/>
                </w:tcPr>
                <w:p w14:paraId="4F1C1D22">
                  <w:pPr>
                    <w:spacing w:line="320" w:lineRule="exact"/>
                    <w:jc w:val="center"/>
                    <w:rPr>
                      <w:color w:val="auto"/>
                      <w:sz w:val="21"/>
                      <w:szCs w:val="21"/>
                    </w:rPr>
                  </w:pPr>
                  <w:r>
                    <w:rPr>
                      <w:color w:val="auto"/>
                      <w:sz w:val="21"/>
                      <w:szCs w:val="21"/>
                    </w:rPr>
                    <w:t>5</w:t>
                  </w:r>
                </w:p>
              </w:tc>
              <w:tc>
                <w:tcPr>
                  <w:tcW w:w="746" w:type="pct"/>
                  <w:shd w:val="clear" w:color="auto" w:fill="FFFFFF"/>
                  <w:noWrap w:val="0"/>
                  <w:vAlign w:val="center"/>
                </w:tcPr>
                <w:p w14:paraId="7E012DA0">
                  <w:pPr>
                    <w:spacing w:line="320" w:lineRule="exact"/>
                    <w:jc w:val="center"/>
                    <w:rPr>
                      <w:color w:val="auto"/>
                      <w:sz w:val="21"/>
                      <w:szCs w:val="21"/>
                    </w:rPr>
                  </w:pPr>
                  <w:r>
                    <w:rPr>
                      <w:color w:val="auto"/>
                      <w:sz w:val="21"/>
                      <w:szCs w:val="21"/>
                    </w:rPr>
                    <w:t>100m/卷</w:t>
                  </w:r>
                </w:p>
              </w:tc>
              <w:tc>
                <w:tcPr>
                  <w:tcW w:w="554" w:type="pct"/>
                  <w:vMerge w:val="continue"/>
                  <w:shd w:val="clear" w:color="auto" w:fill="FFFFFF"/>
                  <w:noWrap w:val="0"/>
                  <w:vAlign w:val="center"/>
                </w:tcPr>
                <w:p w14:paraId="58485FB9">
                  <w:pPr>
                    <w:pStyle w:val="49"/>
                    <w:adjustRightInd w:val="0"/>
                    <w:snapToGrid w:val="0"/>
                    <w:rPr>
                      <w:rFonts w:ascii="Times New Roman" w:hAnsi="Times New Roman" w:eastAsia="宋体"/>
                      <w:color w:val="auto"/>
                      <w:spacing w:val="-11"/>
                      <w:sz w:val="21"/>
                      <w:szCs w:val="21"/>
                    </w:rPr>
                  </w:pPr>
                </w:p>
              </w:tc>
            </w:tr>
            <w:tr w14:paraId="16D5CB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9" w:type="pct"/>
                  <w:shd w:val="clear" w:color="auto" w:fill="FFFFFF"/>
                  <w:noWrap w:val="0"/>
                  <w:vAlign w:val="center"/>
                </w:tcPr>
                <w:p w14:paraId="63AF13A0">
                  <w:pPr>
                    <w:jc w:val="center"/>
                    <w:rPr>
                      <w:color w:val="auto"/>
                      <w:spacing w:val="-11"/>
                      <w:sz w:val="21"/>
                      <w:szCs w:val="21"/>
                    </w:rPr>
                  </w:pPr>
                  <w:r>
                    <w:rPr>
                      <w:color w:val="auto"/>
                      <w:spacing w:val="-11"/>
                      <w:sz w:val="21"/>
                      <w:szCs w:val="21"/>
                    </w:rPr>
                    <w:t>5</w:t>
                  </w:r>
                </w:p>
              </w:tc>
              <w:tc>
                <w:tcPr>
                  <w:tcW w:w="696" w:type="pct"/>
                  <w:shd w:val="clear" w:color="auto" w:fill="FFFFFF"/>
                  <w:noWrap w:val="0"/>
                  <w:vAlign w:val="center"/>
                </w:tcPr>
                <w:p w14:paraId="25832518">
                  <w:pPr>
                    <w:pStyle w:val="49"/>
                    <w:adjustRightInd w:val="0"/>
                    <w:snapToGrid w:val="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水性油墨</w:t>
                  </w:r>
                </w:p>
              </w:tc>
              <w:tc>
                <w:tcPr>
                  <w:tcW w:w="1821" w:type="pct"/>
                  <w:shd w:val="clear" w:color="auto" w:fill="FFFFFF"/>
                  <w:noWrap w:val="0"/>
                  <w:vAlign w:val="center"/>
                </w:tcPr>
                <w:p w14:paraId="52A4C7EE">
                  <w:pPr>
                    <w:pStyle w:val="49"/>
                    <w:adjustRightInd w:val="0"/>
                    <w:snapToGrid w:val="0"/>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olor w:val="auto"/>
                      <w:sz w:val="21"/>
                      <w:szCs w:val="21"/>
                    </w:rPr>
                    <w:t>聚氨酯树脂40%，钛白粉37%，水6%，乙醇17%</w:t>
                  </w:r>
                </w:p>
              </w:tc>
              <w:tc>
                <w:tcPr>
                  <w:tcW w:w="412" w:type="pct"/>
                  <w:shd w:val="clear" w:color="auto" w:fill="FFFFFF"/>
                  <w:noWrap w:val="0"/>
                  <w:vAlign w:val="center"/>
                </w:tcPr>
                <w:p w14:paraId="00094FDD">
                  <w:pPr>
                    <w:spacing w:line="320" w:lineRule="exact"/>
                    <w:jc w:val="center"/>
                    <w:rPr>
                      <w:rFonts w:hint="default" w:eastAsia="宋体"/>
                      <w:color w:val="auto"/>
                      <w:sz w:val="21"/>
                      <w:szCs w:val="21"/>
                      <w:lang w:val="en-US" w:eastAsia="zh-CN"/>
                    </w:rPr>
                  </w:pPr>
                  <w:r>
                    <w:rPr>
                      <w:rFonts w:hint="eastAsia"/>
                      <w:color w:val="auto"/>
                      <w:sz w:val="21"/>
                      <w:szCs w:val="21"/>
                      <w:lang w:val="en-US" w:eastAsia="zh-CN"/>
                    </w:rPr>
                    <w:t>12</w:t>
                  </w:r>
                </w:p>
              </w:tc>
              <w:tc>
                <w:tcPr>
                  <w:tcW w:w="470" w:type="pct"/>
                  <w:shd w:val="clear" w:color="auto" w:fill="FFFFFF"/>
                  <w:noWrap w:val="0"/>
                  <w:vAlign w:val="center"/>
                </w:tcPr>
                <w:p w14:paraId="5D2A39AF">
                  <w:pPr>
                    <w:pStyle w:val="49"/>
                    <w:adjustRightInd w:val="0"/>
                    <w:snapToGrid w:val="0"/>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val="en-US" w:eastAsia="zh-CN"/>
                    </w:rPr>
                    <w:t>1</w:t>
                  </w:r>
                </w:p>
              </w:tc>
              <w:tc>
                <w:tcPr>
                  <w:tcW w:w="746" w:type="pct"/>
                  <w:shd w:val="clear" w:color="auto" w:fill="FFFFFF"/>
                  <w:noWrap w:val="0"/>
                  <w:vAlign w:val="center"/>
                </w:tcPr>
                <w:p w14:paraId="20405350">
                  <w:pPr>
                    <w:adjustRightInd w:val="0"/>
                    <w:snapToGrid w:val="0"/>
                    <w:jc w:val="center"/>
                    <w:rPr>
                      <w:color w:val="auto"/>
                      <w:sz w:val="21"/>
                      <w:szCs w:val="21"/>
                    </w:rPr>
                  </w:pPr>
                  <w:r>
                    <w:rPr>
                      <w:color w:val="auto"/>
                      <w:sz w:val="21"/>
                      <w:szCs w:val="21"/>
                    </w:rPr>
                    <w:t>20kg/桶</w:t>
                  </w:r>
                </w:p>
              </w:tc>
              <w:tc>
                <w:tcPr>
                  <w:tcW w:w="554" w:type="pct"/>
                  <w:vMerge w:val="continue"/>
                  <w:shd w:val="clear" w:color="auto" w:fill="FFFFFF"/>
                  <w:noWrap w:val="0"/>
                  <w:vAlign w:val="center"/>
                </w:tcPr>
                <w:p w14:paraId="09A7B877">
                  <w:pPr>
                    <w:adjustRightInd w:val="0"/>
                    <w:snapToGrid w:val="0"/>
                    <w:jc w:val="center"/>
                    <w:rPr>
                      <w:color w:val="auto"/>
                      <w:sz w:val="21"/>
                      <w:szCs w:val="21"/>
                    </w:rPr>
                  </w:pPr>
                </w:p>
              </w:tc>
            </w:tr>
            <w:tr w14:paraId="22A7E4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9" w:type="pct"/>
                  <w:shd w:val="clear" w:color="auto" w:fill="FFFFFF"/>
                  <w:noWrap w:val="0"/>
                  <w:vAlign w:val="center"/>
                </w:tcPr>
                <w:p w14:paraId="02EFCCDE">
                  <w:pPr>
                    <w:jc w:val="center"/>
                    <w:rPr>
                      <w:color w:val="auto"/>
                      <w:spacing w:val="-11"/>
                      <w:sz w:val="21"/>
                      <w:szCs w:val="21"/>
                    </w:rPr>
                  </w:pPr>
                  <w:r>
                    <w:rPr>
                      <w:color w:val="auto"/>
                      <w:spacing w:val="-11"/>
                      <w:sz w:val="21"/>
                      <w:szCs w:val="21"/>
                    </w:rPr>
                    <w:t>6</w:t>
                  </w:r>
                </w:p>
              </w:tc>
              <w:tc>
                <w:tcPr>
                  <w:tcW w:w="696" w:type="pct"/>
                  <w:shd w:val="clear" w:color="auto" w:fill="FFFFFF"/>
                  <w:noWrap w:val="0"/>
                  <w:vAlign w:val="center"/>
                </w:tcPr>
                <w:p w14:paraId="41A4A297">
                  <w:pPr>
                    <w:pStyle w:val="49"/>
                    <w:adjustRightInd w:val="0"/>
                    <w:snapToGrid w:val="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胶水</w:t>
                  </w:r>
                </w:p>
              </w:tc>
              <w:tc>
                <w:tcPr>
                  <w:tcW w:w="1821" w:type="pct"/>
                  <w:shd w:val="clear" w:color="auto" w:fill="FFFFFF"/>
                  <w:noWrap w:val="0"/>
                  <w:vAlign w:val="center"/>
                </w:tcPr>
                <w:p w14:paraId="37725EAD">
                  <w:pPr>
                    <w:pStyle w:val="49"/>
                    <w:adjustRightInd w:val="0"/>
                    <w:snapToGrid w:val="0"/>
                    <w:rPr>
                      <w:rFonts w:hint="eastAsia" w:ascii="Times New Roman" w:hAnsi="Times New Roman" w:eastAsia="宋体" w:cs="Times New Roman"/>
                      <w:color w:val="auto"/>
                      <w:kern w:val="2"/>
                      <w:sz w:val="21"/>
                      <w:szCs w:val="21"/>
                      <w:lang w:val="en-US" w:eastAsia="zh-CN" w:bidi="ar-SA"/>
                    </w:rPr>
                  </w:pPr>
                  <w:bookmarkStart w:id="5" w:name="OLE_LINK2"/>
                  <w:r>
                    <w:rPr>
                      <w:rFonts w:hint="eastAsia" w:ascii="Times New Roman" w:hAnsi="Times New Roman" w:eastAsia="宋体" w:cs="Times New Roman"/>
                      <w:color w:val="auto"/>
                      <w:kern w:val="2"/>
                      <w:sz w:val="21"/>
                      <w:szCs w:val="21"/>
                      <w:lang w:val="en-US" w:eastAsia="zh-CN" w:bidi="ar-SA"/>
                    </w:rPr>
                    <w:t>聚醚多羟基化合物30~60%、2,2'-氧二乙醇10~20%、12-环氧甲氧基-9-十八烯酸甘油三酯聚合物10~20%、3-氨丙基三乙氧硅烷5~10%、2,3-环氧丙基丙基三甲氧基硅烷1~2.5%</w:t>
                  </w:r>
                  <w:bookmarkEnd w:id="5"/>
                </w:p>
              </w:tc>
              <w:tc>
                <w:tcPr>
                  <w:tcW w:w="412" w:type="pct"/>
                  <w:shd w:val="clear" w:color="auto" w:fill="FFFFFF"/>
                  <w:noWrap w:val="0"/>
                  <w:vAlign w:val="center"/>
                </w:tcPr>
                <w:p w14:paraId="4005C693">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470" w:type="pct"/>
                  <w:shd w:val="clear" w:color="auto" w:fill="FFFFFF"/>
                  <w:noWrap w:val="0"/>
                  <w:vAlign w:val="center"/>
                </w:tcPr>
                <w:p w14:paraId="097B9BF1">
                  <w:pPr>
                    <w:pStyle w:val="49"/>
                    <w:adjustRightInd w:val="0"/>
                    <w:snapToGrid w:val="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w:t>
                  </w:r>
                </w:p>
              </w:tc>
              <w:tc>
                <w:tcPr>
                  <w:tcW w:w="746" w:type="pct"/>
                  <w:shd w:val="clear" w:color="auto" w:fill="FFFFFF"/>
                  <w:noWrap w:val="0"/>
                  <w:vAlign w:val="center"/>
                </w:tcPr>
                <w:p w14:paraId="51D25C3E">
                  <w:pPr>
                    <w:adjustRightInd w:val="0"/>
                    <w:snapToGrid w:val="0"/>
                    <w:jc w:val="center"/>
                    <w:rPr>
                      <w:color w:val="auto"/>
                      <w:sz w:val="21"/>
                      <w:szCs w:val="21"/>
                    </w:rPr>
                  </w:pPr>
                  <w:r>
                    <w:rPr>
                      <w:color w:val="auto"/>
                      <w:sz w:val="21"/>
                      <w:szCs w:val="21"/>
                    </w:rPr>
                    <w:t>20kg/桶</w:t>
                  </w:r>
                </w:p>
              </w:tc>
              <w:tc>
                <w:tcPr>
                  <w:tcW w:w="554" w:type="pct"/>
                  <w:vMerge w:val="continue"/>
                  <w:shd w:val="clear" w:color="auto" w:fill="FFFFFF"/>
                  <w:noWrap w:val="0"/>
                  <w:vAlign w:val="center"/>
                </w:tcPr>
                <w:p w14:paraId="2F201CC6">
                  <w:pPr>
                    <w:adjustRightInd w:val="0"/>
                    <w:snapToGrid w:val="0"/>
                    <w:jc w:val="center"/>
                    <w:rPr>
                      <w:color w:val="auto"/>
                      <w:spacing w:val="-11"/>
                      <w:sz w:val="21"/>
                      <w:szCs w:val="21"/>
                    </w:rPr>
                  </w:pPr>
                </w:p>
              </w:tc>
            </w:tr>
          </w:tbl>
          <w:p w14:paraId="558DD068">
            <w:pPr>
              <w:adjustRightInd w:val="0"/>
              <w:snapToGrid w:val="0"/>
              <w:spacing w:line="360" w:lineRule="auto"/>
              <w:ind w:firstLine="420"/>
              <w:rPr>
                <w:b/>
                <w:bCs/>
                <w:color w:val="auto"/>
                <w:sz w:val="21"/>
                <w:szCs w:val="21"/>
              </w:rPr>
            </w:pPr>
            <w:r>
              <w:rPr>
                <w:rFonts w:hint="eastAsia"/>
                <w:b/>
                <w:bCs/>
                <w:color w:val="auto"/>
                <w:sz w:val="21"/>
                <w:szCs w:val="21"/>
                <w:lang w:eastAsia="zh-CN"/>
              </w:rPr>
              <w:t>（</w:t>
            </w:r>
            <w:r>
              <w:rPr>
                <w:rFonts w:hint="eastAsia"/>
                <w:b/>
                <w:bCs/>
                <w:color w:val="auto"/>
                <w:sz w:val="21"/>
                <w:szCs w:val="21"/>
                <w:lang w:val="en-US" w:eastAsia="zh-CN"/>
              </w:rPr>
              <w:t>2</w:t>
            </w:r>
            <w:r>
              <w:rPr>
                <w:rFonts w:hint="eastAsia"/>
                <w:b/>
                <w:bCs/>
                <w:color w:val="auto"/>
                <w:sz w:val="21"/>
                <w:szCs w:val="21"/>
                <w:lang w:eastAsia="zh-CN"/>
              </w:rPr>
              <w:t>）</w:t>
            </w:r>
            <w:r>
              <w:rPr>
                <w:rFonts w:hint="eastAsia"/>
                <w:b/>
                <w:bCs/>
                <w:color w:val="auto"/>
                <w:sz w:val="21"/>
                <w:szCs w:val="21"/>
              </w:rPr>
              <w:t>油墨、胶水</w:t>
            </w:r>
            <w:r>
              <w:rPr>
                <w:b/>
                <w:bCs/>
                <w:color w:val="auto"/>
                <w:sz w:val="21"/>
                <w:szCs w:val="21"/>
              </w:rPr>
              <w:t>挥发性有机物含量分析情况</w:t>
            </w:r>
          </w:p>
          <w:p w14:paraId="4B89510D">
            <w:pPr>
              <w:adjustRightInd w:val="0"/>
              <w:snapToGrid w:val="0"/>
              <w:spacing w:line="360" w:lineRule="auto"/>
              <w:ind w:firstLine="420" w:firstLineChars="200"/>
              <w:rPr>
                <w:bCs/>
                <w:color w:val="auto"/>
                <w:sz w:val="21"/>
                <w:szCs w:val="21"/>
              </w:rPr>
            </w:pPr>
            <w:r>
              <w:rPr>
                <w:bCs/>
                <w:color w:val="auto"/>
                <w:sz w:val="21"/>
                <w:szCs w:val="21"/>
              </w:rPr>
              <w:t>项目印刷过程使用</w:t>
            </w:r>
            <w:r>
              <w:rPr>
                <w:rFonts w:hint="eastAsia"/>
                <w:bCs/>
                <w:color w:val="auto"/>
                <w:sz w:val="21"/>
                <w:szCs w:val="21"/>
                <w:lang w:val="en-US" w:eastAsia="zh-CN"/>
              </w:rPr>
              <w:t>水性</w:t>
            </w:r>
            <w:r>
              <w:rPr>
                <w:bCs/>
                <w:color w:val="auto"/>
                <w:sz w:val="21"/>
                <w:szCs w:val="21"/>
              </w:rPr>
              <w:t>油墨</w:t>
            </w:r>
            <w:r>
              <w:rPr>
                <w:rFonts w:hint="eastAsia"/>
                <w:bCs/>
                <w:color w:val="auto"/>
                <w:sz w:val="21"/>
                <w:szCs w:val="21"/>
              </w:rPr>
              <w:t>，</w:t>
            </w:r>
            <w:r>
              <w:rPr>
                <w:rFonts w:hint="eastAsia"/>
                <w:bCs/>
                <w:color w:val="auto"/>
                <w:sz w:val="21"/>
                <w:szCs w:val="21"/>
                <w:lang w:val="en-US" w:eastAsia="zh-CN"/>
              </w:rPr>
              <w:t>水性</w:t>
            </w:r>
            <w:r>
              <w:rPr>
                <w:bCs/>
                <w:color w:val="auto"/>
                <w:sz w:val="21"/>
                <w:szCs w:val="21"/>
              </w:rPr>
              <w:t>油墨VOCs含量参照执行《油墨中可挥发性有机化合物（VOCs）含量的限值》（GB38507-2020）中表</w:t>
            </w:r>
            <w:r>
              <w:rPr>
                <w:rFonts w:hint="eastAsia"/>
                <w:bCs/>
                <w:color w:val="auto"/>
                <w:sz w:val="21"/>
                <w:szCs w:val="21"/>
              </w:rPr>
              <w:t>1</w:t>
            </w:r>
            <w:r>
              <w:rPr>
                <w:bCs/>
                <w:color w:val="auto"/>
                <w:sz w:val="21"/>
                <w:szCs w:val="21"/>
              </w:rPr>
              <w:t>“</w:t>
            </w:r>
            <w:r>
              <w:rPr>
                <w:rFonts w:hint="eastAsia"/>
                <w:bCs/>
                <w:color w:val="auto"/>
                <w:sz w:val="21"/>
                <w:szCs w:val="21"/>
                <w:lang w:val="en-US" w:eastAsia="zh-CN"/>
              </w:rPr>
              <w:t>水性</w:t>
            </w:r>
            <w:r>
              <w:rPr>
                <w:bCs/>
                <w:color w:val="auto"/>
                <w:sz w:val="21"/>
                <w:szCs w:val="21"/>
              </w:rPr>
              <w:t>油墨</w:t>
            </w:r>
            <w:r>
              <w:rPr>
                <w:rFonts w:hint="eastAsia"/>
                <w:bCs/>
                <w:color w:val="auto"/>
                <w:sz w:val="21"/>
                <w:szCs w:val="21"/>
              </w:rPr>
              <w:t>-</w:t>
            </w:r>
            <w:r>
              <w:rPr>
                <w:bCs/>
                <w:color w:val="auto"/>
                <w:sz w:val="21"/>
                <w:szCs w:val="21"/>
              </w:rPr>
              <w:t>凹印</w:t>
            </w:r>
            <w:r>
              <w:rPr>
                <w:rFonts w:hint="eastAsia"/>
                <w:bCs/>
                <w:color w:val="auto"/>
                <w:sz w:val="21"/>
                <w:szCs w:val="21"/>
              </w:rPr>
              <w:t>油墨</w:t>
            </w:r>
            <w:r>
              <w:rPr>
                <w:rFonts w:hint="eastAsia"/>
                <w:bCs/>
                <w:color w:val="auto"/>
                <w:sz w:val="21"/>
                <w:szCs w:val="21"/>
                <w:lang w:val="en-US" w:eastAsia="zh-CN"/>
              </w:rPr>
              <w:t>-</w:t>
            </w:r>
            <w:r>
              <w:rPr>
                <w:bCs/>
                <w:color w:val="auto"/>
                <w:sz w:val="21"/>
                <w:szCs w:val="21"/>
              </w:rPr>
              <w:t>非吸收性承载物”相关限值（</w:t>
            </w:r>
            <w:r>
              <w:rPr>
                <w:rFonts w:hint="eastAsia"/>
                <w:bCs/>
                <w:color w:val="auto"/>
                <w:sz w:val="21"/>
                <w:szCs w:val="21"/>
                <w:lang w:val="en-US" w:eastAsia="zh-CN"/>
              </w:rPr>
              <w:t>30</w:t>
            </w:r>
            <w:r>
              <w:rPr>
                <w:bCs/>
                <w:color w:val="auto"/>
                <w:sz w:val="21"/>
                <w:szCs w:val="21"/>
              </w:rPr>
              <w:t>%）。</w:t>
            </w:r>
            <w:r>
              <w:rPr>
                <w:rFonts w:hint="eastAsia"/>
                <w:bCs/>
                <w:color w:val="auto"/>
                <w:sz w:val="21"/>
                <w:szCs w:val="21"/>
              </w:rPr>
              <w:t>根据</w:t>
            </w:r>
            <w:r>
              <w:rPr>
                <w:bCs/>
                <w:color w:val="auto"/>
                <w:sz w:val="21"/>
                <w:szCs w:val="21"/>
              </w:rPr>
              <w:t>油墨</w:t>
            </w:r>
            <w:r>
              <w:rPr>
                <w:rFonts w:hint="eastAsia"/>
                <w:bCs/>
                <w:color w:val="auto"/>
                <w:sz w:val="21"/>
                <w:szCs w:val="21"/>
              </w:rPr>
              <w:t>SGS检测报告，</w:t>
            </w:r>
            <w:r>
              <w:rPr>
                <w:bCs/>
                <w:color w:val="auto"/>
                <w:sz w:val="21"/>
                <w:szCs w:val="21"/>
              </w:rPr>
              <w:t>项目</w:t>
            </w:r>
            <w:r>
              <w:rPr>
                <w:rFonts w:hint="eastAsia"/>
                <w:bCs/>
                <w:color w:val="auto"/>
                <w:sz w:val="21"/>
                <w:szCs w:val="21"/>
                <w:lang w:val="en-US" w:eastAsia="zh-CN"/>
              </w:rPr>
              <w:t>水性</w:t>
            </w:r>
            <w:r>
              <w:rPr>
                <w:bCs/>
                <w:color w:val="auto"/>
                <w:sz w:val="21"/>
                <w:szCs w:val="21"/>
              </w:rPr>
              <w:t>油墨中挥发性有机化合物含量为</w:t>
            </w:r>
            <w:r>
              <w:rPr>
                <w:rFonts w:hint="eastAsia"/>
                <w:bCs/>
                <w:color w:val="auto"/>
                <w:sz w:val="21"/>
                <w:szCs w:val="21"/>
                <w:lang w:val="en-US" w:eastAsia="zh-CN"/>
              </w:rPr>
              <w:t>17</w:t>
            </w:r>
            <w:r>
              <w:rPr>
                <w:bCs/>
                <w:color w:val="auto"/>
                <w:sz w:val="21"/>
                <w:szCs w:val="21"/>
              </w:rPr>
              <w:t>%，符合《油墨中可挥发性有机化合物（VOCs）含量的限值》（GB38507-2020）中关于“</w:t>
            </w:r>
            <w:r>
              <w:rPr>
                <w:rFonts w:hint="eastAsia"/>
                <w:bCs/>
                <w:color w:val="auto"/>
                <w:sz w:val="21"/>
                <w:szCs w:val="21"/>
                <w:lang w:val="en-US" w:eastAsia="zh-CN"/>
              </w:rPr>
              <w:t>水性</w:t>
            </w:r>
            <w:r>
              <w:rPr>
                <w:bCs/>
                <w:color w:val="auto"/>
                <w:sz w:val="21"/>
                <w:szCs w:val="21"/>
              </w:rPr>
              <w:t>油墨”限值要求。</w:t>
            </w:r>
          </w:p>
          <w:p w14:paraId="7664576A">
            <w:pPr>
              <w:adjustRightInd w:val="0"/>
              <w:snapToGrid w:val="0"/>
              <w:spacing w:line="360" w:lineRule="auto"/>
              <w:ind w:firstLine="420" w:firstLineChars="200"/>
              <w:rPr>
                <w:bCs/>
                <w:color w:val="auto"/>
                <w:sz w:val="21"/>
                <w:szCs w:val="21"/>
              </w:rPr>
            </w:pPr>
            <w:r>
              <w:rPr>
                <w:bCs/>
                <w:color w:val="auto"/>
                <w:sz w:val="21"/>
                <w:szCs w:val="21"/>
              </w:rPr>
              <w:t>项目复合过程使用</w:t>
            </w:r>
            <w:r>
              <w:rPr>
                <w:rFonts w:hint="eastAsia"/>
                <w:bCs/>
                <w:color w:val="auto"/>
                <w:sz w:val="21"/>
                <w:szCs w:val="21"/>
                <w:lang w:val="en-US" w:eastAsia="zh-CN"/>
              </w:rPr>
              <w:t>本体型</w:t>
            </w:r>
            <w:r>
              <w:rPr>
                <w:rFonts w:hint="eastAsia"/>
                <w:bCs/>
                <w:color w:val="auto"/>
                <w:sz w:val="21"/>
                <w:szCs w:val="21"/>
              </w:rPr>
              <w:t>胶水，</w:t>
            </w:r>
            <w:r>
              <w:rPr>
                <w:bCs/>
                <w:color w:val="auto"/>
                <w:sz w:val="21"/>
                <w:szCs w:val="21"/>
              </w:rPr>
              <w:t>胶水VOCs含量参照执行《胶粘剂挥发性有机化合物限量》(GB33372-2020)中表</w:t>
            </w:r>
            <w:r>
              <w:rPr>
                <w:rFonts w:hint="eastAsia"/>
                <w:bCs/>
                <w:color w:val="auto"/>
                <w:sz w:val="21"/>
                <w:szCs w:val="21"/>
                <w:lang w:val="en-US" w:eastAsia="zh-CN"/>
              </w:rPr>
              <w:t>3</w:t>
            </w:r>
            <w:r>
              <w:rPr>
                <w:bCs/>
                <w:color w:val="auto"/>
                <w:sz w:val="21"/>
                <w:szCs w:val="21"/>
              </w:rPr>
              <w:t>“</w:t>
            </w:r>
            <w:r>
              <w:rPr>
                <w:rFonts w:hint="eastAsia"/>
                <w:bCs/>
                <w:color w:val="auto"/>
                <w:sz w:val="21"/>
                <w:szCs w:val="21"/>
                <w:lang w:val="en-US" w:eastAsia="zh-CN"/>
              </w:rPr>
              <w:t>本体型胶黏剂</w:t>
            </w:r>
            <w:r>
              <w:rPr>
                <w:rFonts w:hint="eastAsia"/>
                <w:bCs/>
                <w:color w:val="auto"/>
                <w:sz w:val="21"/>
                <w:szCs w:val="21"/>
              </w:rPr>
              <w:t>-包装-</w:t>
            </w:r>
            <w:r>
              <w:rPr>
                <w:rFonts w:hint="eastAsia"/>
                <w:bCs/>
                <w:color w:val="auto"/>
                <w:sz w:val="21"/>
                <w:szCs w:val="21"/>
                <w:lang w:val="en-US" w:eastAsia="zh-CN"/>
              </w:rPr>
              <w:t>热塑</w:t>
            </w:r>
            <w:r>
              <w:rPr>
                <w:bCs/>
                <w:color w:val="auto"/>
                <w:sz w:val="21"/>
                <w:szCs w:val="21"/>
              </w:rPr>
              <w:t>类”相关限值（</w:t>
            </w:r>
            <w:r>
              <w:rPr>
                <w:rFonts w:hint="eastAsia"/>
                <w:bCs/>
                <w:color w:val="auto"/>
                <w:sz w:val="21"/>
                <w:szCs w:val="21"/>
                <w:lang w:val="en-US" w:eastAsia="zh-CN"/>
              </w:rPr>
              <w:t>5</w:t>
            </w:r>
            <w:r>
              <w:rPr>
                <w:bCs/>
                <w:color w:val="auto"/>
                <w:sz w:val="21"/>
                <w:szCs w:val="21"/>
              </w:rPr>
              <w:t>0g/L）。</w:t>
            </w:r>
            <w:r>
              <w:rPr>
                <w:rFonts w:hint="eastAsia"/>
                <w:bCs/>
                <w:color w:val="auto"/>
                <w:sz w:val="21"/>
                <w:szCs w:val="21"/>
              </w:rPr>
              <w:t>根据胶水SGS检测报告，</w:t>
            </w:r>
            <w:r>
              <w:rPr>
                <w:bCs/>
                <w:color w:val="auto"/>
                <w:sz w:val="21"/>
                <w:szCs w:val="21"/>
              </w:rPr>
              <w:t>项目</w:t>
            </w:r>
            <w:r>
              <w:rPr>
                <w:rFonts w:hint="eastAsia"/>
                <w:bCs/>
                <w:color w:val="auto"/>
                <w:sz w:val="21"/>
                <w:szCs w:val="21"/>
              </w:rPr>
              <w:t>胶水</w:t>
            </w:r>
            <w:r>
              <w:rPr>
                <w:bCs/>
                <w:color w:val="auto"/>
                <w:sz w:val="21"/>
                <w:szCs w:val="21"/>
              </w:rPr>
              <w:t>中挥发性有机化合物含量为</w:t>
            </w:r>
            <w:r>
              <w:rPr>
                <w:rFonts w:hint="eastAsia"/>
                <w:bCs/>
                <w:color w:val="auto"/>
                <w:sz w:val="21"/>
                <w:szCs w:val="21"/>
                <w:lang w:val="en-US" w:eastAsia="zh-CN"/>
              </w:rPr>
              <w:t>2</w:t>
            </w:r>
            <w:r>
              <w:rPr>
                <w:bCs/>
                <w:color w:val="auto"/>
                <w:sz w:val="21"/>
                <w:szCs w:val="21"/>
              </w:rPr>
              <w:t>g/</w:t>
            </w:r>
            <w:r>
              <w:rPr>
                <w:rFonts w:hint="eastAsia"/>
                <w:bCs/>
                <w:color w:val="auto"/>
                <w:sz w:val="21"/>
                <w:szCs w:val="21"/>
                <w:lang w:val="en-US" w:eastAsia="zh-CN"/>
              </w:rPr>
              <w:t>kg（约2.08</w:t>
            </w:r>
            <w:r>
              <w:rPr>
                <w:bCs/>
                <w:color w:val="auto"/>
                <w:sz w:val="21"/>
                <w:szCs w:val="21"/>
              </w:rPr>
              <w:t>g/L</w:t>
            </w:r>
            <w:r>
              <w:rPr>
                <w:rFonts w:hint="eastAsia"/>
                <w:bCs/>
                <w:color w:val="auto"/>
                <w:sz w:val="21"/>
                <w:szCs w:val="21"/>
                <w:lang w:val="en-US" w:eastAsia="zh-CN"/>
              </w:rPr>
              <w:t>）</w:t>
            </w:r>
            <w:r>
              <w:rPr>
                <w:bCs/>
                <w:color w:val="auto"/>
                <w:sz w:val="21"/>
                <w:szCs w:val="21"/>
              </w:rPr>
              <w:t>，满足《胶粘剂挥发性有机化合物限量》(GB33372-2020)中关于“</w:t>
            </w:r>
            <w:r>
              <w:rPr>
                <w:rFonts w:hint="eastAsia"/>
                <w:bCs/>
                <w:color w:val="auto"/>
                <w:sz w:val="21"/>
                <w:szCs w:val="21"/>
                <w:lang w:val="en-US" w:eastAsia="zh-CN"/>
              </w:rPr>
              <w:t>本体型胶黏剂</w:t>
            </w:r>
            <w:r>
              <w:rPr>
                <w:bCs/>
                <w:color w:val="auto"/>
                <w:sz w:val="21"/>
                <w:szCs w:val="21"/>
              </w:rPr>
              <w:t>”VOCs含量限值要求。</w:t>
            </w:r>
          </w:p>
          <w:p w14:paraId="51AD841A">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lang w:eastAsia="zh-CN"/>
              </w:rPr>
              <w:t>（</w:t>
            </w:r>
            <w:r>
              <w:rPr>
                <w:rFonts w:hint="eastAsia" w:cs="Times New Roman" w:eastAsiaTheme="minorEastAsia"/>
                <w:b/>
                <w:bCs/>
                <w:color w:val="auto"/>
                <w:sz w:val="21"/>
                <w:szCs w:val="21"/>
                <w:highlight w:val="none"/>
                <w:lang w:val="en-US" w:eastAsia="zh-CN"/>
              </w:rPr>
              <w:t>3</w:t>
            </w:r>
            <w:r>
              <w:rPr>
                <w:rFonts w:hint="default" w:ascii="Times New Roman" w:hAnsi="Times New Roman" w:cs="Times New Roman" w:eastAsiaTheme="minorEastAsia"/>
                <w:b/>
                <w:bCs/>
                <w:color w:val="auto"/>
                <w:sz w:val="21"/>
                <w:szCs w:val="21"/>
                <w:highlight w:val="none"/>
                <w:lang w:eastAsia="zh-CN"/>
              </w:rPr>
              <w:t>）</w:t>
            </w:r>
            <w:r>
              <w:rPr>
                <w:rFonts w:hint="default" w:ascii="Times New Roman" w:hAnsi="Times New Roman" w:cs="Times New Roman" w:eastAsiaTheme="minorEastAsia"/>
                <w:b/>
                <w:bCs/>
                <w:color w:val="auto"/>
                <w:sz w:val="21"/>
                <w:szCs w:val="21"/>
              </w:rPr>
              <w:t>主要原辅材料理化性质见下表</w:t>
            </w:r>
            <w:r>
              <w:rPr>
                <w:rFonts w:hint="default" w:ascii="Times New Roman" w:hAnsi="Times New Roman" w:cs="Times New Roman" w:eastAsiaTheme="minorEastAsia"/>
                <w:b/>
                <w:bCs/>
                <w:color w:val="auto"/>
                <w:sz w:val="21"/>
                <w:szCs w:val="21"/>
                <w:lang w:eastAsia="zh-CN"/>
              </w:rPr>
              <w:t>。</w:t>
            </w:r>
          </w:p>
          <w:p w14:paraId="0CC03841">
            <w:pPr>
              <w:adjustRightInd w:val="0"/>
              <w:snapToGrid w:val="0"/>
              <w:spacing w:line="500" w:lineRule="exact"/>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表2-</w:t>
            </w:r>
            <w:r>
              <w:rPr>
                <w:rFonts w:hint="default" w:ascii="Times New Roman" w:hAnsi="Times New Roman" w:cs="Times New Roman" w:eastAsiaTheme="minorEastAsia"/>
                <w:b/>
                <w:bCs/>
                <w:color w:val="auto"/>
                <w:sz w:val="21"/>
                <w:szCs w:val="21"/>
                <w:highlight w:val="none"/>
                <w:lang w:val="en-US" w:eastAsia="zh-CN"/>
              </w:rPr>
              <w:t>3本项目</w:t>
            </w:r>
            <w:r>
              <w:rPr>
                <w:rFonts w:hint="default" w:ascii="Times New Roman" w:hAnsi="Times New Roman" w:cs="Times New Roman" w:eastAsiaTheme="minorEastAsia"/>
                <w:b/>
                <w:bCs/>
                <w:color w:val="auto"/>
                <w:sz w:val="21"/>
                <w:szCs w:val="21"/>
                <w:highlight w:val="none"/>
              </w:rPr>
              <w:t>原辅材料理化性质</w:t>
            </w:r>
          </w:p>
          <w:tbl>
            <w:tblPr>
              <w:tblStyle w:val="3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02"/>
              <w:gridCol w:w="3926"/>
              <w:gridCol w:w="1302"/>
              <w:gridCol w:w="1926"/>
            </w:tblGrid>
            <w:tr w14:paraId="691AF2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noWrap w:val="0"/>
                  <w:vAlign w:val="center"/>
                </w:tcPr>
                <w:p w14:paraId="34249508">
                  <w:pPr>
                    <w:jc w:val="center"/>
                    <w:rPr>
                      <w:color w:val="auto"/>
                      <w:sz w:val="21"/>
                      <w:szCs w:val="21"/>
                    </w:rPr>
                  </w:pPr>
                  <w:r>
                    <w:rPr>
                      <w:color w:val="auto"/>
                      <w:sz w:val="21"/>
                      <w:szCs w:val="21"/>
                    </w:rPr>
                    <w:t>名称</w:t>
                  </w:r>
                </w:p>
              </w:tc>
              <w:tc>
                <w:tcPr>
                  <w:tcW w:w="2267" w:type="pct"/>
                  <w:noWrap w:val="0"/>
                  <w:vAlign w:val="center"/>
                </w:tcPr>
                <w:p w14:paraId="702F1E0D">
                  <w:pPr>
                    <w:jc w:val="center"/>
                    <w:rPr>
                      <w:color w:val="auto"/>
                      <w:sz w:val="21"/>
                      <w:szCs w:val="21"/>
                    </w:rPr>
                  </w:pPr>
                  <w:r>
                    <w:rPr>
                      <w:color w:val="auto"/>
                      <w:sz w:val="21"/>
                      <w:szCs w:val="21"/>
                    </w:rPr>
                    <w:t>理化特性</w:t>
                  </w:r>
                </w:p>
              </w:tc>
              <w:tc>
                <w:tcPr>
                  <w:tcW w:w="752" w:type="pct"/>
                  <w:noWrap w:val="0"/>
                  <w:vAlign w:val="center"/>
                </w:tcPr>
                <w:p w14:paraId="1A90001E">
                  <w:pPr>
                    <w:jc w:val="center"/>
                    <w:rPr>
                      <w:color w:val="auto"/>
                      <w:sz w:val="21"/>
                      <w:szCs w:val="21"/>
                    </w:rPr>
                  </w:pPr>
                  <w:r>
                    <w:rPr>
                      <w:color w:val="auto"/>
                      <w:sz w:val="21"/>
                      <w:szCs w:val="21"/>
                    </w:rPr>
                    <w:t>可燃性</w:t>
                  </w:r>
                </w:p>
              </w:tc>
              <w:tc>
                <w:tcPr>
                  <w:tcW w:w="1112" w:type="pct"/>
                  <w:noWrap w:val="0"/>
                  <w:vAlign w:val="center"/>
                </w:tcPr>
                <w:p w14:paraId="64534CB3">
                  <w:pPr>
                    <w:jc w:val="center"/>
                    <w:rPr>
                      <w:color w:val="auto"/>
                      <w:sz w:val="21"/>
                      <w:szCs w:val="21"/>
                    </w:rPr>
                  </w:pPr>
                  <w:r>
                    <w:rPr>
                      <w:color w:val="auto"/>
                      <w:sz w:val="21"/>
                      <w:szCs w:val="21"/>
                    </w:rPr>
                    <w:t>毒性</w:t>
                  </w:r>
                </w:p>
              </w:tc>
            </w:tr>
            <w:tr w14:paraId="5ED179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noWrap w:val="0"/>
                  <w:vAlign w:val="center"/>
                </w:tcPr>
                <w:p w14:paraId="0F5A5C56">
                  <w:pPr>
                    <w:jc w:val="center"/>
                    <w:rPr>
                      <w:rFonts w:hint="eastAsia"/>
                      <w:color w:val="auto"/>
                      <w:sz w:val="21"/>
                      <w:szCs w:val="21"/>
                    </w:rPr>
                  </w:pPr>
                  <w:r>
                    <w:rPr>
                      <w:color w:val="auto"/>
                      <w:sz w:val="21"/>
                      <w:szCs w:val="21"/>
                    </w:rPr>
                    <w:t>PET薄膜</w:t>
                  </w:r>
                </w:p>
              </w:tc>
              <w:tc>
                <w:tcPr>
                  <w:tcW w:w="2267" w:type="pct"/>
                  <w:noWrap w:val="0"/>
                  <w:vAlign w:val="center"/>
                </w:tcPr>
                <w:p w14:paraId="69981749">
                  <w:pPr>
                    <w:pStyle w:val="49"/>
                    <w:adjustRightInd w:val="0"/>
                    <w:snapToGrid w:val="0"/>
                    <w:rPr>
                      <w:rFonts w:hint="eastAsia" w:ascii="Times New Roman" w:hAnsi="Times New Roman" w:eastAsia="宋体" w:cs="Times New Roman"/>
                      <w:color w:val="auto"/>
                      <w:sz w:val="21"/>
                      <w:szCs w:val="21"/>
                      <w:shd w:val="clear" w:color="auto" w:fill="FFFFFF"/>
                    </w:rPr>
                  </w:pPr>
                  <w:r>
                    <w:rPr>
                      <w:rFonts w:ascii="Times New Roman" w:hAnsi="Times New Roman" w:eastAsia="宋体" w:cs="Times New Roman"/>
                      <w:color w:val="auto"/>
                      <w:sz w:val="21"/>
                      <w:szCs w:val="21"/>
                      <w:shd w:val="clear" w:color="auto" w:fill="FFFFFF"/>
                    </w:rPr>
                    <w:t>乳白色或浅黄色高度结晶性的</w:t>
                  </w:r>
                  <w:r>
                    <w:rPr>
                      <w:rFonts w:ascii="Times New Roman" w:hAnsi="Times New Roman" w:eastAsia="宋体" w:cs="Times New Roman"/>
                      <w:color w:val="auto"/>
                      <w:sz w:val="21"/>
                      <w:szCs w:val="21"/>
                      <w:shd w:val="clear" w:color="auto" w:fill="FFFFFF"/>
                    </w:rPr>
                    <w:fldChar w:fldCharType="begin"/>
                  </w:r>
                  <w:r>
                    <w:rPr>
                      <w:rFonts w:ascii="Times New Roman" w:hAnsi="Times New Roman" w:eastAsia="宋体" w:cs="Times New Roman"/>
                      <w:color w:val="auto"/>
                      <w:sz w:val="21"/>
                      <w:szCs w:val="21"/>
                      <w:shd w:val="clear" w:color="auto" w:fill="FFFFFF"/>
                    </w:rPr>
                    <w:instrText xml:space="preserve"> HYPERLINK "https://baike.baidu.com/item/%E8%81%9A%E5%90%88%E7%89%A9" \t "https://baike.baidu.com/item/PET%E5%A1%91%E6%96%99/_blank" </w:instrText>
                  </w:r>
                  <w:r>
                    <w:rPr>
                      <w:rFonts w:ascii="Times New Roman" w:hAnsi="Times New Roman" w:eastAsia="宋体" w:cs="Times New Roman"/>
                      <w:color w:val="auto"/>
                      <w:sz w:val="21"/>
                      <w:szCs w:val="21"/>
                      <w:shd w:val="clear" w:color="auto" w:fill="FFFFFF"/>
                    </w:rPr>
                    <w:fldChar w:fldCharType="separate"/>
                  </w:r>
                  <w:r>
                    <w:rPr>
                      <w:rFonts w:ascii="Times New Roman" w:hAnsi="Times New Roman" w:eastAsia="宋体" w:cs="Times New Roman"/>
                      <w:color w:val="auto"/>
                      <w:sz w:val="21"/>
                      <w:szCs w:val="21"/>
                      <w:shd w:val="clear" w:color="auto" w:fill="FFFFFF"/>
                    </w:rPr>
                    <w:t>聚合物</w:t>
                  </w:r>
                  <w:r>
                    <w:rPr>
                      <w:rFonts w:ascii="Times New Roman" w:hAnsi="Times New Roman" w:eastAsia="宋体" w:cs="Times New Roman"/>
                      <w:color w:val="auto"/>
                      <w:sz w:val="21"/>
                      <w:szCs w:val="21"/>
                      <w:shd w:val="clear" w:color="auto" w:fill="FFFFFF"/>
                    </w:rPr>
                    <w:fldChar w:fldCharType="end"/>
                  </w:r>
                  <w:r>
                    <w:rPr>
                      <w:rFonts w:ascii="Times New Roman" w:hAnsi="Times New Roman" w:eastAsia="宋体" w:cs="Times New Roman"/>
                      <w:color w:val="auto"/>
                      <w:sz w:val="21"/>
                      <w:szCs w:val="21"/>
                      <w:shd w:val="clear" w:color="auto" w:fill="FFFFFF"/>
                    </w:rPr>
                    <w:t>，表面平滑而有光泽。</w:t>
                  </w:r>
                  <w:r>
                    <w:rPr>
                      <w:rFonts w:hint="eastAsia" w:ascii="Times New Roman" w:hAnsi="Times New Roman" w:eastAsia="宋体" w:cs="Times New Roman"/>
                      <w:color w:val="auto"/>
                      <w:sz w:val="21"/>
                      <w:szCs w:val="21"/>
                      <w:shd w:val="clear" w:color="auto" w:fill="FFFFFF"/>
                      <w:lang w:val="en-US" w:eastAsia="zh-CN"/>
                    </w:rPr>
                    <w:t>密度</w:t>
                  </w:r>
                  <w:r>
                    <w:rPr>
                      <w:rFonts w:ascii="Times New Roman" w:hAnsi="Times New Roman" w:eastAsia="宋体" w:cs="Times New Roman"/>
                      <w:color w:val="auto"/>
                      <w:sz w:val="21"/>
                      <w:szCs w:val="21"/>
                      <w:shd w:val="clear" w:color="auto" w:fill="FFFFFF"/>
                    </w:rPr>
                    <w:t>1.38</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color w:val="auto"/>
                      <w:sz w:val="21"/>
                      <w:szCs w:val="21"/>
                      <w:shd w:val="clear" w:color="auto" w:fill="FFFFFF"/>
                    </w:rPr>
                    <w:t>1.40 g/cm³</w:t>
                  </w:r>
                  <w:r>
                    <w:rPr>
                      <w:rFonts w:hint="eastAsia" w:ascii="Times New Roman" w:hAnsi="Times New Roman" w:eastAsia="宋体" w:cs="Times New Roman"/>
                      <w:color w:val="auto"/>
                      <w:sz w:val="21"/>
                      <w:szCs w:val="21"/>
                      <w:shd w:val="clear" w:color="auto" w:fill="FFFFFF"/>
                      <w:lang w:eastAsia="zh-CN"/>
                    </w:rPr>
                    <w:t>，</w:t>
                  </w:r>
                  <w:r>
                    <w:rPr>
                      <w:rFonts w:ascii="Times New Roman" w:hAnsi="Times New Roman" w:eastAsia="宋体" w:cs="Times New Roman"/>
                      <w:color w:val="auto"/>
                      <w:sz w:val="21"/>
                      <w:szCs w:val="21"/>
                      <w:shd w:val="clear" w:color="auto" w:fill="FFFFFF"/>
                    </w:rPr>
                    <w:t>熔点：250</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color w:val="auto"/>
                      <w:sz w:val="21"/>
                      <w:szCs w:val="21"/>
                      <w:shd w:val="clear" w:color="auto" w:fill="FFFFFF"/>
                    </w:rPr>
                    <w:t>260℃</w:t>
                  </w:r>
                  <w:r>
                    <w:rPr>
                      <w:rFonts w:hint="eastAsia" w:ascii="Times New Roman" w:hAnsi="Times New Roman" w:eastAsia="宋体" w:cs="Times New Roman"/>
                      <w:color w:val="auto"/>
                      <w:sz w:val="21"/>
                      <w:szCs w:val="21"/>
                      <w:shd w:val="clear" w:color="auto" w:fill="FFFFFF"/>
                      <w:lang w:eastAsia="zh-CN"/>
                    </w:rPr>
                    <w:t>，</w:t>
                  </w:r>
                  <w:r>
                    <w:rPr>
                      <w:rFonts w:ascii="Times New Roman" w:hAnsi="Times New Roman" w:eastAsia="宋体" w:cs="Times New Roman"/>
                      <w:color w:val="auto"/>
                      <w:sz w:val="21"/>
                      <w:szCs w:val="21"/>
                      <w:shd w:val="clear" w:color="auto" w:fill="FFFFFF"/>
                    </w:rPr>
                    <w:t>拉伸强度：纵≥200 MPa、横≥180 MPa弹性模量：4000–5000 MPa断裂伸长率：纵≤150%、横≤100%</w:t>
                  </w:r>
                  <w:r>
                    <w:rPr>
                      <w:rFonts w:hint="eastAsia" w:ascii="Times New Roman" w:hAnsi="Times New Roman" w:eastAsia="宋体" w:cs="Times New Roman"/>
                      <w:color w:val="auto"/>
                      <w:sz w:val="21"/>
                      <w:szCs w:val="21"/>
                      <w:shd w:val="clear" w:color="auto" w:fill="FFFFFF"/>
                      <w:lang w:eastAsia="zh-CN"/>
                    </w:rPr>
                    <w:t>。</w:t>
                  </w:r>
                  <w:r>
                    <w:rPr>
                      <w:rFonts w:ascii="Times New Roman" w:hAnsi="Times New Roman" w:eastAsia="宋体" w:cs="Times New Roman"/>
                      <w:color w:val="auto"/>
                      <w:sz w:val="21"/>
                      <w:szCs w:val="21"/>
                      <w:shd w:val="clear" w:color="auto" w:fill="FFFFFF"/>
                    </w:rPr>
                    <w:t>透光率≥90%，雾度≤1.0%，光泽度≥100 GU</w:t>
                  </w:r>
                  <w:r>
                    <w:rPr>
                      <w:rFonts w:hint="eastAsia" w:ascii="Times New Roman" w:hAnsi="Times New Roman" w:eastAsia="宋体" w:cs="Times New Roman"/>
                      <w:color w:val="auto"/>
                      <w:sz w:val="21"/>
                      <w:szCs w:val="21"/>
                      <w:shd w:val="clear" w:color="auto" w:fill="FFFFFF"/>
                      <w:lang w:eastAsia="zh-CN"/>
                    </w:rPr>
                    <w:t>，</w:t>
                  </w:r>
                  <w:r>
                    <w:rPr>
                      <w:rFonts w:ascii="Times New Roman" w:hAnsi="Times New Roman" w:eastAsia="宋体" w:cs="Times New Roman"/>
                      <w:color w:val="auto"/>
                      <w:sz w:val="21"/>
                      <w:szCs w:val="21"/>
                      <w:shd w:val="clear" w:color="auto" w:fill="FFFFFF"/>
                    </w:rPr>
                    <w:t>耐蠕变、抗疲劳性、耐摩擦性好，磨耗小而硬度高，具有热塑性塑料中最大的韧性；电绝缘</w:t>
                  </w:r>
                  <w:r>
                    <w:rPr>
                      <w:rFonts w:ascii="Times New Roman" w:hAnsi="Times New Roman" w:eastAsia="宋体" w:cs="Times New Roman"/>
                      <w:color w:val="auto"/>
                      <w:sz w:val="21"/>
                      <w:szCs w:val="21"/>
                      <w:shd w:val="clear" w:color="auto" w:fill="FFFFFF"/>
                    </w:rPr>
                    <w:fldChar w:fldCharType="begin"/>
                  </w:r>
                  <w:r>
                    <w:rPr>
                      <w:rFonts w:ascii="Times New Roman" w:hAnsi="Times New Roman" w:eastAsia="宋体" w:cs="Times New Roman"/>
                      <w:color w:val="auto"/>
                      <w:sz w:val="21"/>
                      <w:szCs w:val="21"/>
                      <w:shd w:val="clear" w:color="auto" w:fill="FFFFFF"/>
                    </w:rPr>
                    <w:instrText xml:space="preserve"> HYPERLINK "https://baike.baidu.com/item/%E6%80%A7%E8%83%BD" \t "https://baike.baidu.com/item/PET%E5%A1%91%E6%96%99/_blank" </w:instrText>
                  </w:r>
                  <w:r>
                    <w:rPr>
                      <w:rFonts w:ascii="Times New Roman" w:hAnsi="Times New Roman" w:eastAsia="宋体" w:cs="Times New Roman"/>
                      <w:color w:val="auto"/>
                      <w:sz w:val="21"/>
                      <w:szCs w:val="21"/>
                      <w:shd w:val="clear" w:color="auto" w:fill="FFFFFF"/>
                    </w:rPr>
                    <w:fldChar w:fldCharType="separate"/>
                  </w:r>
                  <w:r>
                    <w:rPr>
                      <w:rFonts w:ascii="Times New Roman" w:hAnsi="Times New Roman" w:eastAsia="宋体" w:cs="Times New Roman"/>
                      <w:color w:val="auto"/>
                      <w:sz w:val="21"/>
                      <w:szCs w:val="21"/>
                      <w:shd w:val="clear" w:color="auto" w:fill="FFFFFF"/>
                    </w:rPr>
                    <w:t>性能</w:t>
                  </w:r>
                  <w:r>
                    <w:rPr>
                      <w:rFonts w:ascii="Times New Roman" w:hAnsi="Times New Roman" w:eastAsia="宋体" w:cs="Times New Roman"/>
                      <w:color w:val="auto"/>
                      <w:sz w:val="21"/>
                      <w:szCs w:val="21"/>
                      <w:shd w:val="clear" w:color="auto" w:fill="FFFFFF"/>
                    </w:rPr>
                    <w:fldChar w:fldCharType="end"/>
                  </w:r>
                  <w:r>
                    <w:rPr>
                      <w:rFonts w:ascii="Times New Roman" w:hAnsi="Times New Roman" w:eastAsia="宋体" w:cs="Times New Roman"/>
                      <w:color w:val="auto"/>
                      <w:sz w:val="21"/>
                      <w:szCs w:val="21"/>
                      <w:shd w:val="clear" w:color="auto" w:fill="FFFFFF"/>
                    </w:rPr>
                    <w:t>好，受温度影响小，但耐电晕性较差。</w:t>
                  </w:r>
                  <w:r>
                    <w:rPr>
                      <w:rFonts w:ascii="Times New Roman" w:hAnsi="Times New Roman" w:eastAsia="宋体" w:cs="Times New Roman"/>
                      <w:color w:val="auto"/>
                      <w:sz w:val="21"/>
                      <w:szCs w:val="21"/>
                      <w:shd w:val="clear" w:color="auto" w:fill="FFFFFF"/>
                    </w:rPr>
                    <w:fldChar w:fldCharType="begin"/>
                  </w:r>
                  <w:r>
                    <w:rPr>
                      <w:rFonts w:ascii="Times New Roman" w:hAnsi="Times New Roman" w:eastAsia="宋体" w:cs="Times New Roman"/>
                      <w:color w:val="auto"/>
                      <w:sz w:val="21"/>
                      <w:szCs w:val="21"/>
                      <w:shd w:val="clear" w:color="auto" w:fill="FFFFFF"/>
                    </w:rPr>
                    <w:instrText xml:space="preserve"> HYPERLINK "https://baike.baidu.com/item/%E6%97%A0%E6%AF%92" \t "https://baike.baidu.com/item/PET%E5%A1%91%E6%96%99/_blank" </w:instrText>
                  </w:r>
                  <w:r>
                    <w:rPr>
                      <w:rFonts w:ascii="Times New Roman" w:hAnsi="Times New Roman" w:eastAsia="宋体" w:cs="Times New Roman"/>
                      <w:color w:val="auto"/>
                      <w:sz w:val="21"/>
                      <w:szCs w:val="21"/>
                      <w:shd w:val="clear" w:color="auto" w:fill="FFFFFF"/>
                    </w:rPr>
                    <w:fldChar w:fldCharType="separate"/>
                  </w:r>
                  <w:r>
                    <w:rPr>
                      <w:rFonts w:ascii="Times New Roman" w:hAnsi="Times New Roman" w:eastAsia="宋体" w:cs="Times New Roman"/>
                      <w:color w:val="auto"/>
                      <w:sz w:val="21"/>
                      <w:szCs w:val="21"/>
                      <w:shd w:val="clear" w:color="auto" w:fill="FFFFFF"/>
                    </w:rPr>
                    <w:t>无毒</w:t>
                  </w:r>
                  <w:r>
                    <w:rPr>
                      <w:rFonts w:ascii="Times New Roman" w:hAnsi="Times New Roman" w:eastAsia="宋体" w:cs="Times New Roman"/>
                      <w:color w:val="auto"/>
                      <w:sz w:val="21"/>
                      <w:szCs w:val="21"/>
                      <w:shd w:val="clear" w:color="auto" w:fill="FFFFFF"/>
                    </w:rPr>
                    <w:fldChar w:fldCharType="end"/>
                  </w:r>
                  <w:r>
                    <w:rPr>
                      <w:rFonts w:ascii="Times New Roman" w:hAnsi="Times New Roman" w:eastAsia="宋体" w:cs="Times New Roman"/>
                      <w:color w:val="auto"/>
                      <w:sz w:val="21"/>
                      <w:szCs w:val="21"/>
                      <w:shd w:val="clear" w:color="auto" w:fill="FFFFFF"/>
                    </w:rPr>
                    <w:t>、耐气候性、抗化学药品稳定性好，吸湿性高，成型前的干燥是必须的。耐弱酸和有机溶剂，但不耐热水浸泡，不耐碱。</w:t>
                  </w:r>
                </w:p>
              </w:tc>
              <w:tc>
                <w:tcPr>
                  <w:tcW w:w="752" w:type="pct"/>
                  <w:noWrap w:val="0"/>
                  <w:vAlign w:val="center"/>
                </w:tcPr>
                <w:p w14:paraId="17099F96">
                  <w:pPr>
                    <w:pStyle w:val="49"/>
                    <w:adjustRightInd w:val="0"/>
                    <w:snapToGrid w:val="0"/>
                    <w:rPr>
                      <w:rFonts w:hint="eastAsia" w:ascii="Times New Roman" w:hAnsi="Times New Roman" w:eastAsia="宋体" w:cs="Times New Roman"/>
                      <w:color w:val="auto"/>
                      <w:sz w:val="21"/>
                      <w:szCs w:val="21"/>
                      <w:shd w:val="clear" w:color="auto" w:fill="FFFFFF"/>
                    </w:rPr>
                  </w:pPr>
                  <w:r>
                    <w:rPr>
                      <w:rFonts w:ascii="Times New Roman" w:hAnsi="Times New Roman" w:eastAsia="宋体" w:cs="Times New Roman"/>
                      <w:color w:val="auto"/>
                      <w:sz w:val="21"/>
                      <w:szCs w:val="21"/>
                      <w:shd w:val="clear" w:color="auto" w:fill="FFFFFF"/>
                    </w:rPr>
                    <w:t>可燃</w:t>
                  </w:r>
                </w:p>
              </w:tc>
              <w:tc>
                <w:tcPr>
                  <w:tcW w:w="1112" w:type="pct"/>
                  <w:noWrap w:val="0"/>
                  <w:vAlign w:val="center"/>
                </w:tcPr>
                <w:p w14:paraId="1C4704C6">
                  <w:pPr>
                    <w:pStyle w:val="49"/>
                    <w:adjustRightInd w:val="0"/>
                    <w:snapToGrid w:val="0"/>
                    <w:rPr>
                      <w:rFonts w:hint="eastAsia" w:ascii="Times New Roman" w:hAnsi="Times New Roman" w:eastAsia="宋体" w:cs="Times New Roman"/>
                      <w:color w:val="auto"/>
                      <w:sz w:val="21"/>
                      <w:szCs w:val="21"/>
                      <w:shd w:val="clear" w:color="auto" w:fill="FFFFFF"/>
                    </w:rPr>
                  </w:pPr>
                  <w:r>
                    <w:rPr>
                      <w:rFonts w:ascii="Times New Roman" w:hAnsi="Times New Roman" w:eastAsia="宋体" w:cs="Times New Roman"/>
                      <w:color w:val="auto"/>
                      <w:sz w:val="21"/>
                      <w:szCs w:val="21"/>
                      <w:shd w:val="clear" w:color="auto" w:fill="FFFFFF"/>
                    </w:rPr>
                    <w:t>无资料</w:t>
                  </w:r>
                </w:p>
              </w:tc>
            </w:tr>
            <w:tr w14:paraId="0F6027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noWrap w:val="0"/>
                  <w:vAlign w:val="center"/>
                </w:tcPr>
                <w:p w14:paraId="65265EB0">
                  <w:pPr>
                    <w:jc w:val="center"/>
                    <w:rPr>
                      <w:rFonts w:hint="eastAsia"/>
                      <w:color w:val="auto"/>
                      <w:sz w:val="21"/>
                      <w:szCs w:val="21"/>
                    </w:rPr>
                  </w:pPr>
                  <w:r>
                    <w:rPr>
                      <w:color w:val="auto"/>
                      <w:sz w:val="21"/>
                      <w:szCs w:val="21"/>
                    </w:rPr>
                    <w:t>BOPP薄膜</w:t>
                  </w:r>
                </w:p>
              </w:tc>
              <w:tc>
                <w:tcPr>
                  <w:tcW w:w="2267" w:type="pct"/>
                  <w:noWrap w:val="0"/>
                  <w:vAlign w:val="center"/>
                </w:tcPr>
                <w:p w14:paraId="527ACDD6">
                  <w:pPr>
                    <w:widowControl/>
                    <w:contextualSpacing/>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密度</w:t>
                  </w:r>
                  <w:r>
                    <w:rPr>
                      <w:rFonts w:ascii="Times New Roman" w:hAnsi="Times New Roman" w:eastAsia="宋体" w:cs="Times New Roman"/>
                      <w:color w:val="auto"/>
                      <w:kern w:val="0"/>
                      <w:sz w:val="21"/>
                      <w:szCs w:val="21"/>
                    </w:rPr>
                    <w:t>0.90</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color w:val="auto"/>
                      <w:kern w:val="0"/>
                      <w:sz w:val="21"/>
                      <w:szCs w:val="21"/>
                    </w:rPr>
                    <w:t>0.92 g/cm³，熔点 160</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color w:val="auto"/>
                      <w:kern w:val="0"/>
                      <w:sz w:val="21"/>
                      <w:szCs w:val="21"/>
                    </w:rPr>
                    <w:t>170℃</w:t>
                  </w:r>
                  <w:r>
                    <w:rPr>
                      <w:rFonts w:hint="eastAsia" w:ascii="Times New Roman" w:hAnsi="Times New Roman" w:eastAsia="宋体" w:cs="Times New Roman"/>
                      <w:color w:val="auto"/>
                      <w:kern w:val="0"/>
                      <w:sz w:val="21"/>
                      <w:szCs w:val="21"/>
                      <w:lang w:eastAsia="zh-CN"/>
                    </w:rPr>
                    <w:t>，</w:t>
                  </w:r>
                  <w:r>
                    <w:rPr>
                      <w:rFonts w:ascii="Times New Roman" w:hAnsi="Times New Roman" w:eastAsia="宋体" w:cs="Times New Roman"/>
                      <w:color w:val="auto"/>
                      <w:kern w:val="0"/>
                      <w:sz w:val="21"/>
                      <w:szCs w:val="21"/>
                    </w:rPr>
                    <w:t>纵拉强度≥120 MPa、横拉≥200 MPa；弹性模量 1700</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color w:val="auto"/>
                      <w:kern w:val="0"/>
                      <w:sz w:val="21"/>
                      <w:szCs w:val="21"/>
                    </w:rPr>
                    <w:t>2500 MPa；断裂伸长率纵≤180%、横≤65%；透光率≥92%，雾度≤1.5%，光泽度≥85 GU</w:t>
                  </w:r>
                  <w:r>
                    <w:rPr>
                      <w:rFonts w:hint="eastAsia" w:ascii="Times New Roman" w:hAnsi="Times New Roman" w:eastAsia="宋体" w:cs="Times New Roman"/>
                      <w:color w:val="auto"/>
                      <w:kern w:val="0"/>
                      <w:sz w:val="21"/>
                      <w:szCs w:val="21"/>
                      <w:lang w:eastAsia="zh-CN"/>
                    </w:rPr>
                    <w:t>，</w:t>
                  </w:r>
                  <w:r>
                    <w:rPr>
                      <w:rFonts w:ascii="Times New Roman" w:hAnsi="Times New Roman" w:eastAsia="宋体" w:cs="Times New Roman"/>
                      <w:color w:val="auto"/>
                      <w:kern w:val="0"/>
                      <w:sz w:val="21"/>
                      <w:szCs w:val="21"/>
                    </w:rPr>
                    <w:t>抗撕裂强度低</w:t>
                  </w:r>
                  <w:r>
                    <w:rPr>
                      <w:rFonts w:hint="eastAsia" w:ascii="Times New Roman" w:hAnsi="Times New Roman" w:eastAsia="宋体" w:cs="Times New Roman"/>
                      <w:color w:val="auto"/>
                      <w:kern w:val="0"/>
                      <w:sz w:val="21"/>
                      <w:szCs w:val="21"/>
                      <w:lang w:eastAsia="zh-CN"/>
                    </w:rPr>
                    <w:t>，</w:t>
                  </w:r>
                  <w:r>
                    <w:rPr>
                      <w:rFonts w:ascii="Times New Roman" w:hAnsi="Times New Roman" w:eastAsia="宋体" w:cs="Times New Roman"/>
                      <w:color w:val="auto"/>
                      <w:kern w:val="0"/>
                      <w:sz w:val="21"/>
                      <w:szCs w:val="21"/>
                    </w:rPr>
                    <w:t>无色、无嗅、无味、无毒，并具有高拉伸强度、冲击强度、刚性、强韧性和良好的透明性。</w:t>
                  </w:r>
                </w:p>
              </w:tc>
              <w:tc>
                <w:tcPr>
                  <w:tcW w:w="752" w:type="pct"/>
                  <w:noWrap w:val="0"/>
                  <w:vAlign w:val="center"/>
                </w:tcPr>
                <w:p w14:paraId="1788DCA4">
                  <w:pPr>
                    <w:widowControl/>
                    <w:contextualSpacing/>
                    <w:jc w:val="center"/>
                    <w:rPr>
                      <w:rFonts w:hint="eastAsia"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可燃</w:t>
                  </w:r>
                </w:p>
              </w:tc>
              <w:tc>
                <w:tcPr>
                  <w:tcW w:w="1112" w:type="pct"/>
                  <w:noWrap w:val="0"/>
                  <w:vAlign w:val="center"/>
                </w:tcPr>
                <w:p w14:paraId="032C6A19">
                  <w:pPr>
                    <w:widowControl/>
                    <w:contextualSpacing/>
                    <w:jc w:val="center"/>
                    <w:rPr>
                      <w:rFonts w:hint="eastAsia"/>
                      <w:bCs/>
                      <w:color w:val="auto"/>
                      <w:sz w:val="21"/>
                      <w:szCs w:val="21"/>
                    </w:rPr>
                  </w:pPr>
                  <w:r>
                    <w:rPr>
                      <w:color w:val="auto"/>
                      <w:kern w:val="0"/>
                      <w:sz w:val="21"/>
                      <w:szCs w:val="21"/>
                    </w:rPr>
                    <w:t>无资料</w:t>
                  </w:r>
                </w:p>
              </w:tc>
            </w:tr>
            <w:tr w14:paraId="6D40F7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noWrap w:val="0"/>
                  <w:vAlign w:val="center"/>
                </w:tcPr>
                <w:p w14:paraId="271DBDA2">
                  <w:pPr>
                    <w:jc w:val="center"/>
                    <w:rPr>
                      <w:color w:val="auto"/>
                      <w:kern w:val="0"/>
                      <w:sz w:val="21"/>
                      <w:szCs w:val="21"/>
                    </w:rPr>
                  </w:pPr>
                  <w:r>
                    <w:rPr>
                      <w:rFonts w:hint="eastAsia"/>
                      <w:color w:val="auto"/>
                      <w:sz w:val="21"/>
                      <w:szCs w:val="21"/>
                      <w:lang w:val="en-US" w:eastAsia="zh-CN"/>
                    </w:rPr>
                    <w:t>CPP</w:t>
                  </w:r>
                  <w:r>
                    <w:rPr>
                      <w:color w:val="auto"/>
                      <w:sz w:val="21"/>
                      <w:szCs w:val="21"/>
                    </w:rPr>
                    <w:t>薄膜</w:t>
                  </w:r>
                </w:p>
              </w:tc>
              <w:tc>
                <w:tcPr>
                  <w:tcW w:w="2267" w:type="pct"/>
                  <w:noWrap w:val="0"/>
                  <w:vAlign w:val="center"/>
                </w:tcPr>
                <w:p w14:paraId="14619039">
                  <w:pPr>
                    <w:widowControl/>
                    <w:contextualSpacing/>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密度</w:t>
                  </w:r>
                  <w:r>
                    <w:rPr>
                      <w:rFonts w:ascii="Times New Roman" w:hAnsi="Times New Roman" w:eastAsia="宋体" w:cs="Times New Roman"/>
                      <w:color w:val="auto"/>
                      <w:kern w:val="0"/>
                      <w:sz w:val="21"/>
                      <w:szCs w:val="21"/>
                    </w:rPr>
                    <w:t>0.89</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color w:val="auto"/>
                      <w:kern w:val="0"/>
                      <w:sz w:val="21"/>
                      <w:szCs w:val="21"/>
                    </w:rPr>
                    <w:t>0.91 g/cm³，熔点 160</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color w:val="auto"/>
                      <w:kern w:val="0"/>
                      <w:sz w:val="21"/>
                      <w:szCs w:val="21"/>
                    </w:rPr>
                    <w:t>170℃</w:t>
                  </w:r>
                  <w:r>
                    <w:rPr>
                      <w:rFonts w:hint="eastAsia" w:ascii="Times New Roman" w:hAnsi="Times New Roman" w:eastAsia="宋体" w:cs="Times New Roman"/>
                      <w:color w:val="auto"/>
                      <w:kern w:val="0"/>
                      <w:sz w:val="21"/>
                      <w:szCs w:val="21"/>
                      <w:lang w:eastAsia="zh-CN"/>
                    </w:rPr>
                    <w:t>，</w:t>
                  </w:r>
                  <w:r>
                    <w:rPr>
                      <w:rFonts w:ascii="Times New Roman" w:hAnsi="Times New Roman" w:eastAsia="宋体" w:cs="Times New Roman"/>
                      <w:color w:val="auto"/>
                      <w:kern w:val="0"/>
                      <w:sz w:val="21"/>
                      <w:szCs w:val="21"/>
                    </w:rPr>
                    <w:t>拉伸强度：纵拉≥ 30</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color w:val="auto"/>
                      <w:kern w:val="0"/>
                      <w:sz w:val="21"/>
                      <w:szCs w:val="21"/>
                    </w:rPr>
                    <w:t>45 MPa、横拉≥ 30</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color w:val="auto"/>
                      <w:kern w:val="0"/>
                      <w:sz w:val="21"/>
                      <w:szCs w:val="21"/>
                    </w:rPr>
                    <w:t>45 MPa</w:t>
                  </w:r>
                  <w:r>
                    <w:rPr>
                      <w:rFonts w:hint="eastAsia" w:ascii="Times New Roman" w:hAnsi="Times New Roman" w:eastAsia="宋体" w:cs="Times New Roman"/>
                      <w:color w:val="auto"/>
                      <w:kern w:val="0"/>
                      <w:sz w:val="21"/>
                      <w:szCs w:val="21"/>
                      <w:lang w:eastAsia="zh-CN"/>
                    </w:rPr>
                    <w:t>，</w:t>
                  </w:r>
                  <w:r>
                    <w:rPr>
                      <w:rFonts w:ascii="Times New Roman" w:hAnsi="Times New Roman" w:eastAsia="宋体" w:cs="Times New Roman"/>
                      <w:color w:val="auto"/>
                      <w:kern w:val="0"/>
                      <w:sz w:val="21"/>
                      <w:szCs w:val="21"/>
                    </w:rPr>
                    <w:t>断裂伸长率纵≤ 200</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color w:val="auto"/>
                      <w:kern w:val="0"/>
                      <w:sz w:val="21"/>
                      <w:szCs w:val="21"/>
                    </w:rPr>
                    <w:t>300%、横≤200</w:t>
                  </w:r>
                  <w:r>
                    <w:rPr>
                      <w:rFonts w:hint="eastAsia" w:ascii="Times New Roman" w:hAnsi="Times New Roman" w:eastAsia="宋体" w:cs="Times New Roman"/>
                      <w:bCs/>
                      <w:color w:val="auto"/>
                      <w:sz w:val="21"/>
                      <w:szCs w:val="21"/>
                    </w:rPr>
                    <w:t xml:space="preserve">~ </w:t>
                  </w:r>
                  <w:r>
                    <w:rPr>
                      <w:rFonts w:ascii="Times New Roman" w:hAnsi="Times New Roman" w:eastAsia="宋体" w:cs="Times New Roman"/>
                      <w:color w:val="auto"/>
                      <w:kern w:val="0"/>
                      <w:sz w:val="21"/>
                      <w:szCs w:val="21"/>
                    </w:rPr>
                    <w:t>300%</w:t>
                  </w:r>
                  <w:r>
                    <w:rPr>
                      <w:rFonts w:hint="eastAsia" w:ascii="Times New Roman" w:hAnsi="Times New Roman" w:eastAsia="宋体" w:cs="Times New Roman"/>
                      <w:color w:val="auto"/>
                      <w:kern w:val="0"/>
                      <w:sz w:val="21"/>
                      <w:szCs w:val="21"/>
                      <w:lang w:eastAsia="zh-CN"/>
                    </w:rPr>
                    <w:t>，</w:t>
                  </w:r>
                  <w:r>
                    <w:rPr>
                      <w:rFonts w:ascii="Times New Roman" w:hAnsi="Times New Roman" w:eastAsia="宋体" w:cs="Times New Roman"/>
                      <w:color w:val="auto"/>
                      <w:kern w:val="0"/>
                      <w:sz w:val="21"/>
                      <w:szCs w:val="21"/>
                    </w:rPr>
                    <w:t>透光率≥85%，雾度≤5%，光泽度≥60–80 GU</w:t>
                  </w:r>
                  <w:r>
                    <w:rPr>
                      <w:rFonts w:hint="eastAsia" w:ascii="Times New Roman" w:hAnsi="Times New Roman" w:eastAsia="宋体" w:cs="Times New Roman"/>
                      <w:color w:val="auto"/>
                      <w:kern w:val="0"/>
                      <w:sz w:val="21"/>
                      <w:szCs w:val="21"/>
                      <w:lang w:eastAsia="zh-CN"/>
                    </w:rPr>
                    <w:t>，</w:t>
                  </w:r>
                  <w:r>
                    <w:rPr>
                      <w:rFonts w:ascii="Times New Roman" w:hAnsi="Times New Roman" w:eastAsia="宋体" w:cs="Times New Roman"/>
                      <w:color w:val="auto"/>
                      <w:kern w:val="0"/>
                      <w:sz w:val="21"/>
                      <w:szCs w:val="21"/>
                    </w:rPr>
                    <w:t>耐弱酸、弱碱、盐、醇、油脂；不耐强酸碱、强氧化剂；不溶于水，常温不溶于多数有机溶剂，高温可溶于芳烃、氯代烃。</w:t>
                  </w:r>
                </w:p>
              </w:tc>
              <w:tc>
                <w:tcPr>
                  <w:tcW w:w="752" w:type="pct"/>
                  <w:noWrap w:val="0"/>
                  <w:vAlign w:val="center"/>
                </w:tcPr>
                <w:p w14:paraId="34325AD7">
                  <w:pPr>
                    <w:widowControl/>
                    <w:contextualSpacing/>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可燃</w:t>
                  </w:r>
                </w:p>
              </w:tc>
              <w:tc>
                <w:tcPr>
                  <w:tcW w:w="1112" w:type="pct"/>
                  <w:noWrap w:val="0"/>
                  <w:vAlign w:val="center"/>
                </w:tcPr>
                <w:p w14:paraId="2D475C6F">
                  <w:pPr>
                    <w:widowControl/>
                    <w:contextualSpacing/>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无资料</w:t>
                  </w:r>
                </w:p>
              </w:tc>
            </w:tr>
            <w:tr w14:paraId="618D5E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noWrap w:val="0"/>
                  <w:vAlign w:val="center"/>
                </w:tcPr>
                <w:p w14:paraId="1015C156">
                  <w:pPr>
                    <w:pStyle w:val="49"/>
                    <w:adjustRightInd w:val="0"/>
                    <w:snapToGrid w:val="0"/>
                    <w:rPr>
                      <w:rFonts w:hint="eastAsia"/>
                      <w:color w:val="auto"/>
                      <w:sz w:val="21"/>
                      <w:szCs w:val="21"/>
                    </w:rPr>
                  </w:pPr>
                  <w:r>
                    <w:rPr>
                      <w:rFonts w:ascii="Times New Roman" w:hAnsi="Times New Roman"/>
                      <w:color w:val="auto"/>
                      <w:sz w:val="21"/>
                      <w:szCs w:val="21"/>
                    </w:rPr>
                    <w:t>PE</w:t>
                  </w:r>
                  <w:r>
                    <w:rPr>
                      <w:rFonts w:ascii="Times New Roman" w:hAnsi="Times New Roman" w:eastAsia="宋体"/>
                      <w:color w:val="auto"/>
                      <w:sz w:val="21"/>
                      <w:szCs w:val="21"/>
                    </w:rPr>
                    <w:t>薄膜</w:t>
                  </w:r>
                </w:p>
              </w:tc>
              <w:tc>
                <w:tcPr>
                  <w:tcW w:w="2267" w:type="pct"/>
                  <w:noWrap w:val="0"/>
                  <w:vAlign w:val="center"/>
                </w:tcPr>
                <w:p w14:paraId="77CC1298">
                  <w:pPr>
                    <w:widowControl/>
                    <w:contextualSpacing/>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密度</w:t>
                  </w:r>
                  <w:r>
                    <w:rPr>
                      <w:rFonts w:ascii="Times New Roman" w:hAnsi="Times New Roman" w:eastAsia="宋体" w:cs="Times New Roman"/>
                      <w:color w:val="auto"/>
                      <w:kern w:val="0"/>
                      <w:sz w:val="21"/>
                      <w:szCs w:val="21"/>
                    </w:rPr>
                    <w:t>0.910~0.925g/cm³，熔点 180~210℃</w:t>
                  </w:r>
                  <w:r>
                    <w:rPr>
                      <w:rFonts w:hint="eastAsia" w:ascii="Times New Roman" w:hAnsi="Times New Roman" w:eastAsia="宋体" w:cs="Times New Roman"/>
                      <w:color w:val="auto"/>
                      <w:kern w:val="0"/>
                      <w:sz w:val="21"/>
                      <w:szCs w:val="21"/>
                      <w:lang w:eastAsia="zh-CN"/>
                    </w:rPr>
                    <w:t>，</w:t>
                  </w:r>
                  <w:r>
                    <w:rPr>
                      <w:rFonts w:ascii="Times New Roman" w:hAnsi="Times New Roman" w:eastAsia="宋体" w:cs="Times New Roman"/>
                      <w:color w:val="auto"/>
                      <w:kern w:val="0"/>
                      <w:sz w:val="21"/>
                      <w:szCs w:val="21"/>
                    </w:rPr>
                    <w:t>拉伸强度：纵拉≥</w:t>
                  </w:r>
                  <w:r>
                    <w:rPr>
                      <w:rFonts w:hint="eastAsia" w:ascii="Times New Roman" w:hAnsi="Times New Roman" w:eastAsia="宋体" w:cs="Times New Roman"/>
                      <w:color w:val="auto"/>
                      <w:kern w:val="0"/>
                      <w:sz w:val="21"/>
                      <w:szCs w:val="21"/>
                      <w:lang w:val="en-US" w:eastAsia="zh-CN"/>
                    </w:rPr>
                    <w:t>25</w:t>
                  </w:r>
                  <w:r>
                    <w:rPr>
                      <w:rFonts w:hint="eastAsia" w:ascii="Times New Roman" w:hAnsi="Times New Roman" w:eastAsia="宋体" w:cs="Times New Roman"/>
                      <w:bCs/>
                      <w:color w:val="auto"/>
                      <w:sz w:val="21"/>
                      <w:szCs w:val="21"/>
                    </w:rPr>
                    <w:t xml:space="preserve">~ </w:t>
                  </w:r>
                  <w:r>
                    <w:rPr>
                      <w:rFonts w:hint="eastAsia" w:ascii="Times New Roman" w:hAnsi="Times New Roman" w:eastAsia="宋体" w:cs="Times New Roman"/>
                      <w:color w:val="auto"/>
                      <w:kern w:val="0"/>
                      <w:sz w:val="21"/>
                      <w:szCs w:val="21"/>
                      <w:lang w:val="en-US" w:eastAsia="zh-CN"/>
                    </w:rPr>
                    <w:t>3</w:t>
                  </w:r>
                  <w:r>
                    <w:rPr>
                      <w:rFonts w:ascii="Times New Roman" w:hAnsi="Times New Roman" w:eastAsia="宋体" w:cs="Times New Roman"/>
                      <w:color w:val="auto"/>
                      <w:kern w:val="0"/>
                      <w:sz w:val="21"/>
                      <w:szCs w:val="21"/>
                    </w:rPr>
                    <w:t xml:space="preserve">5 MPa、横拉≥ </w:t>
                  </w:r>
                  <w:r>
                    <w:rPr>
                      <w:rFonts w:hint="eastAsia" w:ascii="Times New Roman" w:hAnsi="Times New Roman" w:eastAsia="宋体" w:cs="Times New Roman"/>
                      <w:color w:val="auto"/>
                      <w:kern w:val="0"/>
                      <w:sz w:val="21"/>
                      <w:szCs w:val="21"/>
                      <w:lang w:val="en-US" w:eastAsia="zh-CN"/>
                    </w:rPr>
                    <w:t>2</w:t>
                  </w:r>
                  <w:r>
                    <w:rPr>
                      <w:rFonts w:ascii="Times New Roman" w:hAnsi="Times New Roman" w:eastAsia="宋体" w:cs="Times New Roman"/>
                      <w:color w:val="auto"/>
                      <w:kern w:val="0"/>
                      <w:sz w:val="21"/>
                      <w:szCs w:val="21"/>
                    </w:rPr>
                    <w:t>0</w:t>
                  </w:r>
                  <w:r>
                    <w:rPr>
                      <w:rFonts w:hint="eastAsia" w:ascii="Times New Roman" w:hAnsi="Times New Roman" w:eastAsia="宋体" w:cs="Times New Roman"/>
                      <w:bCs/>
                      <w:color w:val="auto"/>
                      <w:sz w:val="21"/>
                      <w:szCs w:val="21"/>
                    </w:rPr>
                    <w:t xml:space="preserve">~ </w:t>
                  </w:r>
                  <w:r>
                    <w:rPr>
                      <w:rFonts w:hint="eastAsia" w:ascii="Times New Roman" w:hAnsi="Times New Roman" w:eastAsia="宋体" w:cs="Times New Roman"/>
                      <w:color w:val="auto"/>
                      <w:kern w:val="0"/>
                      <w:sz w:val="21"/>
                      <w:szCs w:val="21"/>
                      <w:lang w:val="en-US" w:eastAsia="zh-CN"/>
                    </w:rPr>
                    <w:t>30</w:t>
                  </w:r>
                  <w:r>
                    <w:rPr>
                      <w:rFonts w:ascii="Times New Roman" w:hAnsi="Times New Roman" w:eastAsia="宋体" w:cs="Times New Roman"/>
                      <w:color w:val="auto"/>
                      <w:kern w:val="0"/>
                      <w:sz w:val="21"/>
                      <w:szCs w:val="21"/>
                    </w:rPr>
                    <w:t xml:space="preserve"> MPa</w:t>
                  </w:r>
                  <w:r>
                    <w:rPr>
                      <w:rFonts w:hint="eastAsia" w:ascii="Times New Roman" w:hAnsi="Times New Roman" w:eastAsia="宋体" w:cs="Times New Roman"/>
                      <w:color w:val="auto"/>
                      <w:kern w:val="0"/>
                      <w:sz w:val="21"/>
                      <w:szCs w:val="21"/>
                      <w:lang w:eastAsia="zh-CN"/>
                    </w:rPr>
                    <w:t>，</w:t>
                  </w:r>
                  <w:r>
                    <w:rPr>
                      <w:rFonts w:ascii="Times New Roman" w:hAnsi="Times New Roman" w:eastAsia="宋体" w:cs="Times New Roman"/>
                      <w:color w:val="auto"/>
                      <w:kern w:val="0"/>
                      <w:sz w:val="21"/>
                      <w:szCs w:val="21"/>
                    </w:rPr>
                    <w:t xml:space="preserve">断裂伸长率纵≤ </w:t>
                  </w:r>
                  <w:r>
                    <w:rPr>
                      <w:rFonts w:hint="eastAsia" w:ascii="Times New Roman" w:hAnsi="Times New Roman" w:eastAsia="宋体" w:cs="Times New Roman"/>
                      <w:color w:val="auto"/>
                      <w:kern w:val="0"/>
                      <w:sz w:val="21"/>
                      <w:szCs w:val="21"/>
                      <w:lang w:val="en-US" w:eastAsia="zh-CN"/>
                    </w:rPr>
                    <w:t>5</w:t>
                  </w:r>
                  <w:r>
                    <w:rPr>
                      <w:rFonts w:ascii="Times New Roman" w:hAnsi="Times New Roman" w:eastAsia="宋体" w:cs="Times New Roman"/>
                      <w:color w:val="auto"/>
                      <w:kern w:val="0"/>
                      <w:sz w:val="21"/>
                      <w:szCs w:val="21"/>
                    </w:rPr>
                    <w:t>00</w:t>
                  </w:r>
                  <w:r>
                    <w:rPr>
                      <w:rFonts w:hint="eastAsia" w:ascii="Times New Roman" w:hAnsi="Times New Roman" w:eastAsia="宋体" w:cs="Times New Roman"/>
                      <w:bCs/>
                      <w:color w:val="auto"/>
                      <w:sz w:val="21"/>
                      <w:szCs w:val="21"/>
                    </w:rPr>
                    <w:t xml:space="preserve">~ </w:t>
                  </w:r>
                  <w:r>
                    <w:rPr>
                      <w:rFonts w:hint="eastAsia" w:ascii="Times New Roman" w:hAnsi="Times New Roman" w:eastAsia="宋体" w:cs="Times New Roman"/>
                      <w:color w:val="auto"/>
                      <w:kern w:val="0"/>
                      <w:sz w:val="21"/>
                      <w:szCs w:val="21"/>
                      <w:lang w:val="en-US" w:eastAsia="zh-CN"/>
                    </w:rPr>
                    <w:t>8</w:t>
                  </w:r>
                  <w:r>
                    <w:rPr>
                      <w:rFonts w:ascii="Times New Roman" w:hAnsi="Times New Roman" w:eastAsia="宋体" w:cs="Times New Roman"/>
                      <w:color w:val="auto"/>
                      <w:kern w:val="0"/>
                      <w:sz w:val="21"/>
                      <w:szCs w:val="21"/>
                    </w:rPr>
                    <w:t>00%、横≤</w:t>
                  </w:r>
                  <w:r>
                    <w:rPr>
                      <w:rFonts w:hint="eastAsia" w:ascii="Times New Roman" w:hAnsi="Times New Roman" w:eastAsia="宋体" w:cs="Times New Roman"/>
                      <w:color w:val="auto"/>
                      <w:kern w:val="0"/>
                      <w:sz w:val="21"/>
                      <w:szCs w:val="21"/>
                      <w:lang w:val="en-US" w:eastAsia="zh-CN"/>
                    </w:rPr>
                    <w:t>4</w:t>
                  </w:r>
                  <w:r>
                    <w:rPr>
                      <w:rFonts w:ascii="Times New Roman" w:hAnsi="Times New Roman" w:eastAsia="宋体" w:cs="Times New Roman"/>
                      <w:color w:val="auto"/>
                      <w:kern w:val="0"/>
                      <w:sz w:val="21"/>
                      <w:szCs w:val="21"/>
                    </w:rPr>
                    <w:t>00</w:t>
                  </w:r>
                  <w:r>
                    <w:rPr>
                      <w:rFonts w:hint="eastAsia" w:ascii="Times New Roman" w:hAnsi="Times New Roman" w:eastAsia="宋体" w:cs="Times New Roman"/>
                      <w:bCs/>
                      <w:color w:val="auto"/>
                      <w:sz w:val="21"/>
                      <w:szCs w:val="21"/>
                    </w:rPr>
                    <w:t xml:space="preserve">~ </w:t>
                  </w:r>
                  <w:r>
                    <w:rPr>
                      <w:rFonts w:hint="eastAsia" w:ascii="Times New Roman" w:hAnsi="Times New Roman" w:eastAsia="宋体" w:cs="Times New Roman"/>
                      <w:color w:val="auto"/>
                      <w:kern w:val="0"/>
                      <w:sz w:val="21"/>
                      <w:szCs w:val="21"/>
                      <w:lang w:val="en-US" w:eastAsia="zh-CN"/>
                    </w:rPr>
                    <w:t>6</w:t>
                  </w:r>
                  <w:r>
                    <w:rPr>
                      <w:rFonts w:ascii="Times New Roman" w:hAnsi="Times New Roman" w:eastAsia="宋体" w:cs="Times New Roman"/>
                      <w:color w:val="auto"/>
                      <w:kern w:val="0"/>
                      <w:sz w:val="21"/>
                      <w:szCs w:val="21"/>
                    </w:rPr>
                    <w:t>00%</w:t>
                  </w:r>
                  <w:r>
                    <w:rPr>
                      <w:rFonts w:hint="eastAsia" w:ascii="Times New Roman" w:hAnsi="Times New Roman" w:eastAsia="宋体" w:cs="Times New Roman"/>
                      <w:color w:val="auto"/>
                      <w:kern w:val="0"/>
                      <w:sz w:val="21"/>
                      <w:szCs w:val="21"/>
                      <w:lang w:eastAsia="zh-CN"/>
                    </w:rPr>
                    <w:t>，</w:t>
                  </w:r>
                  <w:r>
                    <w:rPr>
                      <w:rFonts w:ascii="Times New Roman" w:hAnsi="Times New Roman" w:eastAsia="宋体" w:cs="Times New Roman"/>
                      <w:color w:val="auto"/>
                      <w:kern w:val="0"/>
                      <w:sz w:val="21"/>
                      <w:szCs w:val="21"/>
                    </w:rPr>
                    <w:t>透光率≥</w:t>
                  </w:r>
                  <w:r>
                    <w:rPr>
                      <w:rFonts w:hint="eastAsia" w:ascii="Times New Roman" w:hAnsi="Times New Roman" w:eastAsia="宋体" w:cs="Times New Roman"/>
                      <w:color w:val="auto"/>
                      <w:kern w:val="0"/>
                      <w:sz w:val="21"/>
                      <w:szCs w:val="21"/>
                      <w:lang w:val="en-US" w:eastAsia="zh-CN"/>
                    </w:rPr>
                    <w:t>88</w:t>
                  </w:r>
                  <w:r>
                    <w:rPr>
                      <w:rFonts w:ascii="Times New Roman" w:hAnsi="Times New Roman" w:eastAsia="宋体" w:cs="Times New Roman"/>
                      <w:color w:val="auto"/>
                      <w:kern w:val="0"/>
                      <w:sz w:val="21"/>
                      <w:szCs w:val="21"/>
                    </w:rPr>
                    <w:t>%，雾度≤</w:t>
                  </w:r>
                  <w:r>
                    <w:rPr>
                      <w:rFonts w:hint="eastAsia" w:ascii="Times New Roman" w:hAnsi="Times New Roman" w:eastAsia="宋体" w:cs="Times New Roman"/>
                      <w:color w:val="auto"/>
                      <w:kern w:val="0"/>
                      <w:sz w:val="21"/>
                      <w:szCs w:val="21"/>
                      <w:lang w:val="en-US" w:eastAsia="zh-CN"/>
                    </w:rPr>
                    <w:t>3</w:t>
                  </w:r>
                  <w:r>
                    <w:rPr>
                      <w:rFonts w:ascii="Times New Roman" w:hAnsi="Times New Roman" w:eastAsia="宋体" w:cs="Times New Roman"/>
                      <w:color w:val="auto"/>
                      <w:kern w:val="0"/>
                      <w:sz w:val="21"/>
                      <w:szCs w:val="21"/>
                    </w:rPr>
                    <w:t>%，具有优良的耐低温性能，化学稳定性好，能耐大多数酸碱的侵蚀。常温下不溶于一般溶剂，吸水性小，电绝缘性能优良；</w:t>
                  </w:r>
                </w:p>
              </w:tc>
              <w:tc>
                <w:tcPr>
                  <w:tcW w:w="752" w:type="pct"/>
                  <w:noWrap w:val="0"/>
                  <w:vAlign w:val="center"/>
                </w:tcPr>
                <w:p w14:paraId="45470352">
                  <w:pPr>
                    <w:widowControl/>
                    <w:contextualSpacing/>
                    <w:jc w:val="center"/>
                    <w:rPr>
                      <w:rFonts w:hint="eastAsia"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可燃</w:t>
                  </w:r>
                </w:p>
              </w:tc>
              <w:tc>
                <w:tcPr>
                  <w:tcW w:w="1112" w:type="pct"/>
                  <w:noWrap w:val="0"/>
                  <w:vAlign w:val="center"/>
                </w:tcPr>
                <w:p w14:paraId="60C045D4">
                  <w:pPr>
                    <w:widowControl/>
                    <w:contextualSpacing/>
                    <w:jc w:val="center"/>
                    <w:rPr>
                      <w:rFonts w:hint="eastAsia"/>
                      <w:bCs/>
                      <w:color w:val="auto"/>
                      <w:sz w:val="21"/>
                      <w:szCs w:val="21"/>
                    </w:rPr>
                  </w:pPr>
                  <w:r>
                    <w:rPr>
                      <w:color w:val="auto"/>
                      <w:kern w:val="0"/>
                      <w:sz w:val="21"/>
                      <w:szCs w:val="21"/>
                    </w:rPr>
                    <w:t>无资料</w:t>
                  </w:r>
                </w:p>
              </w:tc>
            </w:tr>
            <w:tr w14:paraId="77A3DC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noWrap w:val="0"/>
                  <w:vAlign w:val="center"/>
                </w:tcPr>
                <w:p w14:paraId="6E69C30B">
                  <w:pPr>
                    <w:pStyle w:val="49"/>
                    <w:adjustRightInd w:val="0"/>
                    <w:snapToGrid w:val="0"/>
                    <w:rPr>
                      <w:color w:val="auto"/>
                      <w:sz w:val="21"/>
                      <w:szCs w:val="21"/>
                    </w:rPr>
                  </w:pPr>
                  <w:r>
                    <w:rPr>
                      <w:rFonts w:ascii="Times New Roman" w:hAnsi="Times New Roman" w:eastAsia="宋体"/>
                      <w:color w:val="auto"/>
                      <w:kern w:val="0"/>
                      <w:sz w:val="21"/>
                      <w:szCs w:val="21"/>
                      <w:lang w:bidi="ar"/>
                    </w:rPr>
                    <w:t>水性</w:t>
                  </w:r>
                  <w:r>
                    <w:rPr>
                      <w:rFonts w:hint="eastAsia" w:ascii="Times New Roman" w:hAnsi="Times New Roman" w:eastAsia="宋体"/>
                      <w:color w:val="auto"/>
                      <w:kern w:val="0"/>
                      <w:sz w:val="21"/>
                      <w:szCs w:val="21"/>
                      <w:lang w:bidi="ar"/>
                    </w:rPr>
                    <w:t>油墨</w:t>
                  </w:r>
                </w:p>
              </w:tc>
              <w:tc>
                <w:tcPr>
                  <w:tcW w:w="2267" w:type="pct"/>
                  <w:noWrap w:val="0"/>
                  <w:vAlign w:val="center"/>
                </w:tcPr>
                <w:p w14:paraId="59615152">
                  <w:pPr>
                    <w:widowControl/>
                    <w:contextualSpacing/>
                    <w:jc w:val="center"/>
                    <w:rPr>
                      <w:bCs/>
                      <w:color w:val="auto"/>
                      <w:sz w:val="21"/>
                      <w:szCs w:val="21"/>
                    </w:rPr>
                  </w:pPr>
                  <w:r>
                    <w:rPr>
                      <w:rFonts w:hint="eastAsia"/>
                      <w:color w:val="auto"/>
                      <w:sz w:val="21"/>
                      <w:szCs w:val="21"/>
                      <w:shd w:val="clear" w:color="auto" w:fill="FFFFFF"/>
                    </w:rPr>
                    <w:t>轻微</w:t>
                  </w:r>
                  <w:r>
                    <w:rPr>
                      <w:rFonts w:hint="eastAsia"/>
                      <w:color w:val="auto"/>
                      <w:sz w:val="21"/>
                      <w:szCs w:val="21"/>
                      <w:shd w:val="clear" w:color="auto" w:fill="FFFFFF"/>
                      <w:lang w:eastAsia="zh-CN"/>
                    </w:rPr>
                    <w:t>乙醇</w:t>
                  </w:r>
                  <w:r>
                    <w:rPr>
                      <w:rFonts w:hint="eastAsia"/>
                      <w:color w:val="auto"/>
                      <w:sz w:val="21"/>
                      <w:szCs w:val="21"/>
                      <w:shd w:val="clear" w:color="auto" w:fill="FFFFFF"/>
                    </w:rPr>
                    <w:t>味</w:t>
                  </w:r>
                  <w:r>
                    <w:rPr>
                      <w:color w:val="auto"/>
                      <w:sz w:val="21"/>
                      <w:szCs w:val="21"/>
                      <w:shd w:val="clear" w:color="auto" w:fill="FFFFFF"/>
                    </w:rPr>
                    <w:t>，</w:t>
                  </w:r>
                  <w:r>
                    <w:rPr>
                      <w:color w:val="auto"/>
                      <w:sz w:val="21"/>
                      <w:szCs w:val="21"/>
                    </w:rPr>
                    <w:t>pH 值：</w:t>
                  </w:r>
                  <w:r>
                    <w:rPr>
                      <w:rFonts w:hint="eastAsia"/>
                      <w:color w:val="auto"/>
                      <w:sz w:val="21"/>
                      <w:szCs w:val="21"/>
                    </w:rPr>
                    <w:t>1</w:t>
                  </w:r>
                  <w:r>
                    <w:rPr>
                      <w:color w:val="auto"/>
                      <w:sz w:val="21"/>
                      <w:szCs w:val="21"/>
                    </w:rPr>
                    <w:t>~8.</w:t>
                  </w:r>
                  <w:r>
                    <w:rPr>
                      <w:rFonts w:hint="eastAsia"/>
                      <w:color w:val="auto"/>
                      <w:sz w:val="21"/>
                      <w:szCs w:val="21"/>
                    </w:rPr>
                    <w:t>5</w:t>
                  </w:r>
                  <w:r>
                    <w:rPr>
                      <w:color w:val="auto"/>
                      <w:sz w:val="21"/>
                      <w:szCs w:val="21"/>
                    </w:rPr>
                    <w:t>，相对密度：1.0</w:t>
                  </w:r>
                  <w:r>
                    <w:rPr>
                      <w:color w:val="auto"/>
                      <w:sz w:val="21"/>
                      <w:szCs w:val="21"/>
                      <w:shd w:val="clear" w:color="auto" w:fill="FFFFFF"/>
                    </w:rPr>
                    <w:t>，沸点</w:t>
                  </w:r>
                  <w:r>
                    <w:rPr>
                      <w:rFonts w:hint="eastAsia"/>
                      <w:color w:val="auto"/>
                      <w:sz w:val="21"/>
                      <w:szCs w:val="21"/>
                      <w:shd w:val="clear" w:color="auto" w:fill="FFFFFF"/>
                    </w:rPr>
                    <w:t>70</w:t>
                  </w:r>
                  <w:r>
                    <w:rPr>
                      <w:color w:val="auto"/>
                      <w:sz w:val="21"/>
                      <w:szCs w:val="21"/>
                    </w:rPr>
                    <w:t>~</w:t>
                  </w:r>
                  <w:r>
                    <w:rPr>
                      <w:rFonts w:hint="eastAsia"/>
                      <w:color w:val="auto"/>
                      <w:sz w:val="21"/>
                      <w:szCs w:val="21"/>
                      <w:shd w:val="clear" w:color="auto" w:fill="FFFFFF"/>
                    </w:rPr>
                    <w:t>120</w:t>
                  </w:r>
                  <w:r>
                    <w:rPr>
                      <w:color w:val="auto"/>
                      <w:sz w:val="21"/>
                      <w:szCs w:val="21"/>
                      <w:shd w:val="clear" w:color="auto" w:fill="FFFFFF"/>
                    </w:rPr>
                    <w:t>℃，闪点</w:t>
                  </w:r>
                  <w:r>
                    <w:rPr>
                      <w:rFonts w:hint="eastAsia"/>
                      <w:color w:val="auto"/>
                      <w:sz w:val="21"/>
                      <w:szCs w:val="21"/>
                      <w:shd w:val="clear" w:color="auto" w:fill="FFFFFF"/>
                    </w:rPr>
                    <w:t>69</w:t>
                  </w:r>
                  <w:r>
                    <w:rPr>
                      <w:color w:val="auto"/>
                      <w:sz w:val="21"/>
                      <w:szCs w:val="21"/>
                      <w:shd w:val="clear" w:color="auto" w:fill="FFFFFF"/>
                    </w:rPr>
                    <w:t>℃</w:t>
                  </w:r>
                  <w:r>
                    <w:rPr>
                      <w:rFonts w:hint="eastAsia"/>
                      <w:color w:val="auto"/>
                      <w:sz w:val="21"/>
                      <w:szCs w:val="21"/>
                      <w:shd w:val="clear" w:color="auto" w:fill="FFFFFF"/>
                    </w:rPr>
                    <w:t>。</w:t>
                  </w:r>
                </w:p>
              </w:tc>
              <w:tc>
                <w:tcPr>
                  <w:tcW w:w="752" w:type="pct"/>
                  <w:noWrap w:val="0"/>
                  <w:vAlign w:val="center"/>
                </w:tcPr>
                <w:p w14:paraId="2EFB8AC6">
                  <w:pPr>
                    <w:jc w:val="center"/>
                    <w:rPr>
                      <w:bCs/>
                      <w:color w:val="auto"/>
                      <w:sz w:val="21"/>
                      <w:szCs w:val="21"/>
                    </w:rPr>
                  </w:pPr>
                  <w:r>
                    <w:rPr>
                      <w:rFonts w:ascii="Times New Roman" w:hAnsi="Times New Roman" w:eastAsia="宋体" w:cs="Times New Roman"/>
                      <w:color w:val="auto"/>
                      <w:kern w:val="0"/>
                      <w:sz w:val="21"/>
                      <w:szCs w:val="21"/>
                    </w:rPr>
                    <w:t>可燃</w:t>
                  </w:r>
                </w:p>
              </w:tc>
              <w:tc>
                <w:tcPr>
                  <w:tcW w:w="1112" w:type="pct"/>
                  <w:noWrap w:val="0"/>
                  <w:vAlign w:val="center"/>
                </w:tcPr>
                <w:p w14:paraId="65D6BF82">
                  <w:pPr>
                    <w:jc w:val="center"/>
                    <w:rPr>
                      <w:bCs/>
                      <w:color w:val="auto"/>
                      <w:sz w:val="21"/>
                      <w:szCs w:val="21"/>
                    </w:rPr>
                  </w:pPr>
                  <w:r>
                    <w:rPr>
                      <w:rFonts w:hint="eastAsia"/>
                      <w:bCs/>
                      <w:color w:val="auto"/>
                      <w:sz w:val="21"/>
                      <w:szCs w:val="21"/>
                    </w:rPr>
                    <w:t>无资料</w:t>
                  </w:r>
                </w:p>
              </w:tc>
            </w:tr>
            <w:tr w14:paraId="1E24C1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noWrap w:val="0"/>
                  <w:vAlign w:val="center"/>
                </w:tcPr>
                <w:p w14:paraId="2A8F6516">
                  <w:pPr>
                    <w:jc w:val="center"/>
                    <w:rPr>
                      <w:rFonts w:hint="eastAsia"/>
                      <w:color w:val="auto"/>
                      <w:sz w:val="21"/>
                      <w:szCs w:val="21"/>
                    </w:rPr>
                  </w:pPr>
                  <w:r>
                    <w:rPr>
                      <w:rFonts w:hint="eastAsia" w:ascii="Times New Roman" w:hAnsi="Times New Roman" w:eastAsia="宋体" w:cs="Times New Roman"/>
                      <w:color w:val="auto"/>
                      <w:kern w:val="2"/>
                      <w:sz w:val="21"/>
                      <w:szCs w:val="21"/>
                      <w:lang w:val="en-US" w:eastAsia="zh-CN" w:bidi="ar-SA"/>
                    </w:rPr>
                    <w:t>乙醇</w:t>
                  </w:r>
                  <w:r>
                    <w:rPr>
                      <w:rFonts w:hint="eastAsia"/>
                      <w:bCs/>
                      <w:color w:val="auto"/>
                      <w:sz w:val="21"/>
                      <w:szCs w:val="21"/>
                    </w:rPr>
                    <w:t>(</w:t>
                  </w:r>
                  <w:r>
                    <w:rPr>
                      <w:rFonts w:hint="eastAsia"/>
                      <w:bCs/>
                      <w:color w:val="auto"/>
                      <w:sz w:val="21"/>
                      <w:szCs w:val="21"/>
                      <w:lang w:val="en-US" w:eastAsia="zh-CN"/>
                    </w:rPr>
                    <w:t>水性</w:t>
                  </w:r>
                  <w:r>
                    <w:rPr>
                      <w:rFonts w:hint="eastAsia"/>
                      <w:bCs/>
                      <w:color w:val="auto"/>
                      <w:sz w:val="21"/>
                      <w:szCs w:val="21"/>
                    </w:rPr>
                    <w:t>油墨组分)</w:t>
                  </w:r>
                </w:p>
              </w:tc>
              <w:tc>
                <w:tcPr>
                  <w:tcW w:w="2267" w:type="pct"/>
                  <w:noWrap w:val="0"/>
                  <w:vAlign w:val="center"/>
                </w:tcPr>
                <w:p w14:paraId="2778281B">
                  <w:pPr>
                    <w:autoSpaceDE w:val="0"/>
                    <w:autoSpaceDN w:val="0"/>
                    <w:rPr>
                      <w:rFonts w:hint="eastAsia"/>
                      <w:bCs/>
                      <w:color w:val="auto"/>
                      <w:sz w:val="21"/>
                      <w:szCs w:val="21"/>
                    </w:rPr>
                  </w:pPr>
                  <w:r>
                    <w:rPr>
                      <w:rFonts w:hint="eastAsia"/>
                      <w:bCs/>
                      <w:color w:val="auto"/>
                      <w:sz w:val="21"/>
                      <w:szCs w:val="21"/>
                    </w:rPr>
                    <w:t>CAS：6</w:t>
                  </w:r>
                  <w:r>
                    <w:rPr>
                      <w:rFonts w:hint="eastAsia"/>
                      <w:bCs/>
                      <w:color w:val="auto"/>
                      <w:sz w:val="21"/>
                      <w:szCs w:val="21"/>
                      <w:lang w:val="en-US" w:eastAsia="zh-CN"/>
                    </w:rPr>
                    <w:t>4</w:t>
                  </w:r>
                  <w:r>
                    <w:rPr>
                      <w:rFonts w:hint="eastAsia"/>
                      <w:bCs/>
                      <w:color w:val="auto"/>
                      <w:sz w:val="21"/>
                      <w:szCs w:val="21"/>
                    </w:rPr>
                    <w:t>-</w:t>
                  </w:r>
                  <w:r>
                    <w:rPr>
                      <w:rFonts w:hint="eastAsia"/>
                      <w:bCs/>
                      <w:color w:val="auto"/>
                      <w:sz w:val="21"/>
                      <w:szCs w:val="21"/>
                      <w:lang w:val="en-US" w:eastAsia="zh-CN"/>
                    </w:rPr>
                    <w:t>17</w:t>
                  </w:r>
                  <w:r>
                    <w:rPr>
                      <w:rFonts w:hint="eastAsia"/>
                      <w:bCs/>
                      <w:color w:val="auto"/>
                      <w:sz w:val="21"/>
                      <w:szCs w:val="21"/>
                    </w:rPr>
                    <w:t>-</w:t>
                  </w:r>
                  <w:r>
                    <w:rPr>
                      <w:rFonts w:hint="eastAsia"/>
                      <w:bCs/>
                      <w:color w:val="auto"/>
                      <w:sz w:val="21"/>
                      <w:szCs w:val="21"/>
                      <w:lang w:val="en-US" w:eastAsia="zh-CN"/>
                    </w:rPr>
                    <w:t>5</w:t>
                  </w:r>
                  <w:r>
                    <w:rPr>
                      <w:rFonts w:hint="eastAsia"/>
                      <w:bCs/>
                      <w:color w:val="auto"/>
                      <w:sz w:val="21"/>
                      <w:szCs w:val="21"/>
                    </w:rPr>
                    <w:t>,</w:t>
                  </w:r>
                  <w:r>
                    <w:rPr>
                      <w:color w:val="auto"/>
                      <w:sz w:val="21"/>
                      <w:szCs w:val="21"/>
                    </w:rPr>
                    <w:t>无色液体，有酒香；闪点：14℃，熔点：-114.1℃，沸点：78.3℃；相对密度(水=1)0.</w:t>
                  </w:r>
                  <w:r>
                    <w:rPr>
                      <w:rFonts w:hint="eastAsia"/>
                      <w:color w:val="auto"/>
                      <w:sz w:val="21"/>
                      <w:szCs w:val="21"/>
                      <w:lang w:val="en-US" w:eastAsia="zh-CN"/>
                    </w:rPr>
                    <w:t>789</w:t>
                  </w:r>
                  <w:r>
                    <w:rPr>
                      <w:color w:val="auto"/>
                      <w:sz w:val="21"/>
                      <w:szCs w:val="21"/>
                    </w:rPr>
                    <w:t>；与水混溶，可混溶于醚、氯仿、甘油等多数有机溶剂</w:t>
                  </w:r>
                  <w:r>
                    <w:rPr>
                      <w:color w:val="auto"/>
                      <w:kern w:val="0"/>
                      <w:sz w:val="21"/>
                      <w:szCs w:val="21"/>
                    </w:rPr>
                    <w:t>。</w:t>
                  </w:r>
                </w:p>
              </w:tc>
              <w:tc>
                <w:tcPr>
                  <w:tcW w:w="752" w:type="pct"/>
                  <w:noWrap w:val="0"/>
                  <w:vAlign w:val="center"/>
                </w:tcPr>
                <w:p w14:paraId="4E5349B1">
                  <w:pPr>
                    <w:jc w:val="center"/>
                    <w:rPr>
                      <w:rFonts w:ascii="Times New Roman" w:hAnsi="Times New Roman" w:eastAsia="宋体" w:cs="Times New Roman"/>
                      <w:color w:val="auto"/>
                      <w:kern w:val="0"/>
                      <w:sz w:val="21"/>
                      <w:szCs w:val="21"/>
                    </w:rPr>
                  </w:pPr>
                  <w:r>
                    <w:rPr>
                      <w:rFonts w:hint="eastAsia"/>
                      <w:color w:val="auto"/>
                      <w:sz w:val="21"/>
                      <w:szCs w:val="21"/>
                    </w:rPr>
                    <w:t>易燃易爆</w:t>
                  </w:r>
                </w:p>
              </w:tc>
              <w:tc>
                <w:tcPr>
                  <w:tcW w:w="1112" w:type="pct"/>
                  <w:noWrap w:val="0"/>
                  <w:vAlign w:val="center"/>
                </w:tcPr>
                <w:p w14:paraId="7418A45D">
                  <w:pPr>
                    <w:jc w:val="center"/>
                    <w:rPr>
                      <w:rFonts w:hint="eastAsia"/>
                      <w:bCs/>
                      <w:color w:val="auto"/>
                      <w:sz w:val="21"/>
                      <w:szCs w:val="21"/>
                    </w:rPr>
                  </w:pPr>
                  <w:r>
                    <w:rPr>
                      <w:color w:val="auto"/>
                      <w:sz w:val="21"/>
                      <w:szCs w:val="21"/>
                    </w:rPr>
                    <w:t>LD</w:t>
                  </w:r>
                  <w:r>
                    <w:rPr>
                      <w:color w:val="auto"/>
                      <w:sz w:val="21"/>
                      <w:szCs w:val="21"/>
                      <w:vertAlign w:val="subscript"/>
                    </w:rPr>
                    <w:t>50</w:t>
                  </w:r>
                  <w:r>
                    <w:rPr>
                      <w:color w:val="auto"/>
                      <w:sz w:val="21"/>
                      <w:szCs w:val="21"/>
                    </w:rPr>
                    <w:t>：7060mg/kg(大鼠经口)</w:t>
                  </w:r>
                </w:p>
              </w:tc>
            </w:tr>
            <w:tr w14:paraId="2AD3FC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tcBorders>
                    <w:left w:val="single" w:color="auto" w:sz="4" w:space="0"/>
                  </w:tcBorders>
                  <w:noWrap w:val="0"/>
                  <w:vAlign w:val="center"/>
                </w:tcPr>
                <w:p w14:paraId="6C5CF2F6">
                  <w:pPr>
                    <w:widowControl/>
                    <w:jc w:val="left"/>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聚氨酯树脂</w:t>
                  </w:r>
                  <w:r>
                    <w:rPr>
                      <w:rFonts w:hint="eastAsia" w:ascii="Times New Roman" w:hAnsi="Times New Roman" w:eastAsia="宋体" w:cs="Times New Roman"/>
                      <w:bCs/>
                      <w:color w:val="auto"/>
                      <w:sz w:val="21"/>
                      <w:szCs w:val="21"/>
                    </w:rPr>
                    <w:t>(油墨组分)</w:t>
                  </w:r>
                </w:p>
              </w:tc>
              <w:tc>
                <w:tcPr>
                  <w:tcW w:w="2267" w:type="pct"/>
                  <w:noWrap w:val="0"/>
                  <w:vAlign w:val="center"/>
                </w:tcPr>
                <w:p w14:paraId="45F816AF">
                  <w:pPr>
                    <w:widowControl/>
                    <w:jc w:val="left"/>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CAS：9009-54-5</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rPr>
                    <w:t>白色固体，密度1.</w:t>
                  </w:r>
                  <w:r>
                    <w:rPr>
                      <w:rFonts w:hint="eastAsia" w:ascii="Times New Roman" w:hAnsi="Times New Roman" w:eastAsia="宋体" w:cs="Times New Roman"/>
                      <w:bCs/>
                      <w:color w:val="auto"/>
                      <w:sz w:val="21"/>
                      <w:szCs w:val="21"/>
                      <w:lang w:val="en-US" w:eastAsia="zh-CN"/>
                    </w:rPr>
                    <w:t>05</w:t>
                  </w:r>
                  <w:r>
                    <w:rPr>
                      <w:rFonts w:hint="eastAsia" w:ascii="Times New Roman" w:hAnsi="Times New Roman" w:eastAsia="宋体" w:cs="Times New Roman"/>
                      <w:bCs/>
                      <w:color w:val="auto"/>
                      <w:sz w:val="21"/>
                      <w:szCs w:val="21"/>
                    </w:rPr>
                    <w:t>g/cm</w:t>
                  </w:r>
                  <w:r>
                    <w:rPr>
                      <w:rFonts w:hint="eastAsia" w:ascii="Times New Roman" w:hAnsi="Times New Roman" w:eastAsia="宋体" w:cs="Times New Roman"/>
                      <w:bCs/>
                      <w:color w:val="auto"/>
                      <w:sz w:val="21"/>
                      <w:szCs w:val="21"/>
                      <w:vertAlign w:val="superscript"/>
                    </w:rPr>
                    <w:t>3</w:t>
                  </w:r>
                  <w:r>
                    <w:rPr>
                      <w:rFonts w:hint="eastAsia" w:ascii="Times New Roman" w:hAnsi="Times New Roman" w:eastAsia="宋体" w:cs="Times New Roman"/>
                      <w:bCs/>
                      <w:color w:val="auto"/>
                      <w:sz w:val="21"/>
                      <w:szCs w:val="21"/>
                    </w:rPr>
                    <w:t>；不溶于水，溶于乙醇、乙醚、丙酮、苯等多数有机溶剂。</w:t>
                  </w:r>
                </w:p>
              </w:tc>
              <w:tc>
                <w:tcPr>
                  <w:tcW w:w="752" w:type="pct"/>
                  <w:noWrap w:val="0"/>
                  <w:vAlign w:val="center"/>
                </w:tcPr>
                <w:p w14:paraId="0DAFE5CC">
                  <w:pPr>
                    <w:widowControl/>
                    <w:jc w:val="center"/>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可燃</w:t>
                  </w:r>
                </w:p>
              </w:tc>
              <w:tc>
                <w:tcPr>
                  <w:tcW w:w="1112" w:type="pct"/>
                  <w:tcBorders>
                    <w:right w:val="single" w:color="auto" w:sz="4" w:space="0"/>
                  </w:tcBorders>
                  <w:noWrap w:val="0"/>
                  <w:vAlign w:val="center"/>
                </w:tcPr>
                <w:p w14:paraId="671E1CA4">
                  <w:pPr>
                    <w:widowControl/>
                    <w:jc w:val="left"/>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LD</w:t>
                  </w:r>
                  <w:r>
                    <w:rPr>
                      <w:rFonts w:hint="eastAsia" w:ascii="Times New Roman" w:hAnsi="Times New Roman" w:eastAsia="宋体" w:cs="Times New Roman"/>
                      <w:bCs/>
                      <w:color w:val="auto"/>
                      <w:sz w:val="21"/>
                      <w:szCs w:val="21"/>
                      <w:vertAlign w:val="subscript"/>
                    </w:rPr>
                    <w:t>50</w:t>
                  </w:r>
                  <w:r>
                    <w:rPr>
                      <w:rFonts w:hint="eastAsia" w:ascii="Times New Roman" w:hAnsi="Times New Roman" w:eastAsia="宋体" w:cs="Times New Roman"/>
                      <w:bCs/>
                      <w:color w:val="auto"/>
                      <w:sz w:val="21"/>
                      <w:szCs w:val="21"/>
                    </w:rPr>
                    <w:t>：&gt;5000mg/kg（大鼠经口）</w:t>
                  </w:r>
                </w:p>
              </w:tc>
            </w:tr>
            <w:tr w14:paraId="4ABB3E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noWrap w:val="0"/>
                  <w:vAlign w:val="center"/>
                </w:tcPr>
                <w:p w14:paraId="0BAF14D7">
                  <w:pPr>
                    <w:jc w:val="center"/>
                    <w:rPr>
                      <w:rFonts w:hint="eastAsia"/>
                      <w:color w:val="auto"/>
                      <w:sz w:val="21"/>
                      <w:szCs w:val="21"/>
                    </w:rPr>
                  </w:pPr>
                  <w:r>
                    <w:rPr>
                      <w:rFonts w:hint="eastAsia"/>
                      <w:color w:val="auto"/>
                      <w:sz w:val="21"/>
                      <w:szCs w:val="21"/>
                    </w:rPr>
                    <w:t>胶水</w:t>
                  </w:r>
                </w:p>
              </w:tc>
              <w:tc>
                <w:tcPr>
                  <w:tcW w:w="2267" w:type="pct"/>
                  <w:noWrap w:val="0"/>
                  <w:vAlign w:val="center"/>
                </w:tcPr>
                <w:p w14:paraId="18A52263">
                  <w:pPr>
                    <w:jc w:val="center"/>
                    <w:rPr>
                      <w:rFonts w:hint="eastAsia"/>
                      <w:color w:val="auto"/>
                      <w:sz w:val="21"/>
                      <w:szCs w:val="21"/>
                    </w:rPr>
                  </w:pPr>
                  <w:r>
                    <w:rPr>
                      <w:rFonts w:hint="eastAsia"/>
                      <w:color w:val="auto"/>
                      <w:sz w:val="21"/>
                      <w:szCs w:val="21"/>
                      <w:lang w:val="en-US" w:eastAsia="zh-CN"/>
                    </w:rPr>
                    <w:t>淡黄色</w:t>
                  </w:r>
                  <w:r>
                    <w:rPr>
                      <w:rFonts w:hint="eastAsia"/>
                      <w:color w:val="auto"/>
                      <w:sz w:val="21"/>
                      <w:szCs w:val="21"/>
                    </w:rPr>
                    <w:t>透明液体,</w:t>
                  </w:r>
                  <w:r>
                    <w:rPr>
                      <w:color w:val="auto"/>
                      <w:sz w:val="21"/>
                      <w:szCs w:val="21"/>
                    </w:rPr>
                    <w:t>密度</w:t>
                  </w:r>
                  <w:r>
                    <w:rPr>
                      <w:rFonts w:hint="eastAsia"/>
                      <w:color w:val="auto"/>
                      <w:sz w:val="21"/>
                      <w:szCs w:val="21"/>
                    </w:rPr>
                    <w:t>1.</w:t>
                  </w:r>
                  <w:r>
                    <w:rPr>
                      <w:rFonts w:hint="eastAsia"/>
                      <w:color w:val="auto"/>
                      <w:sz w:val="21"/>
                      <w:szCs w:val="21"/>
                      <w:lang w:val="en-US" w:eastAsia="zh-CN"/>
                    </w:rPr>
                    <w:t>04</w:t>
                  </w:r>
                  <w:r>
                    <w:rPr>
                      <w:rFonts w:hint="eastAsia"/>
                      <w:color w:val="auto"/>
                      <w:sz w:val="21"/>
                      <w:szCs w:val="21"/>
                    </w:rPr>
                    <w:t>g/cm</w:t>
                  </w:r>
                  <w:r>
                    <w:rPr>
                      <w:rFonts w:hint="eastAsia"/>
                      <w:color w:val="auto"/>
                      <w:sz w:val="21"/>
                      <w:szCs w:val="21"/>
                      <w:vertAlign w:val="superscript"/>
                    </w:rPr>
                    <w:t>3</w:t>
                  </w:r>
                  <w:r>
                    <w:rPr>
                      <w:color w:val="auto"/>
                      <w:sz w:val="21"/>
                      <w:szCs w:val="21"/>
                    </w:rPr>
                    <w:t>，闪点</w:t>
                  </w:r>
                  <w:r>
                    <w:rPr>
                      <w:rFonts w:ascii="宋体" w:hAnsi="宋体" w:eastAsia="宋体" w:cs="宋体"/>
                      <w:color w:val="auto"/>
                      <w:sz w:val="21"/>
                      <w:szCs w:val="21"/>
                    </w:rPr>
                    <w:t>&gt;</w:t>
                  </w:r>
                  <w:r>
                    <w:rPr>
                      <w:rFonts w:hint="eastAsia"/>
                      <w:color w:val="auto"/>
                      <w:sz w:val="21"/>
                      <w:szCs w:val="21"/>
                      <w:lang w:val="en-US" w:eastAsia="zh-CN"/>
                    </w:rPr>
                    <w:t>100</w:t>
                  </w:r>
                  <w:r>
                    <w:rPr>
                      <w:color w:val="auto"/>
                      <w:sz w:val="21"/>
                      <w:szCs w:val="21"/>
                    </w:rPr>
                    <w:t>℃</w:t>
                  </w:r>
                  <w:r>
                    <w:rPr>
                      <w:rFonts w:hint="eastAsia"/>
                      <w:color w:val="auto"/>
                      <w:sz w:val="21"/>
                      <w:szCs w:val="21"/>
                      <w:lang w:eastAsia="zh-CN"/>
                    </w:rPr>
                    <w:t>，</w:t>
                  </w:r>
                  <w:r>
                    <w:rPr>
                      <w:rFonts w:hint="eastAsia" w:ascii="Times New Roman" w:hAnsi="Times New Roman" w:eastAsia="宋体" w:cs="Times New Roman"/>
                      <w:bCs/>
                      <w:color w:val="auto"/>
                      <w:sz w:val="21"/>
                      <w:szCs w:val="21"/>
                      <w:lang w:val="en-US" w:eastAsia="zh-CN"/>
                    </w:rPr>
                    <w:t>不溶于水，溶于乙醇、乙醚、丙酮、苯等多数有机溶剂。</w:t>
                  </w:r>
                </w:p>
              </w:tc>
              <w:tc>
                <w:tcPr>
                  <w:tcW w:w="752" w:type="pct"/>
                  <w:noWrap w:val="0"/>
                  <w:vAlign w:val="center"/>
                </w:tcPr>
                <w:p w14:paraId="5B5A5CA1">
                  <w:pPr>
                    <w:jc w:val="center"/>
                    <w:rPr>
                      <w:rFonts w:hint="eastAsia"/>
                      <w:color w:val="auto"/>
                      <w:sz w:val="21"/>
                      <w:szCs w:val="21"/>
                    </w:rPr>
                  </w:pPr>
                  <w:r>
                    <w:rPr>
                      <w:color w:val="auto"/>
                      <w:sz w:val="21"/>
                      <w:szCs w:val="21"/>
                    </w:rPr>
                    <w:t>可燃</w:t>
                  </w:r>
                </w:p>
              </w:tc>
              <w:tc>
                <w:tcPr>
                  <w:tcW w:w="1112" w:type="pct"/>
                  <w:noWrap w:val="0"/>
                  <w:vAlign w:val="center"/>
                </w:tcPr>
                <w:p w14:paraId="525D6D72">
                  <w:pPr>
                    <w:jc w:val="center"/>
                    <w:rPr>
                      <w:bCs/>
                      <w:color w:val="auto"/>
                      <w:sz w:val="21"/>
                      <w:szCs w:val="21"/>
                    </w:rPr>
                  </w:pPr>
                  <w:r>
                    <w:rPr>
                      <w:rFonts w:hint="eastAsia" w:ascii="Times New Roman" w:hAnsi="Times New Roman" w:eastAsia="宋体" w:cs="Times New Roman"/>
                      <w:bCs/>
                      <w:color w:val="auto"/>
                      <w:sz w:val="21"/>
                      <w:szCs w:val="21"/>
                    </w:rPr>
                    <w:t>LD</w:t>
                  </w:r>
                  <w:r>
                    <w:rPr>
                      <w:rFonts w:hint="eastAsia" w:ascii="Times New Roman" w:hAnsi="Times New Roman" w:eastAsia="宋体" w:cs="Times New Roman"/>
                      <w:bCs/>
                      <w:color w:val="auto"/>
                      <w:sz w:val="21"/>
                      <w:szCs w:val="21"/>
                      <w:vertAlign w:val="subscript"/>
                    </w:rPr>
                    <w:t>50</w:t>
                  </w:r>
                  <w:r>
                    <w:rPr>
                      <w:rFonts w:hint="eastAsia" w:ascii="Times New Roman" w:hAnsi="Times New Roman" w:eastAsia="宋体" w:cs="Times New Roman"/>
                      <w:bCs/>
                      <w:color w:val="auto"/>
                      <w:sz w:val="21"/>
                      <w:szCs w:val="21"/>
                    </w:rPr>
                    <w:t>：</w:t>
                  </w:r>
                  <w:r>
                    <w:rPr>
                      <w:rFonts w:hint="eastAsia" w:ascii="Times New Roman" w:hAnsi="Times New Roman" w:eastAsia="宋体" w:cs="Times New Roman"/>
                      <w:bCs/>
                      <w:color w:val="auto"/>
                      <w:sz w:val="21"/>
                      <w:szCs w:val="21"/>
                      <w:lang w:val="en-US" w:eastAsia="zh-CN"/>
                    </w:rPr>
                    <w:t>2866</w:t>
                  </w:r>
                  <w:r>
                    <w:rPr>
                      <w:rFonts w:hint="eastAsia" w:ascii="Times New Roman" w:hAnsi="Times New Roman" w:eastAsia="宋体" w:cs="Times New Roman"/>
                      <w:bCs/>
                      <w:color w:val="auto"/>
                      <w:sz w:val="21"/>
                      <w:szCs w:val="21"/>
                    </w:rPr>
                    <w:t>mg/kg（大鼠经口）</w:t>
                  </w:r>
                </w:p>
              </w:tc>
            </w:tr>
            <w:tr w14:paraId="5EBBAE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noWrap w:val="0"/>
                  <w:vAlign w:val="center"/>
                </w:tcPr>
                <w:p w14:paraId="10419C63">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聚醚多羟基化合物</w:t>
                  </w:r>
                  <w:r>
                    <w:rPr>
                      <w:rFonts w:hint="eastAsia" w:ascii="Times New Roman" w:hAnsi="Times New Roman" w:eastAsia="宋体" w:cs="Times New Roman"/>
                      <w:color w:val="auto"/>
                      <w:sz w:val="21"/>
                      <w:szCs w:val="21"/>
                    </w:rPr>
                    <w:t>（胶水组分）</w:t>
                  </w:r>
                </w:p>
              </w:tc>
              <w:tc>
                <w:tcPr>
                  <w:tcW w:w="2267" w:type="pct"/>
                  <w:noWrap w:val="0"/>
                  <w:vAlign w:val="center"/>
                </w:tcPr>
                <w:p w14:paraId="0C259938">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CAS:25791-96-2,</w:t>
                  </w:r>
                  <w:r>
                    <w:rPr>
                      <w:rFonts w:ascii="Times New Roman" w:hAnsi="Times New Roman" w:eastAsia="宋体" w:cs="Times New Roman"/>
                      <w:color w:val="auto"/>
                      <w:sz w:val="21"/>
                      <w:szCs w:val="21"/>
                    </w:rPr>
                    <w:t>无色至淡黄色透明液体，密度</w:t>
                  </w:r>
                  <w:r>
                    <w:rPr>
                      <w:rFonts w:hint="eastAsia"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05</w:t>
                  </w:r>
                  <w:r>
                    <w:rPr>
                      <w:rFonts w:hint="eastAsia" w:ascii="Times New Roman" w:hAnsi="Times New Roman" w:eastAsia="宋体" w:cs="Times New Roman"/>
                      <w:color w:val="auto"/>
                      <w:sz w:val="21"/>
                      <w:szCs w:val="21"/>
                    </w:rPr>
                    <w:t>g/cm</w:t>
                  </w:r>
                  <w:r>
                    <w:rPr>
                      <w:rFonts w:hint="eastAsia"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，闪点</w:t>
                  </w:r>
                  <w:r>
                    <w:rPr>
                      <w:rFonts w:hint="eastAsia" w:ascii="Times New Roman" w:hAnsi="Times New Roman" w:eastAsia="宋体" w:cs="Times New Roman"/>
                      <w:color w:val="auto"/>
                      <w:sz w:val="21"/>
                      <w:szCs w:val="21"/>
                      <w:lang w:val="en-US" w:eastAsia="zh-CN"/>
                    </w:rPr>
                    <w:t>100</w:t>
                  </w:r>
                  <w:r>
                    <w:rPr>
                      <w:rFonts w:ascii="Times New Roman" w:hAnsi="Times New Roman" w:eastAsia="宋体" w:cs="Times New Roman"/>
                      <w:color w:val="auto"/>
                      <w:sz w:val="21"/>
                      <w:szCs w:val="21"/>
                    </w:rPr>
                    <w:t>℃；溶于水，溶于醇、醚</w:t>
                  </w:r>
                  <w:r>
                    <w:rPr>
                      <w:rFonts w:hint="eastAsia" w:ascii="Times New Roman" w:hAnsi="Times New Roman" w:eastAsia="宋体" w:cs="Times New Roman"/>
                      <w:color w:val="auto"/>
                      <w:sz w:val="21"/>
                      <w:szCs w:val="21"/>
                    </w:rPr>
                    <w:t>等多数有机溶剂</w:t>
                  </w:r>
                  <w:r>
                    <w:rPr>
                      <w:rFonts w:ascii="Times New Roman" w:hAnsi="Times New Roman" w:eastAsia="宋体" w:cs="Times New Roman"/>
                      <w:color w:val="auto"/>
                      <w:sz w:val="21"/>
                      <w:szCs w:val="21"/>
                    </w:rPr>
                    <w:t>。</w:t>
                  </w:r>
                </w:p>
              </w:tc>
              <w:tc>
                <w:tcPr>
                  <w:tcW w:w="752" w:type="pct"/>
                  <w:noWrap w:val="0"/>
                  <w:vAlign w:val="center"/>
                </w:tcPr>
                <w:p w14:paraId="0824124C">
                  <w:pPr>
                    <w:jc w:val="center"/>
                    <w:rPr>
                      <w:color w:val="auto"/>
                      <w:sz w:val="21"/>
                      <w:szCs w:val="21"/>
                    </w:rPr>
                  </w:pPr>
                  <w:r>
                    <w:rPr>
                      <w:color w:val="auto"/>
                      <w:sz w:val="21"/>
                      <w:szCs w:val="21"/>
                    </w:rPr>
                    <w:t>可燃</w:t>
                  </w:r>
                </w:p>
              </w:tc>
              <w:tc>
                <w:tcPr>
                  <w:tcW w:w="1112" w:type="pct"/>
                  <w:noWrap w:val="0"/>
                  <w:vAlign w:val="center"/>
                </w:tcPr>
                <w:p w14:paraId="1A08D81E">
                  <w:pPr>
                    <w:jc w:val="center"/>
                    <w:rPr>
                      <w:color w:val="auto"/>
                      <w:sz w:val="21"/>
                      <w:szCs w:val="21"/>
                    </w:rPr>
                  </w:pPr>
                  <w:r>
                    <w:rPr>
                      <w:rFonts w:hint="eastAsia" w:ascii="Times New Roman" w:hAnsi="Times New Roman" w:eastAsia="宋体" w:cs="Times New Roman"/>
                      <w:bCs/>
                      <w:color w:val="auto"/>
                      <w:sz w:val="21"/>
                      <w:szCs w:val="21"/>
                    </w:rPr>
                    <w:t>LD</w:t>
                  </w:r>
                  <w:r>
                    <w:rPr>
                      <w:rFonts w:hint="eastAsia" w:ascii="Times New Roman" w:hAnsi="Times New Roman" w:eastAsia="宋体" w:cs="Times New Roman"/>
                      <w:bCs/>
                      <w:color w:val="auto"/>
                      <w:sz w:val="21"/>
                      <w:szCs w:val="21"/>
                      <w:vertAlign w:val="subscript"/>
                    </w:rPr>
                    <w:t>50</w:t>
                  </w:r>
                  <w:r>
                    <w:rPr>
                      <w:rFonts w:hint="eastAsia" w:ascii="Times New Roman" w:hAnsi="Times New Roman" w:eastAsia="宋体" w:cs="Times New Roman"/>
                      <w:bCs/>
                      <w:color w:val="auto"/>
                      <w:sz w:val="21"/>
                      <w:szCs w:val="21"/>
                    </w:rPr>
                    <w:t>：&gt;5000mg/kg（大鼠经口）</w:t>
                  </w:r>
                </w:p>
              </w:tc>
            </w:tr>
            <w:tr w14:paraId="4D2AF0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noWrap w:val="0"/>
                  <w:vAlign w:val="center"/>
                </w:tcPr>
                <w:p w14:paraId="1032DEF1">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2,2'-氧二乙醇</w:t>
                  </w:r>
                  <w:r>
                    <w:rPr>
                      <w:rFonts w:hint="eastAsia"/>
                      <w:color w:val="auto"/>
                      <w:sz w:val="21"/>
                      <w:szCs w:val="21"/>
                    </w:rPr>
                    <w:t>（胶水组分）</w:t>
                  </w:r>
                </w:p>
              </w:tc>
              <w:tc>
                <w:tcPr>
                  <w:tcW w:w="2267" w:type="pct"/>
                  <w:noWrap w:val="0"/>
                  <w:vAlign w:val="center"/>
                </w:tcPr>
                <w:p w14:paraId="1912FEB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CAS:111-46-6，无色透明粘稠液体，密度1.18g/cm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，闪点244.8℃；与水互溶，溶于醇、醚、酮等多数有机溶剂。</w:t>
                  </w:r>
                </w:p>
              </w:tc>
              <w:tc>
                <w:tcPr>
                  <w:tcW w:w="752" w:type="pct"/>
                  <w:noWrap w:val="0"/>
                  <w:vAlign w:val="center"/>
                </w:tcPr>
                <w:p w14:paraId="181602A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可燃</w:t>
                  </w:r>
                </w:p>
              </w:tc>
              <w:tc>
                <w:tcPr>
                  <w:tcW w:w="1112" w:type="pct"/>
                  <w:noWrap w:val="0"/>
                  <w:vAlign w:val="center"/>
                </w:tcPr>
                <w:p w14:paraId="696B2949">
                  <w:pPr>
                    <w:jc w:val="center"/>
                    <w:rPr>
                      <w:rFonts w:hint="eastAsia"/>
                      <w:bCs/>
                      <w:color w:val="auto"/>
                      <w:sz w:val="21"/>
                      <w:szCs w:val="21"/>
                    </w:rPr>
                  </w:pPr>
                  <w:r>
                    <w:rPr>
                      <w:rFonts w:hint="eastAsia" w:ascii="Times New Roman" w:hAnsi="Times New Roman" w:eastAsia="宋体" w:cs="Times New Roman"/>
                      <w:bCs/>
                      <w:color w:val="auto"/>
                      <w:sz w:val="21"/>
                      <w:szCs w:val="21"/>
                    </w:rPr>
                    <w:t>LD</w:t>
                  </w:r>
                  <w:r>
                    <w:rPr>
                      <w:rFonts w:hint="eastAsia" w:ascii="Times New Roman" w:hAnsi="Times New Roman" w:eastAsia="宋体" w:cs="Times New Roman"/>
                      <w:bCs/>
                      <w:color w:val="auto"/>
                      <w:sz w:val="21"/>
                      <w:szCs w:val="21"/>
                      <w:vertAlign w:val="subscript"/>
                    </w:rPr>
                    <w:t>50</w:t>
                  </w:r>
                  <w:r>
                    <w:rPr>
                      <w:rFonts w:hint="eastAsia" w:ascii="Times New Roman" w:hAnsi="Times New Roman" w:eastAsia="宋体" w:cs="Times New Roman"/>
                      <w:bCs/>
                      <w:color w:val="auto"/>
                      <w:sz w:val="21"/>
                      <w:szCs w:val="21"/>
                    </w:rPr>
                    <w:t>：</w:t>
                  </w:r>
                  <w:r>
                    <w:rPr>
                      <w:rFonts w:hint="eastAsia" w:ascii="Times New Roman" w:hAnsi="Times New Roman" w:eastAsia="宋体" w:cs="Times New Roman"/>
                      <w:bCs/>
                      <w:color w:val="auto"/>
                      <w:sz w:val="21"/>
                      <w:szCs w:val="21"/>
                      <w:lang w:val="en-US" w:eastAsia="zh-CN"/>
                    </w:rPr>
                    <w:t>148</w:t>
                  </w:r>
                  <w:r>
                    <w:rPr>
                      <w:rFonts w:hint="eastAsia" w:ascii="Times New Roman" w:hAnsi="Times New Roman" w:eastAsia="宋体" w:cs="Times New Roman"/>
                      <w:bCs/>
                      <w:color w:val="auto"/>
                      <w:sz w:val="21"/>
                      <w:szCs w:val="21"/>
                    </w:rPr>
                    <w:t>0mg/kg（大鼠经口）</w:t>
                  </w:r>
                </w:p>
              </w:tc>
            </w:tr>
            <w:tr w14:paraId="543CDD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noWrap w:val="0"/>
                  <w:vAlign w:val="center"/>
                </w:tcPr>
                <w:p w14:paraId="136D1747">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12-环氧甲氧基-9-十八烯酸甘油三酯聚合物</w:t>
                  </w:r>
                  <w:r>
                    <w:rPr>
                      <w:rFonts w:hint="eastAsia"/>
                      <w:color w:val="auto"/>
                      <w:sz w:val="21"/>
                      <w:szCs w:val="21"/>
                    </w:rPr>
                    <w:t>（胶水组分）</w:t>
                  </w:r>
                </w:p>
              </w:tc>
              <w:tc>
                <w:tcPr>
                  <w:tcW w:w="2267" w:type="pct"/>
                  <w:noWrap w:val="0"/>
                  <w:vAlign w:val="center"/>
                </w:tcPr>
                <w:p w14:paraId="18D3E50B">
                  <w:pPr>
                    <w:jc w:val="center"/>
                    <w:rPr>
                      <w:color w:val="auto"/>
                      <w:sz w:val="21"/>
                      <w:szCs w:val="21"/>
                    </w:rPr>
                  </w:pPr>
                  <w:r>
                    <w:rPr>
                      <w:rFonts w:hint="eastAsia" w:ascii="Times New Roman" w:hAnsi="Times New Roman" w:eastAsia="宋体" w:cs="Times New Roman"/>
                      <w:color w:val="auto"/>
                      <w:sz w:val="21"/>
                      <w:szCs w:val="21"/>
                      <w:lang w:val="en-US" w:eastAsia="zh-CN"/>
                    </w:rPr>
                    <w:t>CAS:74398-71-3，淡黄至琥珀色粘稠液体，密度1.05g/cm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，闪点180℃；不溶于水，溶于烃、酯、醚等多数有机溶剂。</w:t>
                  </w:r>
                </w:p>
              </w:tc>
              <w:tc>
                <w:tcPr>
                  <w:tcW w:w="752" w:type="pct"/>
                  <w:noWrap w:val="0"/>
                  <w:vAlign w:val="center"/>
                </w:tcPr>
                <w:p w14:paraId="1F20804F">
                  <w:pPr>
                    <w:jc w:val="center"/>
                    <w:rPr>
                      <w:color w:val="auto"/>
                      <w:sz w:val="21"/>
                      <w:szCs w:val="21"/>
                    </w:rPr>
                  </w:pPr>
                  <w:r>
                    <w:rPr>
                      <w:rFonts w:hint="eastAsia" w:ascii="Times New Roman" w:hAnsi="Times New Roman" w:eastAsia="宋体" w:cs="Times New Roman"/>
                      <w:color w:val="auto"/>
                      <w:sz w:val="21"/>
                      <w:szCs w:val="21"/>
                      <w:lang w:val="en-US" w:eastAsia="zh-CN"/>
                    </w:rPr>
                    <w:t>可燃</w:t>
                  </w:r>
                </w:p>
              </w:tc>
              <w:tc>
                <w:tcPr>
                  <w:tcW w:w="1112" w:type="pct"/>
                  <w:noWrap w:val="0"/>
                  <w:vAlign w:val="center"/>
                </w:tcPr>
                <w:p w14:paraId="4F59333A">
                  <w:pPr>
                    <w:jc w:val="center"/>
                    <w:rPr>
                      <w:rFonts w:hint="eastAsia"/>
                      <w:bCs/>
                      <w:color w:val="auto"/>
                      <w:sz w:val="21"/>
                      <w:szCs w:val="21"/>
                    </w:rPr>
                  </w:pPr>
                  <w:r>
                    <w:rPr>
                      <w:rFonts w:hint="eastAsia" w:ascii="Times New Roman" w:hAnsi="Times New Roman" w:eastAsia="宋体" w:cs="Times New Roman"/>
                      <w:bCs/>
                      <w:color w:val="auto"/>
                      <w:sz w:val="21"/>
                      <w:szCs w:val="21"/>
                    </w:rPr>
                    <w:t>LD</w:t>
                  </w:r>
                  <w:r>
                    <w:rPr>
                      <w:rFonts w:hint="eastAsia" w:ascii="Times New Roman" w:hAnsi="Times New Roman" w:eastAsia="宋体" w:cs="Times New Roman"/>
                      <w:bCs/>
                      <w:color w:val="auto"/>
                      <w:sz w:val="21"/>
                      <w:szCs w:val="21"/>
                      <w:vertAlign w:val="subscript"/>
                    </w:rPr>
                    <w:t>50</w:t>
                  </w:r>
                  <w:r>
                    <w:rPr>
                      <w:rFonts w:hint="eastAsia" w:ascii="Times New Roman" w:hAnsi="Times New Roman" w:eastAsia="宋体" w:cs="Times New Roman"/>
                      <w:bCs/>
                      <w:color w:val="auto"/>
                      <w:sz w:val="21"/>
                      <w:szCs w:val="21"/>
                    </w:rPr>
                    <w:t>：&gt;5000mg/kg（大鼠经口）</w:t>
                  </w:r>
                </w:p>
              </w:tc>
            </w:tr>
            <w:tr w14:paraId="6EFA21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noWrap w:val="0"/>
                  <w:vAlign w:val="center"/>
                </w:tcPr>
                <w:p w14:paraId="5C56B44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3-氨丙基三乙氧硅烷（胶水组分）</w:t>
                  </w:r>
                </w:p>
              </w:tc>
              <w:tc>
                <w:tcPr>
                  <w:tcW w:w="2267" w:type="pct"/>
                  <w:noWrap w:val="0"/>
                  <w:vAlign w:val="center"/>
                </w:tcPr>
                <w:p w14:paraId="7F5CCAC7">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CAS:919-30-2，无色至淡黄透明液体，密度0.946g/cm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，闪点105℃；溶于水，溶于烃、酯、醚等多数有机溶剂。</w:t>
                  </w:r>
                </w:p>
              </w:tc>
              <w:tc>
                <w:tcPr>
                  <w:tcW w:w="752" w:type="pct"/>
                  <w:noWrap w:val="0"/>
                  <w:vAlign w:val="center"/>
                </w:tcPr>
                <w:p w14:paraId="3D0397FA">
                  <w:pPr>
                    <w:jc w:val="center"/>
                    <w:rPr>
                      <w:color w:val="auto"/>
                      <w:sz w:val="21"/>
                      <w:szCs w:val="21"/>
                    </w:rPr>
                  </w:pPr>
                  <w:r>
                    <w:rPr>
                      <w:rFonts w:hint="eastAsia" w:ascii="Times New Roman" w:hAnsi="Times New Roman" w:eastAsia="宋体" w:cs="Times New Roman"/>
                      <w:color w:val="auto"/>
                      <w:sz w:val="21"/>
                      <w:szCs w:val="21"/>
                      <w:lang w:val="en-US" w:eastAsia="zh-CN"/>
                    </w:rPr>
                    <w:t>可燃</w:t>
                  </w:r>
                </w:p>
              </w:tc>
              <w:tc>
                <w:tcPr>
                  <w:tcW w:w="1112" w:type="pct"/>
                  <w:noWrap w:val="0"/>
                  <w:vAlign w:val="center"/>
                </w:tcPr>
                <w:p w14:paraId="09B64CD1">
                  <w:pPr>
                    <w:jc w:val="center"/>
                    <w:rPr>
                      <w:rFonts w:hint="eastAsia"/>
                      <w:bCs/>
                      <w:color w:val="auto"/>
                      <w:sz w:val="21"/>
                      <w:szCs w:val="21"/>
                    </w:rPr>
                  </w:pPr>
                  <w:r>
                    <w:rPr>
                      <w:rFonts w:hint="eastAsia" w:ascii="Times New Roman" w:hAnsi="Times New Roman" w:eastAsia="宋体" w:cs="Times New Roman"/>
                      <w:bCs/>
                      <w:color w:val="auto"/>
                      <w:sz w:val="21"/>
                      <w:szCs w:val="21"/>
                    </w:rPr>
                    <w:t>LD</w:t>
                  </w:r>
                  <w:r>
                    <w:rPr>
                      <w:rFonts w:hint="eastAsia" w:ascii="Times New Roman" w:hAnsi="Times New Roman" w:eastAsia="宋体" w:cs="Times New Roman"/>
                      <w:bCs/>
                      <w:color w:val="auto"/>
                      <w:sz w:val="21"/>
                      <w:szCs w:val="21"/>
                      <w:vertAlign w:val="subscript"/>
                    </w:rPr>
                    <w:t>50</w:t>
                  </w:r>
                  <w:r>
                    <w:rPr>
                      <w:rFonts w:hint="eastAsia" w:ascii="Times New Roman" w:hAnsi="Times New Roman" w:eastAsia="宋体" w:cs="Times New Roman"/>
                      <w:bCs/>
                      <w:color w:val="auto"/>
                      <w:sz w:val="21"/>
                      <w:szCs w:val="21"/>
                    </w:rPr>
                    <w:t>：</w:t>
                  </w:r>
                  <w:r>
                    <w:rPr>
                      <w:rFonts w:hint="eastAsia" w:ascii="Times New Roman" w:hAnsi="Times New Roman" w:eastAsia="宋体" w:cs="Times New Roman"/>
                      <w:bCs/>
                      <w:color w:val="auto"/>
                      <w:sz w:val="21"/>
                      <w:szCs w:val="21"/>
                      <w:lang w:val="en-US" w:eastAsia="zh-CN"/>
                    </w:rPr>
                    <w:t>105</w:t>
                  </w:r>
                  <w:r>
                    <w:rPr>
                      <w:rFonts w:hint="eastAsia" w:ascii="Times New Roman" w:hAnsi="Times New Roman" w:eastAsia="宋体" w:cs="Times New Roman"/>
                      <w:bCs/>
                      <w:color w:val="auto"/>
                      <w:sz w:val="21"/>
                      <w:szCs w:val="21"/>
                    </w:rPr>
                    <w:t>0mg/kg（大鼠经口）</w:t>
                  </w:r>
                </w:p>
              </w:tc>
            </w:tr>
            <w:tr w14:paraId="49F7ED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noWrap w:val="0"/>
                  <w:vAlign w:val="center"/>
                </w:tcPr>
                <w:p w14:paraId="119DD039">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2,3-环氧丙基丙基三甲氧基硅烷</w:t>
                  </w:r>
                  <w:r>
                    <w:rPr>
                      <w:rFonts w:hint="eastAsia"/>
                      <w:color w:val="auto"/>
                      <w:sz w:val="21"/>
                      <w:szCs w:val="21"/>
                    </w:rPr>
                    <w:t>（胶水组分）</w:t>
                  </w:r>
                </w:p>
              </w:tc>
              <w:tc>
                <w:tcPr>
                  <w:tcW w:w="2267" w:type="pct"/>
                  <w:noWrap w:val="0"/>
                  <w:vAlign w:val="center"/>
                </w:tcPr>
                <w:p w14:paraId="7CE6AC5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CAS:2530-83-8，无色透明液体，密度1.065g/cm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，闪点113℃；溶于水，溶于烃、酯、醚等多数有机溶剂。</w:t>
                  </w:r>
                </w:p>
              </w:tc>
              <w:tc>
                <w:tcPr>
                  <w:tcW w:w="752" w:type="pct"/>
                  <w:noWrap w:val="0"/>
                  <w:vAlign w:val="center"/>
                </w:tcPr>
                <w:p w14:paraId="2E528A5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可燃</w:t>
                  </w:r>
                </w:p>
              </w:tc>
              <w:tc>
                <w:tcPr>
                  <w:tcW w:w="1112" w:type="pct"/>
                  <w:noWrap w:val="0"/>
                  <w:vAlign w:val="center"/>
                </w:tcPr>
                <w:p w14:paraId="2E9E5560">
                  <w:pPr>
                    <w:jc w:val="center"/>
                    <w:rPr>
                      <w:rFonts w:hint="eastAsia"/>
                      <w:bCs/>
                      <w:color w:val="auto"/>
                      <w:sz w:val="21"/>
                      <w:szCs w:val="21"/>
                    </w:rPr>
                  </w:pPr>
                  <w:r>
                    <w:rPr>
                      <w:rFonts w:hint="eastAsia" w:ascii="Times New Roman" w:hAnsi="Times New Roman" w:eastAsia="宋体" w:cs="Times New Roman"/>
                      <w:bCs/>
                      <w:color w:val="auto"/>
                      <w:sz w:val="21"/>
                      <w:szCs w:val="21"/>
                    </w:rPr>
                    <w:t>LD</w:t>
                  </w:r>
                  <w:r>
                    <w:rPr>
                      <w:rFonts w:hint="eastAsia" w:ascii="Times New Roman" w:hAnsi="Times New Roman" w:eastAsia="宋体" w:cs="Times New Roman"/>
                      <w:bCs/>
                      <w:color w:val="auto"/>
                      <w:sz w:val="21"/>
                      <w:szCs w:val="21"/>
                      <w:vertAlign w:val="subscript"/>
                    </w:rPr>
                    <w:t>50</w:t>
                  </w:r>
                  <w:r>
                    <w:rPr>
                      <w:rFonts w:hint="eastAsia" w:ascii="Times New Roman" w:hAnsi="Times New Roman" w:eastAsia="宋体" w:cs="Times New Roman"/>
                      <w:bCs/>
                      <w:color w:val="auto"/>
                      <w:sz w:val="21"/>
                      <w:szCs w:val="21"/>
                    </w:rPr>
                    <w:t>：</w:t>
                  </w:r>
                  <w:r>
                    <w:rPr>
                      <w:rFonts w:hint="eastAsia" w:ascii="Times New Roman" w:hAnsi="Times New Roman" w:eastAsia="宋体" w:cs="Times New Roman"/>
                      <w:bCs/>
                      <w:color w:val="auto"/>
                      <w:sz w:val="21"/>
                      <w:szCs w:val="21"/>
                      <w:lang w:val="en-US" w:eastAsia="zh-CN"/>
                    </w:rPr>
                    <w:t>120</w:t>
                  </w:r>
                  <w:r>
                    <w:rPr>
                      <w:rFonts w:hint="eastAsia" w:ascii="Times New Roman" w:hAnsi="Times New Roman" w:eastAsia="宋体" w:cs="Times New Roman"/>
                      <w:bCs/>
                      <w:color w:val="auto"/>
                      <w:sz w:val="21"/>
                      <w:szCs w:val="21"/>
                    </w:rPr>
                    <w:t>0mg/kg（大鼠经口）</w:t>
                  </w:r>
                </w:p>
              </w:tc>
            </w:tr>
          </w:tbl>
          <w:p w14:paraId="4B30B5F7">
            <w:pPr>
              <w:adjustRightInd w:val="0"/>
              <w:snapToGrid w:val="0"/>
              <w:spacing w:line="500" w:lineRule="exact"/>
              <w:ind w:firstLine="211" w:firstLineChars="100"/>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lang w:val="en-US" w:eastAsia="zh-CN"/>
              </w:rPr>
              <w:t>4</w:t>
            </w:r>
            <w:r>
              <w:rPr>
                <w:rFonts w:hint="default" w:ascii="Times New Roman" w:hAnsi="Times New Roman" w:cs="Times New Roman" w:eastAsiaTheme="minorEastAsia"/>
                <w:b/>
                <w:color w:val="auto"/>
                <w:sz w:val="21"/>
                <w:szCs w:val="21"/>
              </w:rPr>
              <w:t>、主要生产设施</w:t>
            </w:r>
          </w:p>
          <w:p w14:paraId="76EA7F4C">
            <w:pPr>
              <w:spacing w:line="500" w:lineRule="exact"/>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本项目设备情况见</w:t>
            </w:r>
            <w:r>
              <w:rPr>
                <w:rFonts w:hint="default" w:ascii="Times New Roman" w:hAnsi="Times New Roman" w:cs="Times New Roman" w:eastAsiaTheme="minorEastAsia"/>
                <w:color w:val="auto"/>
                <w:kern w:val="0"/>
                <w:sz w:val="21"/>
                <w:szCs w:val="21"/>
                <w:lang w:eastAsia="zh-CN"/>
              </w:rPr>
              <w:t>下</w:t>
            </w:r>
            <w:r>
              <w:rPr>
                <w:rFonts w:hint="default" w:ascii="Times New Roman" w:hAnsi="Times New Roman" w:cs="Times New Roman" w:eastAsiaTheme="minorEastAsia"/>
                <w:color w:val="auto"/>
                <w:kern w:val="0"/>
                <w:sz w:val="21"/>
                <w:szCs w:val="21"/>
              </w:rPr>
              <w:t>表</w:t>
            </w:r>
            <w:r>
              <w:rPr>
                <w:rFonts w:hint="default" w:ascii="Times New Roman" w:hAnsi="Times New Roman" w:cs="Times New Roman" w:eastAsiaTheme="minorEastAsia"/>
                <w:color w:val="auto"/>
                <w:sz w:val="21"/>
                <w:szCs w:val="21"/>
              </w:rPr>
              <w:t>。</w:t>
            </w:r>
          </w:p>
          <w:p w14:paraId="0ED7F8C4">
            <w:pPr>
              <w:adjustRightInd w:val="0"/>
              <w:snapToGrid w:val="0"/>
              <w:spacing w:line="500" w:lineRule="exact"/>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表2-</w:t>
            </w:r>
            <w:r>
              <w:rPr>
                <w:rFonts w:hint="default" w:ascii="Times New Roman" w:hAnsi="Times New Roman" w:cs="Times New Roman" w:eastAsiaTheme="minorEastAsia"/>
                <w:b/>
                <w:bCs/>
                <w:color w:val="auto"/>
                <w:sz w:val="21"/>
                <w:szCs w:val="21"/>
                <w:highlight w:val="none"/>
                <w:lang w:val="en-US" w:eastAsia="zh-CN"/>
              </w:rPr>
              <w:t>4</w:t>
            </w:r>
            <w:r>
              <w:rPr>
                <w:rFonts w:hint="eastAsia" w:cs="Times New Roman" w:eastAsiaTheme="minorEastAsia"/>
                <w:b/>
                <w:bCs/>
                <w:color w:val="auto"/>
                <w:sz w:val="21"/>
                <w:szCs w:val="21"/>
                <w:highlight w:val="none"/>
                <w:lang w:val="en-US" w:eastAsia="zh-CN"/>
              </w:rPr>
              <w:t xml:space="preserve"> </w:t>
            </w:r>
            <w:r>
              <w:rPr>
                <w:rFonts w:hint="default" w:ascii="Times New Roman" w:hAnsi="Times New Roman" w:cs="Times New Roman" w:eastAsiaTheme="minorEastAsia"/>
                <w:b/>
                <w:bCs/>
                <w:color w:val="auto"/>
                <w:sz w:val="21"/>
                <w:szCs w:val="21"/>
                <w:highlight w:val="none"/>
              </w:rPr>
              <w:t>本项目主要生产设备一览表</w:t>
            </w:r>
          </w:p>
          <w:tbl>
            <w:tblPr>
              <w:tblStyle w:val="31"/>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978"/>
              <w:gridCol w:w="2165"/>
              <w:gridCol w:w="2073"/>
              <w:gridCol w:w="1784"/>
            </w:tblGrid>
            <w:tr w14:paraId="284E36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noWrap w:val="0"/>
                  <w:vAlign w:val="center"/>
                </w:tcPr>
                <w:p w14:paraId="05167361">
                  <w:pPr>
                    <w:adjustRightInd w:val="0"/>
                    <w:snapToGrid w:val="0"/>
                    <w:jc w:val="center"/>
                    <w:rPr>
                      <w:color w:val="auto"/>
                      <w:sz w:val="21"/>
                      <w:szCs w:val="21"/>
                    </w:rPr>
                  </w:pPr>
                  <w:r>
                    <w:rPr>
                      <w:color w:val="auto"/>
                      <w:sz w:val="21"/>
                      <w:szCs w:val="21"/>
                    </w:rPr>
                    <w:t>序号</w:t>
                  </w:r>
                </w:p>
              </w:tc>
              <w:tc>
                <w:tcPr>
                  <w:tcW w:w="1143" w:type="pct"/>
                  <w:noWrap w:val="0"/>
                  <w:vAlign w:val="center"/>
                </w:tcPr>
                <w:p w14:paraId="4637B6BB">
                  <w:pPr>
                    <w:adjustRightInd w:val="0"/>
                    <w:snapToGrid w:val="0"/>
                    <w:jc w:val="center"/>
                    <w:rPr>
                      <w:color w:val="auto"/>
                      <w:sz w:val="21"/>
                      <w:szCs w:val="21"/>
                    </w:rPr>
                  </w:pPr>
                  <w:r>
                    <w:rPr>
                      <w:color w:val="auto"/>
                      <w:sz w:val="21"/>
                      <w:szCs w:val="21"/>
                    </w:rPr>
                    <w:t>设备名称</w:t>
                  </w:r>
                </w:p>
              </w:tc>
              <w:tc>
                <w:tcPr>
                  <w:tcW w:w="1251" w:type="pct"/>
                  <w:noWrap w:val="0"/>
                  <w:vAlign w:val="center"/>
                </w:tcPr>
                <w:p w14:paraId="116BE51E">
                  <w:pPr>
                    <w:adjustRightInd w:val="0"/>
                    <w:snapToGrid w:val="0"/>
                    <w:jc w:val="center"/>
                    <w:rPr>
                      <w:color w:val="auto"/>
                      <w:sz w:val="21"/>
                      <w:szCs w:val="21"/>
                    </w:rPr>
                  </w:pPr>
                  <w:r>
                    <w:rPr>
                      <w:color w:val="auto"/>
                      <w:sz w:val="21"/>
                      <w:szCs w:val="21"/>
                    </w:rPr>
                    <w:t>规格型号</w:t>
                  </w:r>
                </w:p>
              </w:tc>
              <w:tc>
                <w:tcPr>
                  <w:tcW w:w="1198" w:type="pct"/>
                  <w:noWrap w:val="0"/>
                  <w:vAlign w:val="center"/>
                </w:tcPr>
                <w:p w14:paraId="71976B9F">
                  <w:pPr>
                    <w:adjustRightInd w:val="0"/>
                    <w:snapToGrid w:val="0"/>
                    <w:jc w:val="center"/>
                    <w:rPr>
                      <w:color w:val="auto"/>
                      <w:sz w:val="21"/>
                      <w:szCs w:val="21"/>
                    </w:rPr>
                  </w:pPr>
                  <w:r>
                    <w:rPr>
                      <w:color w:val="auto"/>
                      <w:sz w:val="21"/>
                      <w:szCs w:val="21"/>
                    </w:rPr>
                    <w:t>设备数量（台/套）</w:t>
                  </w:r>
                </w:p>
              </w:tc>
              <w:tc>
                <w:tcPr>
                  <w:tcW w:w="1031" w:type="pct"/>
                  <w:noWrap w:val="0"/>
                  <w:vAlign w:val="center"/>
                </w:tcPr>
                <w:p w14:paraId="22100599">
                  <w:pPr>
                    <w:adjustRightInd w:val="0"/>
                    <w:snapToGrid w:val="0"/>
                    <w:jc w:val="center"/>
                    <w:rPr>
                      <w:rFonts w:hint="eastAsia" w:eastAsia="宋体"/>
                      <w:color w:val="auto"/>
                      <w:sz w:val="21"/>
                      <w:szCs w:val="21"/>
                      <w:lang w:eastAsia="zh-CN"/>
                    </w:rPr>
                  </w:pPr>
                  <w:r>
                    <w:rPr>
                      <w:rFonts w:hint="eastAsia"/>
                      <w:color w:val="auto"/>
                      <w:sz w:val="21"/>
                      <w:szCs w:val="21"/>
                      <w:lang w:val="en-US" w:eastAsia="zh-CN"/>
                    </w:rPr>
                    <w:t>备注</w:t>
                  </w:r>
                </w:p>
              </w:tc>
            </w:tr>
            <w:tr w14:paraId="34887A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noWrap w:val="0"/>
                  <w:vAlign w:val="center"/>
                </w:tcPr>
                <w:p w14:paraId="0CD60B77">
                  <w:pPr>
                    <w:widowControl/>
                    <w:numPr>
                      <w:ilvl w:val="0"/>
                      <w:numId w:val="3"/>
                    </w:numPr>
                    <w:tabs>
                      <w:tab w:val="left" w:pos="420"/>
                      <w:tab w:val="clear" w:pos="0"/>
                    </w:tabs>
                    <w:jc w:val="center"/>
                    <w:textAlignment w:val="center"/>
                    <w:rPr>
                      <w:color w:val="auto"/>
                      <w:sz w:val="21"/>
                      <w:szCs w:val="21"/>
                    </w:rPr>
                  </w:pPr>
                </w:p>
              </w:tc>
              <w:tc>
                <w:tcPr>
                  <w:tcW w:w="1143" w:type="pct"/>
                  <w:noWrap w:val="0"/>
                  <w:vAlign w:val="center"/>
                </w:tcPr>
                <w:p w14:paraId="7F4BC2A2">
                  <w:pPr>
                    <w:widowControl/>
                    <w:jc w:val="center"/>
                    <w:textAlignment w:val="center"/>
                    <w:rPr>
                      <w:color w:val="auto"/>
                      <w:sz w:val="21"/>
                      <w:szCs w:val="21"/>
                    </w:rPr>
                  </w:pPr>
                  <w:r>
                    <w:rPr>
                      <w:color w:val="auto"/>
                      <w:kern w:val="0"/>
                      <w:sz w:val="21"/>
                      <w:szCs w:val="21"/>
                      <w:lang w:bidi="ar"/>
                    </w:rPr>
                    <w:t>印刷机</w:t>
                  </w:r>
                </w:p>
              </w:tc>
              <w:tc>
                <w:tcPr>
                  <w:tcW w:w="1251" w:type="pct"/>
                  <w:noWrap w:val="0"/>
                  <w:vAlign w:val="center"/>
                </w:tcPr>
                <w:p w14:paraId="57C70BBA">
                  <w:pPr>
                    <w:jc w:val="center"/>
                    <w:rPr>
                      <w:color w:val="auto"/>
                      <w:sz w:val="21"/>
                      <w:szCs w:val="21"/>
                    </w:rPr>
                  </w:pPr>
                  <w:r>
                    <w:rPr>
                      <w:rFonts w:hint="eastAsia"/>
                      <w:color w:val="auto"/>
                      <w:sz w:val="21"/>
                      <w:szCs w:val="21"/>
                    </w:rPr>
                    <w:t>HTYG-G-09-1050</w:t>
                  </w:r>
                </w:p>
              </w:tc>
              <w:tc>
                <w:tcPr>
                  <w:tcW w:w="1198" w:type="pct"/>
                  <w:noWrap w:val="0"/>
                  <w:vAlign w:val="center"/>
                </w:tcPr>
                <w:p w14:paraId="53D0354F">
                  <w:pPr>
                    <w:jc w:val="center"/>
                    <w:rPr>
                      <w:color w:val="auto"/>
                      <w:sz w:val="21"/>
                      <w:szCs w:val="21"/>
                    </w:rPr>
                  </w:pPr>
                  <w:r>
                    <w:rPr>
                      <w:color w:val="auto"/>
                      <w:sz w:val="21"/>
                      <w:szCs w:val="21"/>
                    </w:rPr>
                    <w:t>1</w:t>
                  </w:r>
                </w:p>
              </w:tc>
              <w:tc>
                <w:tcPr>
                  <w:tcW w:w="1031" w:type="pct"/>
                  <w:noWrap w:val="0"/>
                  <w:vAlign w:val="center"/>
                </w:tcPr>
                <w:p w14:paraId="5F9E4C7A">
                  <w:pPr>
                    <w:adjustRightInd w:val="0"/>
                    <w:snapToGrid w:val="0"/>
                    <w:jc w:val="center"/>
                    <w:rPr>
                      <w:rFonts w:hint="eastAsia" w:eastAsia="宋体"/>
                      <w:color w:val="auto"/>
                      <w:sz w:val="21"/>
                      <w:szCs w:val="21"/>
                      <w:lang w:eastAsia="zh-CN"/>
                    </w:rPr>
                  </w:pPr>
                  <w:r>
                    <w:rPr>
                      <w:rFonts w:hint="eastAsia"/>
                      <w:color w:val="auto"/>
                      <w:sz w:val="21"/>
                      <w:szCs w:val="21"/>
                      <w:lang w:val="en-US" w:eastAsia="zh-CN"/>
                    </w:rPr>
                    <w:t>新购</w:t>
                  </w:r>
                </w:p>
              </w:tc>
            </w:tr>
            <w:tr w14:paraId="5DFF97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noWrap w:val="0"/>
                  <w:vAlign w:val="center"/>
                </w:tcPr>
                <w:p w14:paraId="7D0045B6">
                  <w:pPr>
                    <w:widowControl/>
                    <w:numPr>
                      <w:ilvl w:val="0"/>
                      <w:numId w:val="3"/>
                    </w:numPr>
                    <w:tabs>
                      <w:tab w:val="left" w:pos="420"/>
                      <w:tab w:val="clear" w:pos="0"/>
                    </w:tabs>
                    <w:jc w:val="center"/>
                    <w:textAlignment w:val="center"/>
                    <w:rPr>
                      <w:color w:val="auto"/>
                      <w:kern w:val="0"/>
                      <w:sz w:val="21"/>
                      <w:szCs w:val="21"/>
                    </w:rPr>
                  </w:pPr>
                </w:p>
              </w:tc>
              <w:tc>
                <w:tcPr>
                  <w:tcW w:w="1143" w:type="pct"/>
                  <w:noWrap w:val="0"/>
                  <w:vAlign w:val="center"/>
                </w:tcPr>
                <w:p w14:paraId="6971441E">
                  <w:pPr>
                    <w:widowControl/>
                    <w:jc w:val="center"/>
                    <w:textAlignment w:val="center"/>
                    <w:rPr>
                      <w:color w:val="auto"/>
                      <w:sz w:val="21"/>
                      <w:szCs w:val="21"/>
                    </w:rPr>
                  </w:pPr>
                  <w:r>
                    <w:rPr>
                      <w:color w:val="auto"/>
                      <w:kern w:val="0"/>
                      <w:sz w:val="21"/>
                      <w:szCs w:val="21"/>
                      <w:lang w:bidi="ar"/>
                    </w:rPr>
                    <w:t>复合机</w:t>
                  </w:r>
                </w:p>
              </w:tc>
              <w:tc>
                <w:tcPr>
                  <w:tcW w:w="1251" w:type="pct"/>
                  <w:noWrap w:val="0"/>
                  <w:vAlign w:val="center"/>
                </w:tcPr>
                <w:p w14:paraId="273F55F8">
                  <w:pPr>
                    <w:jc w:val="center"/>
                    <w:rPr>
                      <w:color w:val="auto"/>
                      <w:sz w:val="21"/>
                      <w:szCs w:val="21"/>
                    </w:rPr>
                  </w:pPr>
                  <w:r>
                    <w:rPr>
                      <w:rFonts w:hint="eastAsia"/>
                      <w:color w:val="auto"/>
                      <w:sz w:val="21"/>
                      <w:szCs w:val="21"/>
                    </w:rPr>
                    <w:t>WRJI9-1300A</w:t>
                  </w:r>
                </w:p>
              </w:tc>
              <w:tc>
                <w:tcPr>
                  <w:tcW w:w="1198" w:type="pct"/>
                  <w:noWrap w:val="0"/>
                  <w:vAlign w:val="center"/>
                </w:tcPr>
                <w:p w14:paraId="3CB29960">
                  <w:pPr>
                    <w:jc w:val="center"/>
                    <w:rPr>
                      <w:color w:val="auto"/>
                      <w:sz w:val="21"/>
                      <w:szCs w:val="21"/>
                    </w:rPr>
                  </w:pPr>
                  <w:r>
                    <w:rPr>
                      <w:color w:val="auto"/>
                      <w:sz w:val="21"/>
                      <w:szCs w:val="21"/>
                    </w:rPr>
                    <w:t>1</w:t>
                  </w:r>
                </w:p>
              </w:tc>
              <w:tc>
                <w:tcPr>
                  <w:tcW w:w="1031" w:type="pct"/>
                  <w:noWrap w:val="0"/>
                  <w:vAlign w:val="center"/>
                </w:tcPr>
                <w:p w14:paraId="072FDB89">
                  <w:pPr>
                    <w:adjustRightInd w:val="0"/>
                    <w:snapToGrid w:val="0"/>
                    <w:jc w:val="center"/>
                    <w:rPr>
                      <w:color w:val="auto"/>
                      <w:sz w:val="21"/>
                      <w:szCs w:val="21"/>
                    </w:rPr>
                  </w:pPr>
                  <w:r>
                    <w:rPr>
                      <w:rFonts w:hint="eastAsia"/>
                      <w:color w:val="auto"/>
                      <w:sz w:val="21"/>
                      <w:szCs w:val="21"/>
                      <w:lang w:val="en-US" w:eastAsia="zh-CN"/>
                    </w:rPr>
                    <w:t>新购</w:t>
                  </w:r>
                </w:p>
              </w:tc>
            </w:tr>
            <w:tr w14:paraId="6B96DF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noWrap w:val="0"/>
                  <w:vAlign w:val="center"/>
                </w:tcPr>
                <w:p w14:paraId="555D048F">
                  <w:pPr>
                    <w:widowControl/>
                    <w:numPr>
                      <w:ilvl w:val="0"/>
                      <w:numId w:val="3"/>
                    </w:numPr>
                    <w:tabs>
                      <w:tab w:val="left" w:pos="420"/>
                      <w:tab w:val="clear" w:pos="0"/>
                    </w:tabs>
                    <w:jc w:val="center"/>
                    <w:textAlignment w:val="center"/>
                    <w:rPr>
                      <w:color w:val="auto"/>
                      <w:kern w:val="0"/>
                      <w:sz w:val="21"/>
                      <w:szCs w:val="21"/>
                    </w:rPr>
                  </w:pPr>
                </w:p>
              </w:tc>
              <w:tc>
                <w:tcPr>
                  <w:tcW w:w="1143" w:type="pct"/>
                  <w:noWrap w:val="0"/>
                  <w:vAlign w:val="center"/>
                </w:tcPr>
                <w:p w14:paraId="6FC8B5BD">
                  <w:pPr>
                    <w:widowControl/>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复合机</w:t>
                  </w:r>
                </w:p>
              </w:tc>
              <w:tc>
                <w:tcPr>
                  <w:tcW w:w="1251" w:type="pct"/>
                  <w:noWrap w:val="0"/>
                  <w:vAlign w:val="center"/>
                </w:tcPr>
                <w:p w14:paraId="26EA5F91">
                  <w:pPr>
                    <w:jc w:val="center"/>
                    <w:rPr>
                      <w:color w:val="auto"/>
                      <w:sz w:val="21"/>
                      <w:szCs w:val="21"/>
                    </w:rPr>
                  </w:pPr>
                  <w:r>
                    <w:rPr>
                      <w:rFonts w:hint="eastAsia"/>
                      <w:color w:val="auto"/>
                      <w:sz w:val="21"/>
                      <w:szCs w:val="21"/>
                    </w:rPr>
                    <w:t>BGF-1050</w:t>
                  </w:r>
                </w:p>
              </w:tc>
              <w:tc>
                <w:tcPr>
                  <w:tcW w:w="1198" w:type="pct"/>
                  <w:noWrap w:val="0"/>
                  <w:vAlign w:val="center"/>
                </w:tcPr>
                <w:p w14:paraId="1A114519">
                  <w:pPr>
                    <w:jc w:val="center"/>
                    <w:rPr>
                      <w:rFonts w:hint="eastAsia" w:eastAsia="宋体"/>
                      <w:color w:val="auto"/>
                      <w:sz w:val="21"/>
                      <w:szCs w:val="21"/>
                      <w:lang w:val="en-US" w:eastAsia="zh-CN"/>
                    </w:rPr>
                  </w:pPr>
                  <w:r>
                    <w:rPr>
                      <w:rFonts w:hint="eastAsia"/>
                      <w:color w:val="auto"/>
                      <w:sz w:val="21"/>
                      <w:szCs w:val="21"/>
                      <w:lang w:val="en-US" w:eastAsia="zh-CN"/>
                    </w:rPr>
                    <w:t>1</w:t>
                  </w:r>
                </w:p>
              </w:tc>
              <w:tc>
                <w:tcPr>
                  <w:tcW w:w="1031" w:type="pct"/>
                  <w:noWrap w:val="0"/>
                  <w:vAlign w:val="center"/>
                </w:tcPr>
                <w:p w14:paraId="34E4B996">
                  <w:pPr>
                    <w:adjustRightInd w:val="0"/>
                    <w:snapToGrid w:val="0"/>
                    <w:jc w:val="center"/>
                    <w:rPr>
                      <w:color w:val="auto"/>
                      <w:kern w:val="0"/>
                      <w:sz w:val="21"/>
                      <w:szCs w:val="21"/>
                      <w:lang w:bidi="ar"/>
                    </w:rPr>
                  </w:pPr>
                  <w:r>
                    <w:rPr>
                      <w:rFonts w:hint="eastAsia"/>
                      <w:color w:val="auto"/>
                      <w:sz w:val="21"/>
                      <w:szCs w:val="21"/>
                      <w:lang w:val="en-US" w:eastAsia="zh-CN"/>
                    </w:rPr>
                    <w:t>原有厂区搬迁</w:t>
                  </w:r>
                </w:p>
              </w:tc>
            </w:tr>
            <w:tr w14:paraId="73D7F5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noWrap w:val="0"/>
                  <w:vAlign w:val="center"/>
                </w:tcPr>
                <w:p w14:paraId="5906DF32">
                  <w:pPr>
                    <w:widowControl/>
                    <w:numPr>
                      <w:ilvl w:val="0"/>
                      <w:numId w:val="3"/>
                    </w:numPr>
                    <w:tabs>
                      <w:tab w:val="left" w:pos="420"/>
                      <w:tab w:val="clear" w:pos="0"/>
                    </w:tabs>
                    <w:jc w:val="center"/>
                    <w:textAlignment w:val="center"/>
                    <w:rPr>
                      <w:color w:val="auto"/>
                      <w:kern w:val="0"/>
                      <w:sz w:val="21"/>
                      <w:szCs w:val="21"/>
                    </w:rPr>
                  </w:pPr>
                </w:p>
              </w:tc>
              <w:tc>
                <w:tcPr>
                  <w:tcW w:w="1143" w:type="pct"/>
                  <w:noWrap w:val="0"/>
                  <w:vAlign w:val="center"/>
                </w:tcPr>
                <w:p w14:paraId="36E32E45">
                  <w:pPr>
                    <w:widowControl/>
                    <w:jc w:val="center"/>
                    <w:textAlignment w:val="center"/>
                    <w:rPr>
                      <w:color w:val="auto"/>
                      <w:sz w:val="21"/>
                      <w:szCs w:val="21"/>
                    </w:rPr>
                  </w:pPr>
                  <w:r>
                    <w:rPr>
                      <w:color w:val="auto"/>
                      <w:kern w:val="0"/>
                      <w:sz w:val="21"/>
                      <w:szCs w:val="21"/>
                      <w:lang w:bidi="ar"/>
                    </w:rPr>
                    <w:t>熟化室</w:t>
                  </w:r>
                </w:p>
              </w:tc>
              <w:tc>
                <w:tcPr>
                  <w:tcW w:w="1251" w:type="pct"/>
                  <w:noWrap w:val="0"/>
                  <w:vAlign w:val="center"/>
                </w:tcPr>
                <w:p w14:paraId="57EB1038">
                  <w:pPr>
                    <w:jc w:val="center"/>
                    <w:rPr>
                      <w:color w:val="auto"/>
                      <w:sz w:val="21"/>
                      <w:szCs w:val="21"/>
                    </w:rPr>
                  </w:pPr>
                  <w:r>
                    <w:rPr>
                      <w:rFonts w:hint="eastAsia"/>
                      <w:color w:val="auto"/>
                      <w:sz w:val="21"/>
                      <w:szCs w:val="21"/>
                      <w:lang w:val="en-US" w:eastAsia="zh-CN"/>
                    </w:rPr>
                    <w:t>6</w:t>
                  </w:r>
                  <w:r>
                    <w:rPr>
                      <w:color w:val="auto"/>
                      <w:sz w:val="21"/>
                      <w:szCs w:val="21"/>
                    </w:rPr>
                    <w:t>m</w:t>
                  </w:r>
                  <w:r>
                    <w:rPr>
                      <w:rFonts w:hint="eastAsia"/>
                      <w:color w:val="auto"/>
                      <w:sz w:val="21"/>
                      <w:szCs w:val="21"/>
                      <w:lang w:eastAsia="zh-CN"/>
                    </w:rPr>
                    <w:t>×</w:t>
                  </w:r>
                  <w:r>
                    <w:rPr>
                      <w:color w:val="auto"/>
                      <w:sz w:val="21"/>
                      <w:szCs w:val="21"/>
                    </w:rPr>
                    <w:t>3m</w:t>
                  </w:r>
                  <w:r>
                    <w:rPr>
                      <w:rFonts w:hint="eastAsia"/>
                      <w:color w:val="auto"/>
                      <w:sz w:val="21"/>
                      <w:szCs w:val="21"/>
                      <w:lang w:eastAsia="zh-CN"/>
                    </w:rPr>
                    <w:t>×</w:t>
                  </w:r>
                  <w:r>
                    <w:rPr>
                      <w:rFonts w:hint="eastAsia"/>
                      <w:color w:val="auto"/>
                      <w:sz w:val="21"/>
                      <w:szCs w:val="21"/>
                      <w:lang w:val="en-US" w:eastAsia="zh-CN"/>
                    </w:rPr>
                    <w:t>2</w:t>
                  </w:r>
                  <w:r>
                    <w:rPr>
                      <w:color w:val="auto"/>
                      <w:sz w:val="21"/>
                      <w:szCs w:val="21"/>
                    </w:rPr>
                    <w:t>m</w:t>
                  </w:r>
                </w:p>
              </w:tc>
              <w:tc>
                <w:tcPr>
                  <w:tcW w:w="1198" w:type="pct"/>
                  <w:noWrap w:val="0"/>
                  <w:vAlign w:val="center"/>
                </w:tcPr>
                <w:p w14:paraId="0159E52E">
                  <w:pPr>
                    <w:jc w:val="center"/>
                    <w:rPr>
                      <w:color w:val="auto"/>
                      <w:sz w:val="21"/>
                      <w:szCs w:val="21"/>
                    </w:rPr>
                  </w:pPr>
                  <w:r>
                    <w:rPr>
                      <w:color w:val="auto"/>
                      <w:sz w:val="21"/>
                      <w:szCs w:val="21"/>
                    </w:rPr>
                    <w:t>1</w:t>
                  </w:r>
                </w:p>
              </w:tc>
              <w:tc>
                <w:tcPr>
                  <w:tcW w:w="1031" w:type="pct"/>
                  <w:noWrap w:val="0"/>
                  <w:vAlign w:val="center"/>
                </w:tcPr>
                <w:p w14:paraId="6292AD4B">
                  <w:pPr>
                    <w:widowControl/>
                    <w:snapToGrid w:val="0"/>
                    <w:jc w:val="center"/>
                    <w:rPr>
                      <w:rFonts w:hint="eastAsia" w:eastAsia="宋体"/>
                      <w:color w:val="auto"/>
                      <w:sz w:val="21"/>
                      <w:szCs w:val="21"/>
                      <w:lang w:eastAsia="zh-CN"/>
                    </w:rPr>
                  </w:pPr>
                  <w:r>
                    <w:rPr>
                      <w:rFonts w:hint="eastAsia"/>
                      <w:color w:val="auto"/>
                      <w:sz w:val="21"/>
                      <w:szCs w:val="21"/>
                      <w:lang w:val="en-US" w:eastAsia="zh-CN"/>
                    </w:rPr>
                    <w:t>新购</w:t>
                  </w:r>
                </w:p>
              </w:tc>
            </w:tr>
            <w:tr w14:paraId="1B406E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noWrap w:val="0"/>
                  <w:vAlign w:val="center"/>
                </w:tcPr>
                <w:p w14:paraId="5D360081">
                  <w:pPr>
                    <w:widowControl/>
                    <w:numPr>
                      <w:ilvl w:val="0"/>
                      <w:numId w:val="3"/>
                    </w:numPr>
                    <w:tabs>
                      <w:tab w:val="left" w:pos="420"/>
                      <w:tab w:val="clear" w:pos="0"/>
                    </w:tabs>
                    <w:jc w:val="center"/>
                    <w:textAlignment w:val="center"/>
                    <w:rPr>
                      <w:color w:val="auto"/>
                      <w:kern w:val="0"/>
                      <w:sz w:val="21"/>
                      <w:szCs w:val="21"/>
                    </w:rPr>
                  </w:pPr>
                </w:p>
              </w:tc>
              <w:tc>
                <w:tcPr>
                  <w:tcW w:w="1143" w:type="pct"/>
                  <w:noWrap w:val="0"/>
                  <w:vAlign w:val="center"/>
                </w:tcPr>
                <w:p w14:paraId="0B4464C9">
                  <w:pPr>
                    <w:widowControl/>
                    <w:jc w:val="center"/>
                    <w:textAlignment w:val="center"/>
                    <w:rPr>
                      <w:color w:val="auto"/>
                      <w:sz w:val="21"/>
                      <w:szCs w:val="21"/>
                    </w:rPr>
                  </w:pPr>
                  <w:r>
                    <w:rPr>
                      <w:color w:val="auto"/>
                      <w:kern w:val="0"/>
                      <w:sz w:val="21"/>
                      <w:szCs w:val="21"/>
                      <w:lang w:bidi="ar"/>
                    </w:rPr>
                    <w:t>制袋机</w:t>
                  </w:r>
                </w:p>
              </w:tc>
              <w:tc>
                <w:tcPr>
                  <w:tcW w:w="1251" w:type="pct"/>
                  <w:noWrap w:val="0"/>
                  <w:vAlign w:val="center"/>
                </w:tcPr>
                <w:p w14:paraId="75145784">
                  <w:pPr>
                    <w:jc w:val="center"/>
                    <w:rPr>
                      <w:color w:val="auto"/>
                      <w:sz w:val="21"/>
                      <w:szCs w:val="21"/>
                    </w:rPr>
                  </w:pPr>
                  <w:r>
                    <w:rPr>
                      <w:rFonts w:hint="eastAsia"/>
                      <w:color w:val="auto"/>
                      <w:sz w:val="21"/>
                      <w:szCs w:val="21"/>
                    </w:rPr>
                    <w:t>YFZD-600</w:t>
                  </w:r>
                </w:p>
              </w:tc>
              <w:tc>
                <w:tcPr>
                  <w:tcW w:w="1198" w:type="pct"/>
                  <w:noWrap w:val="0"/>
                  <w:vAlign w:val="center"/>
                </w:tcPr>
                <w:p w14:paraId="597D340B">
                  <w:pPr>
                    <w:jc w:val="center"/>
                    <w:rPr>
                      <w:rFonts w:hint="eastAsia" w:eastAsia="宋体"/>
                      <w:color w:val="auto"/>
                      <w:sz w:val="21"/>
                      <w:szCs w:val="21"/>
                      <w:lang w:eastAsia="zh-CN"/>
                    </w:rPr>
                  </w:pPr>
                  <w:r>
                    <w:rPr>
                      <w:rFonts w:hint="eastAsia"/>
                      <w:color w:val="auto"/>
                      <w:sz w:val="21"/>
                      <w:szCs w:val="21"/>
                      <w:lang w:val="en-US" w:eastAsia="zh-CN"/>
                    </w:rPr>
                    <w:t>5</w:t>
                  </w:r>
                </w:p>
              </w:tc>
              <w:tc>
                <w:tcPr>
                  <w:tcW w:w="1031" w:type="pct"/>
                  <w:noWrap w:val="0"/>
                  <w:vAlign w:val="center"/>
                </w:tcPr>
                <w:p w14:paraId="78CBC1F0">
                  <w:pPr>
                    <w:widowControl/>
                    <w:snapToGrid w:val="0"/>
                    <w:jc w:val="center"/>
                    <w:rPr>
                      <w:rFonts w:hint="default"/>
                      <w:color w:val="auto"/>
                      <w:sz w:val="21"/>
                      <w:szCs w:val="21"/>
                      <w:lang w:val="en-US"/>
                    </w:rPr>
                  </w:pPr>
                  <w:r>
                    <w:rPr>
                      <w:rFonts w:hint="eastAsia"/>
                      <w:color w:val="auto"/>
                      <w:sz w:val="21"/>
                      <w:szCs w:val="21"/>
                      <w:lang w:val="en-US" w:eastAsia="zh-CN"/>
                    </w:rPr>
                    <w:t>新购</w:t>
                  </w:r>
                </w:p>
              </w:tc>
            </w:tr>
            <w:tr w14:paraId="3B1660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noWrap w:val="0"/>
                  <w:vAlign w:val="center"/>
                </w:tcPr>
                <w:p w14:paraId="0B3D852B">
                  <w:pPr>
                    <w:widowControl/>
                    <w:numPr>
                      <w:ilvl w:val="0"/>
                      <w:numId w:val="3"/>
                    </w:numPr>
                    <w:tabs>
                      <w:tab w:val="left" w:pos="420"/>
                      <w:tab w:val="clear" w:pos="0"/>
                    </w:tabs>
                    <w:jc w:val="center"/>
                    <w:textAlignment w:val="center"/>
                    <w:rPr>
                      <w:color w:val="auto"/>
                      <w:kern w:val="0"/>
                      <w:sz w:val="21"/>
                      <w:szCs w:val="21"/>
                    </w:rPr>
                  </w:pPr>
                </w:p>
              </w:tc>
              <w:tc>
                <w:tcPr>
                  <w:tcW w:w="1143" w:type="pct"/>
                  <w:noWrap w:val="0"/>
                  <w:vAlign w:val="center"/>
                </w:tcPr>
                <w:p w14:paraId="296580BD">
                  <w:pPr>
                    <w:widowControl/>
                    <w:jc w:val="center"/>
                    <w:textAlignment w:val="center"/>
                    <w:rPr>
                      <w:rFonts w:hint="eastAsia" w:eastAsia="宋体"/>
                      <w:color w:val="auto"/>
                      <w:sz w:val="21"/>
                      <w:szCs w:val="21"/>
                      <w:lang w:eastAsia="zh-CN"/>
                    </w:rPr>
                  </w:pPr>
                  <w:r>
                    <w:rPr>
                      <w:rFonts w:hint="eastAsia"/>
                      <w:color w:val="auto"/>
                      <w:kern w:val="0"/>
                      <w:sz w:val="21"/>
                      <w:szCs w:val="21"/>
                      <w:lang w:val="en-US" w:eastAsia="zh-CN" w:bidi="ar"/>
                    </w:rPr>
                    <w:t>分切</w:t>
                  </w:r>
                  <w:r>
                    <w:rPr>
                      <w:rFonts w:hint="eastAsia"/>
                      <w:color w:val="auto"/>
                      <w:kern w:val="0"/>
                      <w:sz w:val="21"/>
                      <w:szCs w:val="21"/>
                      <w:lang w:eastAsia="zh-CN" w:bidi="ar"/>
                    </w:rPr>
                    <w:t>机</w:t>
                  </w:r>
                </w:p>
              </w:tc>
              <w:tc>
                <w:tcPr>
                  <w:tcW w:w="1251" w:type="pct"/>
                  <w:noWrap w:val="0"/>
                  <w:vAlign w:val="center"/>
                </w:tcPr>
                <w:p w14:paraId="7AD483AD">
                  <w:pPr>
                    <w:jc w:val="center"/>
                    <w:rPr>
                      <w:color w:val="auto"/>
                      <w:sz w:val="21"/>
                      <w:szCs w:val="21"/>
                    </w:rPr>
                  </w:pPr>
                  <w:r>
                    <w:rPr>
                      <w:rFonts w:hint="eastAsia"/>
                      <w:color w:val="auto"/>
                      <w:sz w:val="21"/>
                      <w:szCs w:val="21"/>
                    </w:rPr>
                    <w:t>IS1300E</w:t>
                  </w:r>
                </w:p>
              </w:tc>
              <w:tc>
                <w:tcPr>
                  <w:tcW w:w="1198" w:type="pct"/>
                  <w:noWrap w:val="0"/>
                  <w:vAlign w:val="center"/>
                </w:tcPr>
                <w:p w14:paraId="6A6C6E6C">
                  <w:pPr>
                    <w:jc w:val="center"/>
                    <w:rPr>
                      <w:rFonts w:hint="eastAsia" w:eastAsia="宋体"/>
                      <w:color w:val="auto"/>
                      <w:sz w:val="21"/>
                      <w:szCs w:val="21"/>
                      <w:lang w:eastAsia="zh-CN"/>
                    </w:rPr>
                  </w:pPr>
                  <w:r>
                    <w:rPr>
                      <w:rFonts w:hint="eastAsia"/>
                      <w:color w:val="auto"/>
                      <w:sz w:val="21"/>
                      <w:szCs w:val="21"/>
                      <w:lang w:val="en-US" w:eastAsia="zh-CN"/>
                    </w:rPr>
                    <w:t>1</w:t>
                  </w:r>
                </w:p>
              </w:tc>
              <w:tc>
                <w:tcPr>
                  <w:tcW w:w="1031" w:type="pct"/>
                  <w:noWrap w:val="0"/>
                  <w:vAlign w:val="center"/>
                </w:tcPr>
                <w:p w14:paraId="03C62E7F">
                  <w:pPr>
                    <w:widowControl/>
                    <w:snapToGrid w:val="0"/>
                    <w:jc w:val="center"/>
                    <w:rPr>
                      <w:color w:val="auto"/>
                      <w:sz w:val="21"/>
                      <w:szCs w:val="21"/>
                    </w:rPr>
                  </w:pPr>
                  <w:r>
                    <w:rPr>
                      <w:rFonts w:hint="eastAsia"/>
                      <w:color w:val="auto"/>
                      <w:sz w:val="21"/>
                      <w:szCs w:val="21"/>
                      <w:lang w:val="en-US" w:eastAsia="zh-CN"/>
                    </w:rPr>
                    <w:t>原有厂区搬迁</w:t>
                  </w:r>
                </w:p>
              </w:tc>
            </w:tr>
          </w:tbl>
          <w:p w14:paraId="29A7C41E">
            <w:pPr>
              <w:adjustRightInd w:val="0"/>
              <w:snapToGrid w:val="0"/>
              <w:spacing w:line="360" w:lineRule="auto"/>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注：由于客户对产品质量要求趋于严格，项目拟采购新型印刷机、复合机，提升产品质量。</w:t>
            </w:r>
          </w:p>
          <w:p w14:paraId="4BE794EE">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color w:val="auto"/>
                <w:sz w:val="21"/>
                <w:szCs w:val="21"/>
                <w:lang w:val="en-US" w:eastAsia="zh-CN"/>
              </w:rPr>
              <w:t>5</w:t>
            </w:r>
            <w:r>
              <w:rPr>
                <w:rFonts w:hint="default" w:ascii="Times New Roman" w:hAnsi="Times New Roman" w:cs="Times New Roman" w:eastAsiaTheme="minorEastAsia"/>
                <w:b/>
                <w:color w:val="auto"/>
                <w:sz w:val="21"/>
                <w:szCs w:val="21"/>
              </w:rPr>
              <w:t>、主体、公用、辅助、储运、环保及依托工程</w:t>
            </w:r>
          </w:p>
          <w:p w14:paraId="56F4193E">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表2-</w:t>
            </w:r>
            <w:r>
              <w:rPr>
                <w:rFonts w:hint="eastAsia" w:cs="Times New Roman" w:eastAsiaTheme="minorEastAsia"/>
                <w:b/>
                <w:bCs/>
                <w:color w:val="auto"/>
                <w:sz w:val="21"/>
                <w:szCs w:val="21"/>
                <w:highlight w:val="none"/>
                <w:lang w:val="en-US" w:eastAsia="zh-CN"/>
              </w:rPr>
              <w:t>5</w:t>
            </w:r>
            <w:r>
              <w:rPr>
                <w:rFonts w:hint="default" w:ascii="Times New Roman" w:hAnsi="Times New Roman" w:cs="Times New Roman" w:eastAsiaTheme="minorEastAsia"/>
                <w:b/>
                <w:bCs/>
                <w:color w:val="auto"/>
                <w:sz w:val="21"/>
                <w:szCs w:val="21"/>
                <w:highlight w:val="none"/>
                <w:lang w:val="en-US" w:eastAsia="zh-CN"/>
              </w:rPr>
              <w:t xml:space="preserve"> </w:t>
            </w:r>
            <w:r>
              <w:rPr>
                <w:rFonts w:hint="default" w:ascii="Times New Roman" w:hAnsi="Times New Roman" w:cs="Times New Roman" w:eastAsiaTheme="minorEastAsia"/>
                <w:b/>
                <w:bCs/>
                <w:color w:val="auto"/>
                <w:sz w:val="21"/>
                <w:szCs w:val="21"/>
                <w:highlight w:val="none"/>
              </w:rPr>
              <w:t>本项目</w:t>
            </w:r>
            <w:r>
              <w:rPr>
                <w:rFonts w:hint="default" w:ascii="Times New Roman" w:hAnsi="Times New Roman" w:cs="Times New Roman" w:eastAsiaTheme="minorEastAsia"/>
                <w:b/>
                <w:bCs/>
                <w:color w:val="auto"/>
                <w:sz w:val="21"/>
                <w:szCs w:val="21"/>
                <w:highlight w:val="none"/>
                <w:lang w:eastAsia="zh-CN"/>
              </w:rPr>
              <w:t>主体、</w:t>
            </w:r>
            <w:r>
              <w:rPr>
                <w:rFonts w:hint="default" w:ascii="Times New Roman" w:hAnsi="Times New Roman" w:cs="Times New Roman" w:eastAsiaTheme="minorEastAsia"/>
                <w:b/>
                <w:bCs/>
                <w:color w:val="auto"/>
                <w:sz w:val="21"/>
                <w:szCs w:val="21"/>
                <w:highlight w:val="none"/>
              </w:rPr>
              <w:t>公用、辅助、储运及环保工程一览表</w:t>
            </w:r>
          </w:p>
          <w:tbl>
            <w:tblPr>
              <w:tblStyle w:val="31"/>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670"/>
              <w:gridCol w:w="1461"/>
              <w:gridCol w:w="2477"/>
              <w:gridCol w:w="3250"/>
            </w:tblGrid>
            <w:tr w14:paraId="5E0EB4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noWrap w:val="0"/>
                  <w:vAlign w:val="center"/>
                </w:tcPr>
                <w:p w14:paraId="6141863F">
                  <w:pPr>
                    <w:adjustRightInd w:val="0"/>
                    <w:snapToGrid w:val="0"/>
                    <w:spacing w:line="30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1231" w:type="pct"/>
                  <w:gridSpan w:val="2"/>
                  <w:noWrap w:val="0"/>
                  <w:vAlign w:val="center"/>
                </w:tcPr>
                <w:p w14:paraId="5CE9D9A1">
                  <w:pPr>
                    <w:adjustRightInd w:val="0"/>
                    <w:snapToGrid w:val="0"/>
                    <w:spacing w:line="30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工程名称</w:t>
                  </w:r>
                </w:p>
              </w:tc>
              <w:tc>
                <w:tcPr>
                  <w:tcW w:w="1430" w:type="pct"/>
                  <w:noWrap w:val="0"/>
                  <w:vAlign w:val="center"/>
                </w:tcPr>
                <w:p w14:paraId="3A2E3029">
                  <w:pPr>
                    <w:snapToGrid w:val="0"/>
                    <w:jc w:val="center"/>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lang w:val="en-US" w:eastAsia="zh-CN"/>
                    </w:rPr>
                    <w:t>设计</w:t>
                  </w:r>
                  <w:r>
                    <w:rPr>
                      <w:rFonts w:hint="default" w:ascii="Times New Roman" w:hAnsi="Times New Roman" w:eastAsia="宋体" w:cs="Times New Roman"/>
                      <w:b/>
                      <w:bCs/>
                      <w:color w:val="auto"/>
                      <w:sz w:val="21"/>
                      <w:szCs w:val="21"/>
                    </w:rPr>
                    <w:t>能力</w:t>
                  </w:r>
                </w:p>
              </w:tc>
              <w:tc>
                <w:tcPr>
                  <w:tcW w:w="1877" w:type="pct"/>
                  <w:noWrap w:val="0"/>
                  <w:vAlign w:val="center"/>
                </w:tcPr>
                <w:p w14:paraId="4EA9FF02">
                  <w:pPr>
                    <w:adjustRightInd w:val="0"/>
                    <w:snapToGrid w:val="0"/>
                    <w:spacing w:line="30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备注</w:t>
                  </w:r>
                </w:p>
              </w:tc>
            </w:tr>
            <w:tr w14:paraId="4C5F53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noWrap w:val="0"/>
                  <w:vAlign w:val="center"/>
                </w:tcPr>
                <w:p w14:paraId="6687FB7B">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1231" w:type="pct"/>
                  <w:gridSpan w:val="2"/>
                  <w:noWrap w:val="0"/>
                  <w:vAlign w:val="center"/>
                </w:tcPr>
                <w:p w14:paraId="767163E5">
                  <w:pPr>
                    <w:pStyle w:val="4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生产</w:t>
                  </w:r>
                  <w:r>
                    <w:rPr>
                      <w:rFonts w:hint="default" w:ascii="Times New Roman" w:hAnsi="Times New Roman" w:eastAsia="宋体" w:cs="Times New Roman"/>
                      <w:color w:val="auto"/>
                      <w:sz w:val="21"/>
                      <w:szCs w:val="21"/>
                    </w:rPr>
                    <w:t>车间</w:t>
                  </w:r>
                </w:p>
              </w:tc>
              <w:tc>
                <w:tcPr>
                  <w:tcW w:w="1430" w:type="pct"/>
                  <w:noWrap w:val="0"/>
                  <w:vAlign w:val="center"/>
                </w:tcPr>
                <w:p w14:paraId="34F5CCAC">
                  <w:pPr>
                    <w:spacing w:line="300" w:lineRule="exact"/>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1F,</w:t>
                  </w:r>
                  <w:r>
                    <w:rPr>
                      <w:rFonts w:hint="default" w:ascii="Times New Roman" w:hAnsi="Times New Roman" w:cs="Times New Roman"/>
                      <w:color w:val="auto"/>
                      <w:sz w:val="21"/>
                      <w:szCs w:val="21"/>
                      <w:lang w:val="en-US" w:eastAsia="zh-CN"/>
                    </w:rPr>
                    <w:t>占地</w:t>
                  </w:r>
                  <w:r>
                    <w:rPr>
                      <w:rFonts w:hint="default" w:ascii="Times New Roman" w:hAnsi="Times New Roman" w:eastAsia="宋体" w:cs="Times New Roman"/>
                      <w:color w:val="auto"/>
                      <w:sz w:val="21"/>
                      <w:szCs w:val="21"/>
                      <w:lang w:val="en-US" w:eastAsia="zh-CN"/>
                    </w:rPr>
                    <w:t>面积</w:t>
                  </w:r>
                  <w:r>
                    <w:rPr>
                      <w:rFonts w:hint="eastAsia" w:cs="Times New Roman"/>
                      <w:color w:val="auto"/>
                      <w:sz w:val="21"/>
                      <w:szCs w:val="21"/>
                      <w:lang w:val="en-US" w:eastAsia="zh-CN"/>
                    </w:rPr>
                    <w:t>2181.44</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tc>
              <w:tc>
                <w:tcPr>
                  <w:tcW w:w="1877" w:type="pct"/>
                  <w:noWrap w:val="0"/>
                  <w:vAlign w:val="center"/>
                </w:tcPr>
                <w:p w14:paraId="2B03A64D">
                  <w:pPr>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布设印刷机、复合机</w:t>
                  </w:r>
                  <w:r>
                    <w:rPr>
                      <w:rFonts w:hint="eastAsia" w:ascii="Times New Roman" w:hAnsi="Times New Roman" w:eastAsia="宋体" w:cs="Times New Roman"/>
                      <w:bCs/>
                      <w:color w:val="auto"/>
                      <w:sz w:val="21"/>
                      <w:szCs w:val="21"/>
                      <w:lang w:val="en-US" w:eastAsia="zh-CN"/>
                    </w:rPr>
                    <w:t>、</w:t>
                  </w:r>
                  <w:r>
                    <w:rPr>
                      <w:rFonts w:hint="eastAsia" w:cs="Times New Roman"/>
                      <w:color w:val="auto"/>
                      <w:sz w:val="21"/>
                      <w:szCs w:val="21"/>
                      <w:lang w:val="en-US" w:eastAsia="zh-CN"/>
                    </w:rPr>
                    <w:t>复合机</w:t>
                  </w:r>
                  <w:r>
                    <w:rPr>
                      <w:rFonts w:hint="eastAsia" w:ascii="Times New Roman" w:hAnsi="Times New Roman" w:eastAsia="宋体" w:cs="Times New Roman"/>
                      <w:bCs/>
                      <w:color w:val="auto"/>
                      <w:sz w:val="21"/>
                      <w:szCs w:val="21"/>
                      <w:lang w:val="en-US" w:eastAsia="zh-CN"/>
                    </w:rPr>
                    <w:t>、</w:t>
                  </w:r>
                  <w:r>
                    <w:rPr>
                      <w:rFonts w:hint="eastAsia" w:cs="Times New Roman"/>
                      <w:bCs/>
                      <w:color w:val="auto"/>
                      <w:kern w:val="2"/>
                      <w:sz w:val="21"/>
                      <w:szCs w:val="21"/>
                      <w:lang w:val="en-US" w:eastAsia="zh-CN" w:bidi="ar-SA"/>
                    </w:rPr>
                    <w:t>分切机</w:t>
                  </w:r>
                  <w:r>
                    <w:rPr>
                      <w:rFonts w:hint="eastAsia" w:ascii="Times New Roman" w:hAnsi="Times New Roman" w:eastAsia="宋体" w:cs="Times New Roman"/>
                      <w:bCs/>
                      <w:color w:val="auto"/>
                      <w:sz w:val="21"/>
                      <w:szCs w:val="21"/>
                      <w:lang w:val="en-US" w:eastAsia="zh-CN"/>
                    </w:rPr>
                    <w:t>等设备</w:t>
                  </w:r>
                </w:p>
              </w:tc>
            </w:tr>
            <w:tr w14:paraId="2ACC9A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Merge w:val="restart"/>
                  <w:noWrap w:val="0"/>
                  <w:vAlign w:val="center"/>
                </w:tcPr>
                <w:p w14:paraId="09C8BB60">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公用工程</w:t>
                  </w:r>
                </w:p>
              </w:tc>
              <w:tc>
                <w:tcPr>
                  <w:tcW w:w="1231" w:type="pct"/>
                  <w:gridSpan w:val="2"/>
                  <w:noWrap w:val="0"/>
                  <w:vAlign w:val="center"/>
                </w:tcPr>
                <w:p w14:paraId="0CE85C3A">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给水工程</w:t>
                  </w:r>
                </w:p>
              </w:tc>
              <w:tc>
                <w:tcPr>
                  <w:tcW w:w="1430" w:type="pct"/>
                  <w:noWrap w:val="0"/>
                  <w:vAlign w:val="center"/>
                </w:tcPr>
                <w:p w14:paraId="5EE153CA">
                  <w:pPr>
                    <w:adjustRightInd w:val="0"/>
                    <w:snapToGrid w:val="0"/>
                    <w:spacing w:line="300" w:lineRule="exact"/>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600</w:t>
                  </w:r>
                  <w:r>
                    <w:rPr>
                      <w:rFonts w:hint="default" w:cs="Times New Roman"/>
                      <w:color w:val="auto"/>
                      <w:sz w:val="21"/>
                      <w:szCs w:val="21"/>
                      <w:lang w:val="en-US" w:eastAsia="zh-CN"/>
                    </w:rPr>
                    <w:t>t/a</w:t>
                  </w:r>
                </w:p>
              </w:tc>
              <w:tc>
                <w:tcPr>
                  <w:tcW w:w="1877" w:type="pct"/>
                  <w:noWrap w:val="0"/>
                  <w:vAlign w:val="center"/>
                </w:tcPr>
                <w:p w14:paraId="6A777C0A">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区域自来水管网提供</w:t>
                  </w:r>
                </w:p>
              </w:tc>
            </w:tr>
            <w:tr w14:paraId="7A624B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Merge w:val="continue"/>
                  <w:noWrap w:val="0"/>
                  <w:vAlign w:val="center"/>
                </w:tcPr>
                <w:p w14:paraId="3B440D7F">
                  <w:pPr>
                    <w:adjustRightInd w:val="0"/>
                    <w:snapToGrid w:val="0"/>
                    <w:spacing w:line="300" w:lineRule="exact"/>
                    <w:jc w:val="center"/>
                    <w:rPr>
                      <w:rFonts w:hint="default" w:ascii="Times New Roman" w:hAnsi="Times New Roman" w:eastAsia="宋体" w:cs="Times New Roman"/>
                      <w:color w:val="auto"/>
                      <w:sz w:val="21"/>
                      <w:szCs w:val="21"/>
                    </w:rPr>
                  </w:pPr>
                </w:p>
              </w:tc>
              <w:tc>
                <w:tcPr>
                  <w:tcW w:w="1231" w:type="pct"/>
                  <w:gridSpan w:val="2"/>
                  <w:noWrap w:val="0"/>
                  <w:vAlign w:val="center"/>
                </w:tcPr>
                <w:p w14:paraId="5D6FB355">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排水工程</w:t>
                  </w:r>
                </w:p>
              </w:tc>
              <w:tc>
                <w:tcPr>
                  <w:tcW w:w="1430" w:type="pct"/>
                  <w:noWrap w:val="0"/>
                  <w:vAlign w:val="center"/>
                </w:tcPr>
                <w:p w14:paraId="01A9D1EE">
                  <w:pPr>
                    <w:adjustRightInd w:val="0"/>
                    <w:snapToGrid w:val="0"/>
                    <w:spacing w:line="300" w:lineRule="exact"/>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480</w:t>
                  </w:r>
                  <w:r>
                    <w:rPr>
                      <w:rFonts w:hint="default" w:ascii="Times New Roman" w:hAnsi="Times New Roman" w:eastAsia="宋体" w:cs="Times New Roman"/>
                      <w:color w:val="auto"/>
                      <w:sz w:val="21"/>
                      <w:szCs w:val="21"/>
                    </w:rPr>
                    <w:t>t/a</w:t>
                  </w:r>
                </w:p>
              </w:tc>
              <w:tc>
                <w:tcPr>
                  <w:tcW w:w="1877" w:type="pct"/>
                  <w:noWrap w:val="0"/>
                  <w:vAlign w:val="center"/>
                </w:tcPr>
                <w:p w14:paraId="39BF5DD6">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生活污水</w:t>
                  </w:r>
                  <w:r>
                    <w:rPr>
                      <w:rFonts w:hint="default" w:ascii="Times New Roman" w:hAnsi="Times New Roman" w:cs="Times New Roman"/>
                      <w:color w:val="auto"/>
                      <w:sz w:val="21"/>
                      <w:szCs w:val="21"/>
                    </w:rPr>
                    <w:t>排入</w:t>
                  </w:r>
                  <w:r>
                    <w:rPr>
                      <w:rFonts w:hint="eastAsia" w:cs="Times New Roman"/>
                      <w:color w:val="auto"/>
                      <w:sz w:val="21"/>
                      <w:szCs w:val="21"/>
                      <w:lang w:eastAsia="zh-CN"/>
                    </w:rPr>
                    <w:t>常州市金坛区溪城污水处理有限公司</w:t>
                  </w:r>
                  <w:r>
                    <w:rPr>
                      <w:rFonts w:hint="default" w:ascii="Times New Roman" w:hAnsi="Times New Roman" w:cs="Times New Roman"/>
                      <w:color w:val="auto"/>
                      <w:sz w:val="21"/>
                      <w:szCs w:val="21"/>
                    </w:rPr>
                    <w:t>集中处理</w:t>
                  </w:r>
                </w:p>
              </w:tc>
            </w:tr>
            <w:tr w14:paraId="4C3B0A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Merge w:val="continue"/>
                  <w:noWrap w:val="0"/>
                  <w:vAlign w:val="center"/>
                </w:tcPr>
                <w:p w14:paraId="34F226CC">
                  <w:pPr>
                    <w:adjustRightInd w:val="0"/>
                    <w:snapToGrid w:val="0"/>
                    <w:spacing w:line="300" w:lineRule="exact"/>
                    <w:jc w:val="center"/>
                    <w:rPr>
                      <w:rFonts w:hint="default" w:ascii="Times New Roman" w:hAnsi="Times New Roman" w:eastAsia="宋体" w:cs="Times New Roman"/>
                      <w:color w:val="auto"/>
                      <w:sz w:val="21"/>
                      <w:szCs w:val="21"/>
                    </w:rPr>
                  </w:pPr>
                </w:p>
              </w:tc>
              <w:tc>
                <w:tcPr>
                  <w:tcW w:w="1231" w:type="pct"/>
                  <w:gridSpan w:val="2"/>
                  <w:noWrap w:val="0"/>
                  <w:vAlign w:val="center"/>
                </w:tcPr>
                <w:p w14:paraId="60B26E3D">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w:t>
                  </w:r>
                </w:p>
              </w:tc>
              <w:tc>
                <w:tcPr>
                  <w:tcW w:w="1430" w:type="pct"/>
                  <w:noWrap w:val="0"/>
                  <w:vAlign w:val="center"/>
                </w:tcPr>
                <w:p w14:paraId="6828FCF3">
                  <w:pPr>
                    <w:adjustRightInd w:val="0"/>
                    <w:snapToGrid w:val="0"/>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30</w:t>
                  </w:r>
                  <w:r>
                    <w:rPr>
                      <w:rFonts w:hint="default" w:ascii="Times New Roman" w:hAnsi="Times New Roman" w:eastAsia="宋体" w:cs="Times New Roman"/>
                      <w:color w:val="auto"/>
                      <w:sz w:val="21"/>
                      <w:szCs w:val="21"/>
                    </w:rPr>
                    <w:t>万度</w:t>
                  </w:r>
                  <w:r>
                    <w:rPr>
                      <w:rFonts w:hint="default" w:ascii="Times New Roman" w:hAnsi="Times New Roman" w:cs="Times New Roman"/>
                      <w:color w:val="auto"/>
                      <w:sz w:val="21"/>
                      <w:szCs w:val="21"/>
                      <w:lang w:eastAsia="zh-CN"/>
                    </w:rPr>
                    <w:t>/a</w:t>
                  </w:r>
                </w:p>
              </w:tc>
              <w:tc>
                <w:tcPr>
                  <w:tcW w:w="1877" w:type="pct"/>
                  <w:noWrap w:val="0"/>
                  <w:vAlign w:val="center"/>
                </w:tcPr>
                <w:p w14:paraId="72161B3A">
                  <w:pPr>
                    <w:adjustRightInd w:val="0"/>
                    <w:snapToGrid w:val="0"/>
                    <w:spacing w:line="300" w:lineRule="exact"/>
                    <w:jc w:val="center"/>
                    <w:rPr>
                      <w:rFonts w:hint="default" w:ascii="Times New Roman" w:hAnsi="Times New Roman" w:eastAsia="宋体" w:cs="Times New Roman"/>
                      <w:color w:val="auto"/>
                      <w:sz w:val="21"/>
                      <w:szCs w:val="21"/>
                      <w:lang w:val="en-US"/>
                    </w:rPr>
                  </w:pPr>
                  <w:r>
                    <w:rPr>
                      <w:rFonts w:hint="default" w:ascii="Times New Roman" w:hAnsi="Times New Roman" w:cs="Times New Roman"/>
                      <w:color w:val="auto"/>
                      <w:sz w:val="21"/>
                      <w:szCs w:val="21"/>
                    </w:rPr>
                    <w:t>区域</w:t>
                  </w:r>
                  <w:r>
                    <w:rPr>
                      <w:rFonts w:hint="default" w:ascii="Times New Roman" w:hAnsi="Times New Roman" w:cs="Times New Roman"/>
                      <w:color w:val="auto"/>
                      <w:sz w:val="21"/>
                      <w:szCs w:val="21"/>
                      <w:lang w:val="en-US" w:eastAsia="zh-CN"/>
                    </w:rPr>
                    <w:t>电</w:t>
                  </w:r>
                  <w:r>
                    <w:rPr>
                      <w:rFonts w:hint="default" w:ascii="Times New Roman" w:hAnsi="Times New Roman" w:cs="Times New Roman"/>
                      <w:color w:val="auto"/>
                      <w:sz w:val="21"/>
                      <w:szCs w:val="21"/>
                    </w:rPr>
                    <w:t>网提供</w:t>
                  </w:r>
                </w:p>
              </w:tc>
            </w:tr>
            <w:tr w14:paraId="716347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Merge w:val="restart"/>
                  <w:noWrap w:val="0"/>
                  <w:vAlign w:val="center"/>
                </w:tcPr>
                <w:p w14:paraId="46324049">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贮运工程</w:t>
                  </w:r>
                </w:p>
              </w:tc>
              <w:tc>
                <w:tcPr>
                  <w:tcW w:w="1231" w:type="pct"/>
                  <w:gridSpan w:val="2"/>
                  <w:noWrap w:val="0"/>
                  <w:vAlign w:val="center"/>
                </w:tcPr>
                <w:p w14:paraId="5DE1A873">
                  <w:pPr>
                    <w:widowControl/>
                    <w:jc w:val="center"/>
                    <w:rPr>
                      <w:rFonts w:hint="eastAsia" w:ascii="Times New Roman" w:hAnsi="Times New Roman" w:eastAsia="宋体" w:cs="Times New Roman"/>
                      <w:color w:val="auto"/>
                      <w:sz w:val="21"/>
                      <w:szCs w:val="21"/>
                      <w:lang w:eastAsia="zh-CN"/>
                    </w:rPr>
                  </w:pPr>
                  <w:r>
                    <w:rPr>
                      <w:rFonts w:hint="eastAsia"/>
                      <w:color w:val="auto"/>
                      <w:kern w:val="0"/>
                      <w:sz w:val="21"/>
                      <w:szCs w:val="21"/>
                    </w:rPr>
                    <w:t>化学品</w:t>
                  </w:r>
                  <w:r>
                    <w:rPr>
                      <w:rFonts w:hint="eastAsia"/>
                      <w:color w:val="auto"/>
                      <w:kern w:val="0"/>
                      <w:sz w:val="21"/>
                      <w:szCs w:val="21"/>
                      <w:lang w:val="en-US" w:eastAsia="zh-CN"/>
                    </w:rPr>
                    <w:t>暂存区</w:t>
                  </w:r>
                </w:p>
              </w:tc>
              <w:tc>
                <w:tcPr>
                  <w:tcW w:w="1430" w:type="pct"/>
                  <w:noWrap w:val="0"/>
                  <w:vAlign w:val="center"/>
                </w:tcPr>
                <w:p w14:paraId="3B68CA90">
                  <w:pPr>
                    <w:widowControl/>
                    <w:jc w:val="center"/>
                    <w:rPr>
                      <w:rFonts w:hint="default" w:ascii="Times New Roman" w:hAnsi="Times New Roman" w:eastAsia="宋体" w:cs="Times New Roman"/>
                      <w:color w:val="auto"/>
                      <w:sz w:val="21"/>
                      <w:szCs w:val="21"/>
                    </w:rPr>
                  </w:pPr>
                  <w:r>
                    <w:rPr>
                      <w:rFonts w:hint="eastAsia"/>
                      <w:color w:val="auto"/>
                      <w:kern w:val="0"/>
                      <w:sz w:val="21"/>
                      <w:szCs w:val="21"/>
                      <w:lang w:val="en-US" w:eastAsia="zh-CN"/>
                    </w:rPr>
                    <w:t>1</w:t>
                  </w:r>
                  <w:r>
                    <w:rPr>
                      <w:rFonts w:hint="eastAsia"/>
                      <w:color w:val="auto"/>
                      <w:kern w:val="0"/>
                      <w:sz w:val="21"/>
                      <w:szCs w:val="21"/>
                    </w:rPr>
                    <w:t>0</w:t>
                  </w:r>
                  <w:r>
                    <w:rPr>
                      <w:color w:val="auto"/>
                      <w:kern w:val="0"/>
                      <w:sz w:val="21"/>
                      <w:szCs w:val="21"/>
                    </w:rPr>
                    <w:t>m</w:t>
                  </w:r>
                  <w:r>
                    <w:rPr>
                      <w:color w:val="auto"/>
                      <w:kern w:val="0"/>
                      <w:sz w:val="21"/>
                      <w:szCs w:val="21"/>
                      <w:vertAlign w:val="superscript"/>
                    </w:rPr>
                    <w:t>2</w:t>
                  </w:r>
                </w:p>
              </w:tc>
              <w:tc>
                <w:tcPr>
                  <w:tcW w:w="1877" w:type="pct"/>
                  <w:vMerge w:val="restart"/>
                  <w:noWrap w:val="0"/>
                  <w:vAlign w:val="center"/>
                </w:tcPr>
                <w:p w14:paraId="478700C4">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新建</w:t>
                  </w:r>
                  <w:r>
                    <w:rPr>
                      <w:rFonts w:hint="eastAsia" w:cs="Times New Roman"/>
                      <w:color w:val="auto"/>
                      <w:sz w:val="21"/>
                      <w:szCs w:val="21"/>
                      <w:lang w:val="en-US" w:eastAsia="zh-CN"/>
                    </w:rPr>
                    <w:t>，在车间内划分</w:t>
                  </w:r>
                </w:p>
              </w:tc>
            </w:tr>
            <w:tr w14:paraId="69750F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Merge w:val="continue"/>
                  <w:noWrap w:val="0"/>
                  <w:vAlign w:val="center"/>
                </w:tcPr>
                <w:p w14:paraId="7AFDEF0A">
                  <w:pPr>
                    <w:adjustRightInd w:val="0"/>
                    <w:snapToGrid w:val="0"/>
                    <w:spacing w:line="300" w:lineRule="exact"/>
                    <w:jc w:val="center"/>
                    <w:rPr>
                      <w:rFonts w:hint="default" w:ascii="Times New Roman" w:hAnsi="Times New Roman" w:eastAsia="宋体" w:cs="Times New Roman"/>
                      <w:color w:val="auto"/>
                      <w:sz w:val="21"/>
                      <w:szCs w:val="21"/>
                    </w:rPr>
                  </w:pPr>
                </w:p>
              </w:tc>
              <w:tc>
                <w:tcPr>
                  <w:tcW w:w="1231" w:type="pct"/>
                  <w:gridSpan w:val="2"/>
                  <w:noWrap w:val="0"/>
                  <w:vAlign w:val="center"/>
                </w:tcPr>
                <w:p w14:paraId="44B87703">
                  <w:pPr>
                    <w:widowControl/>
                    <w:jc w:val="center"/>
                    <w:rPr>
                      <w:rFonts w:hint="default" w:ascii="Times New Roman" w:hAnsi="Times New Roman" w:eastAsia="宋体" w:cs="Times New Roman"/>
                      <w:color w:val="auto"/>
                      <w:sz w:val="21"/>
                      <w:szCs w:val="21"/>
                    </w:rPr>
                  </w:pPr>
                  <w:r>
                    <w:rPr>
                      <w:color w:val="auto"/>
                      <w:kern w:val="0"/>
                      <w:sz w:val="21"/>
                      <w:szCs w:val="21"/>
                    </w:rPr>
                    <w:t>成品堆放区</w:t>
                  </w:r>
                </w:p>
              </w:tc>
              <w:tc>
                <w:tcPr>
                  <w:tcW w:w="1430" w:type="pct"/>
                  <w:noWrap w:val="0"/>
                  <w:vAlign w:val="center"/>
                </w:tcPr>
                <w:p w14:paraId="01ABC42C">
                  <w:pPr>
                    <w:widowControl/>
                    <w:jc w:val="center"/>
                    <w:rPr>
                      <w:rFonts w:hint="default" w:ascii="Times New Roman" w:hAnsi="Times New Roman" w:eastAsia="宋体" w:cs="Times New Roman"/>
                      <w:color w:val="auto"/>
                      <w:sz w:val="21"/>
                      <w:szCs w:val="21"/>
                    </w:rPr>
                  </w:pPr>
                  <w:r>
                    <w:rPr>
                      <w:rFonts w:hint="eastAsia"/>
                      <w:color w:val="auto"/>
                      <w:kern w:val="0"/>
                      <w:sz w:val="21"/>
                      <w:szCs w:val="21"/>
                      <w:lang w:val="en-US" w:eastAsia="zh-CN"/>
                    </w:rPr>
                    <w:t>3</w:t>
                  </w:r>
                  <w:r>
                    <w:rPr>
                      <w:color w:val="auto"/>
                      <w:kern w:val="0"/>
                      <w:sz w:val="21"/>
                      <w:szCs w:val="21"/>
                    </w:rPr>
                    <w:t>00m</w:t>
                  </w:r>
                  <w:r>
                    <w:rPr>
                      <w:color w:val="auto"/>
                      <w:kern w:val="0"/>
                      <w:sz w:val="21"/>
                      <w:szCs w:val="21"/>
                      <w:vertAlign w:val="superscript"/>
                    </w:rPr>
                    <w:t>2</w:t>
                  </w:r>
                </w:p>
              </w:tc>
              <w:tc>
                <w:tcPr>
                  <w:tcW w:w="1877" w:type="pct"/>
                  <w:vMerge w:val="continue"/>
                  <w:noWrap w:val="0"/>
                  <w:vAlign w:val="center"/>
                </w:tcPr>
                <w:p w14:paraId="299E6175">
                  <w:pPr>
                    <w:adjustRightInd w:val="0"/>
                    <w:snapToGrid w:val="0"/>
                    <w:spacing w:line="300" w:lineRule="exact"/>
                    <w:jc w:val="center"/>
                    <w:rPr>
                      <w:rFonts w:hint="default" w:ascii="Times New Roman" w:hAnsi="Times New Roman" w:eastAsia="宋体" w:cs="Times New Roman"/>
                      <w:color w:val="auto"/>
                      <w:sz w:val="21"/>
                      <w:szCs w:val="21"/>
                      <w:lang w:eastAsia="zh-CN"/>
                    </w:rPr>
                  </w:pPr>
                </w:p>
              </w:tc>
            </w:tr>
            <w:tr w14:paraId="42581D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Merge w:val="continue"/>
                  <w:noWrap w:val="0"/>
                  <w:vAlign w:val="center"/>
                </w:tcPr>
                <w:p w14:paraId="6FC4C41E">
                  <w:pPr>
                    <w:adjustRightInd w:val="0"/>
                    <w:snapToGrid w:val="0"/>
                    <w:spacing w:line="300" w:lineRule="exact"/>
                    <w:jc w:val="center"/>
                    <w:rPr>
                      <w:rFonts w:hint="default" w:ascii="Times New Roman" w:hAnsi="Times New Roman" w:eastAsia="宋体" w:cs="Times New Roman"/>
                      <w:color w:val="auto"/>
                      <w:sz w:val="21"/>
                      <w:szCs w:val="21"/>
                    </w:rPr>
                  </w:pPr>
                </w:p>
              </w:tc>
              <w:tc>
                <w:tcPr>
                  <w:tcW w:w="1231" w:type="pct"/>
                  <w:gridSpan w:val="2"/>
                  <w:noWrap w:val="0"/>
                  <w:vAlign w:val="center"/>
                </w:tcPr>
                <w:p w14:paraId="52C7789E">
                  <w:pPr>
                    <w:widowControl/>
                    <w:jc w:val="center"/>
                    <w:rPr>
                      <w:rFonts w:hint="default" w:ascii="Times New Roman" w:hAnsi="Times New Roman" w:eastAsia="宋体" w:cs="Times New Roman"/>
                      <w:color w:val="auto"/>
                      <w:sz w:val="21"/>
                      <w:szCs w:val="21"/>
                    </w:rPr>
                  </w:pPr>
                  <w:r>
                    <w:rPr>
                      <w:rFonts w:hint="eastAsia"/>
                      <w:color w:val="auto"/>
                      <w:kern w:val="0"/>
                      <w:sz w:val="21"/>
                      <w:szCs w:val="21"/>
                    </w:rPr>
                    <w:t>原料暂存区</w:t>
                  </w:r>
                </w:p>
              </w:tc>
              <w:tc>
                <w:tcPr>
                  <w:tcW w:w="1430" w:type="pct"/>
                  <w:noWrap w:val="0"/>
                  <w:vAlign w:val="center"/>
                </w:tcPr>
                <w:p w14:paraId="4F1F1971">
                  <w:pPr>
                    <w:widowControl/>
                    <w:jc w:val="center"/>
                    <w:rPr>
                      <w:rFonts w:hint="default" w:ascii="Times New Roman" w:hAnsi="Times New Roman" w:eastAsia="宋体" w:cs="Times New Roman"/>
                      <w:color w:val="auto"/>
                      <w:sz w:val="21"/>
                      <w:szCs w:val="21"/>
                    </w:rPr>
                  </w:pPr>
                  <w:r>
                    <w:rPr>
                      <w:rFonts w:hint="eastAsia"/>
                      <w:color w:val="auto"/>
                      <w:kern w:val="0"/>
                      <w:sz w:val="21"/>
                      <w:szCs w:val="21"/>
                    </w:rPr>
                    <w:t>20</w:t>
                  </w:r>
                  <w:r>
                    <w:rPr>
                      <w:color w:val="auto"/>
                      <w:kern w:val="0"/>
                      <w:sz w:val="21"/>
                      <w:szCs w:val="21"/>
                    </w:rPr>
                    <w:t>0m</w:t>
                  </w:r>
                  <w:r>
                    <w:rPr>
                      <w:color w:val="auto"/>
                      <w:kern w:val="0"/>
                      <w:sz w:val="21"/>
                      <w:szCs w:val="21"/>
                      <w:vertAlign w:val="superscript"/>
                    </w:rPr>
                    <w:t>2</w:t>
                  </w:r>
                </w:p>
              </w:tc>
              <w:tc>
                <w:tcPr>
                  <w:tcW w:w="1877" w:type="pct"/>
                  <w:vMerge w:val="continue"/>
                  <w:noWrap w:val="0"/>
                  <w:vAlign w:val="center"/>
                </w:tcPr>
                <w:p w14:paraId="6CA3FA49">
                  <w:pPr>
                    <w:adjustRightInd w:val="0"/>
                    <w:snapToGrid w:val="0"/>
                    <w:spacing w:line="300" w:lineRule="exact"/>
                    <w:jc w:val="center"/>
                    <w:rPr>
                      <w:rFonts w:hint="default" w:ascii="Times New Roman" w:hAnsi="Times New Roman" w:eastAsia="宋体" w:cs="Times New Roman"/>
                      <w:color w:val="auto"/>
                      <w:sz w:val="21"/>
                      <w:szCs w:val="21"/>
                    </w:rPr>
                  </w:pPr>
                </w:p>
              </w:tc>
            </w:tr>
            <w:tr w14:paraId="35BB29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Merge w:val="continue"/>
                  <w:noWrap w:val="0"/>
                  <w:vAlign w:val="center"/>
                </w:tcPr>
                <w:p w14:paraId="3004D1E1">
                  <w:pPr>
                    <w:adjustRightInd w:val="0"/>
                    <w:snapToGrid w:val="0"/>
                    <w:spacing w:line="300" w:lineRule="exact"/>
                    <w:jc w:val="center"/>
                    <w:rPr>
                      <w:rFonts w:hint="default" w:ascii="Times New Roman" w:hAnsi="Times New Roman" w:eastAsia="宋体" w:cs="Times New Roman"/>
                      <w:color w:val="auto"/>
                      <w:sz w:val="21"/>
                      <w:szCs w:val="21"/>
                    </w:rPr>
                  </w:pPr>
                </w:p>
              </w:tc>
              <w:tc>
                <w:tcPr>
                  <w:tcW w:w="1231" w:type="pct"/>
                  <w:gridSpan w:val="2"/>
                  <w:noWrap w:val="0"/>
                  <w:vAlign w:val="center"/>
                </w:tcPr>
                <w:p w14:paraId="2A725CF2">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运输工程</w:t>
                  </w:r>
                </w:p>
              </w:tc>
              <w:tc>
                <w:tcPr>
                  <w:tcW w:w="1430" w:type="pct"/>
                  <w:noWrap w:val="0"/>
                  <w:vAlign w:val="center"/>
                </w:tcPr>
                <w:p w14:paraId="04E063FF">
                  <w:pPr>
                    <w:pStyle w:val="9"/>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2"/>
                      <w:sz w:val="21"/>
                      <w:szCs w:val="21"/>
                      <w:lang w:val="en-US" w:eastAsia="zh-CN" w:bidi="ar-SA"/>
                    </w:rPr>
                    <w:t>汽运</w:t>
                  </w:r>
                </w:p>
              </w:tc>
              <w:tc>
                <w:tcPr>
                  <w:tcW w:w="1877" w:type="pct"/>
                  <w:noWrap w:val="0"/>
                  <w:vAlign w:val="center"/>
                </w:tcPr>
                <w:p w14:paraId="7C3FCDC7">
                  <w:pPr>
                    <w:adjustRightInd w:val="0"/>
                    <w:snapToGrid w:val="0"/>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依托社会车辆</w:t>
                  </w:r>
                </w:p>
              </w:tc>
            </w:tr>
            <w:tr w14:paraId="49CD60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Merge w:val="restart"/>
                  <w:noWrap w:val="0"/>
                  <w:vAlign w:val="center"/>
                </w:tcPr>
                <w:p w14:paraId="7E78F77B">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387" w:type="pct"/>
                  <w:noWrap w:val="0"/>
                  <w:vAlign w:val="center"/>
                </w:tcPr>
                <w:p w14:paraId="05E8DB83">
                  <w:pPr>
                    <w:spacing w:line="300" w:lineRule="exa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废气</w:t>
                  </w:r>
                </w:p>
              </w:tc>
              <w:tc>
                <w:tcPr>
                  <w:tcW w:w="844" w:type="pct"/>
                  <w:noWrap w:val="0"/>
                  <w:vAlign w:val="center"/>
                </w:tcPr>
                <w:p w14:paraId="46C7BF27">
                  <w:pPr>
                    <w:spacing w:line="300" w:lineRule="exact"/>
                    <w:jc w:val="center"/>
                    <w:rPr>
                      <w:rFonts w:hint="default" w:ascii="Times New Roman" w:hAnsi="Times New Roman" w:cs="Times New Roman"/>
                      <w:color w:val="auto"/>
                      <w:sz w:val="21"/>
                      <w:szCs w:val="21"/>
                      <w:lang w:val="en-US" w:eastAsia="zh-CN"/>
                    </w:rPr>
                  </w:pPr>
                  <w:r>
                    <w:rPr>
                      <w:rFonts w:hint="eastAsia"/>
                      <w:color w:val="auto"/>
                      <w:sz w:val="21"/>
                      <w:szCs w:val="21"/>
                      <w:lang w:bidi="en-US"/>
                    </w:rPr>
                    <w:t>印刷、复合、熟化废气</w:t>
                  </w:r>
                </w:p>
              </w:tc>
              <w:tc>
                <w:tcPr>
                  <w:tcW w:w="1430" w:type="pct"/>
                  <w:noWrap w:val="0"/>
                  <w:vAlign w:val="center"/>
                </w:tcPr>
                <w:p w14:paraId="68C5E301">
                  <w:pPr>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bCs/>
                      <w:color w:val="auto"/>
                      <w:sz w:val="21"/>
                      <w:szCs w:val="21"/>
                      <w:lang w:val="en-US" w:eastAsia="zh-CN"/>
                    </w:rPr>
                    <w:t>二级活性炭吸附</w:t>
                  </w:r>
                  <w:r>
                    <w:rPr>
                      <w:rFonts w:hint="default" w:ascii="Times New Roman" w:hAnsi="Times New Roman" w:eastAsia="宋体" w:cs="Times New Roman"/>
                      <w:bCs/>
                      <w:color w:val="auto"/>
                      <w:sz w:val="21"/>
                      <w:szCs w:val="21"/>
                    </w:rPr>
                    <w:t>+15m高排气筒</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sz w:val="21"/>
                      <w:szCs w:val="21"/>
                    </w:rPr>
                    <w:t>风量为</w:t>
                  </w:r>
                  <w:r>
                    <w:rPr>
                      <w:rFonts w:hint="eastAsia" w:cs="Times New Roman"/>
                      <w:color w:val="auto"/>
                      <w:sz w:val="21"/>
                      <w:szCs w:val="21"/>
                      <w:lang w:val="en-US" w:eastAsia="zh-CN"/>
                    </w:rPr>
                    <w:t>12000</w:t>
                  </w:r>
                  <w:r>
                    <w:rPr>
                      <w:rFonts w:hint="default" w:ascii="Times New Roman" w:hAnsi="Times New Roman" w:eastAsia="宋体" w:cs="Times New Roman"/>
                      <w:color w:val="auto"/>
                      <w:kern w:val="0"/>
                      <w:sz w:val="21"/>
                      <w:szCs w:val="21"/>
                      <w:lang w:bidi="ar"/>
                    </w:rPr>
                    <w:t>m</w:t>
                  </w:r>
                  <w:r>
                    <w:rPr>
                      <w:rFonts w:hint="default" w:ascii="Times New Roman" w:hAnsi="Times New Roman" w:eastAsia="宋体" w:cs="Times New Roman"/>
                      <w:color w:val="auto"/>
                      <w:kern w:val="0"/>
                      <w:sz w:val="21"/>
                      <w:szCs w:val="21"/>
                      <w:vertAlign w:val="superscript"/>
                      <w:lang w:bidi="ar"/>
                    </w:rPr>
                    <w:t>3</w:t>
                  </w:r>
                  <w:r>
                    <w:rPr>
                      <w:rFonts w:hint="default" w:ascii="Times New Roman" w:hAnsi="Times New Roman" w:eastAsia="宋体" w:cs="Times New Roman"/>
                      <w:color w:val="auto"/>
                      <w:kern w:val="0"/>
                      <w:sz w:val="21"/>
                      <w:szCs w:val="21"/>
                      <w:lang w:bidi="ar"/>
                    </w:rPr>
                    <w:t>/h</w:t>
                  </w:r>
                </w:p>
              </w:tc>
              <w:tc>
                <w:tcPr>
                  <w:tcW w:w="1877" w:type="pct"/>
                  <w:noWrap w:val="0"/>
                  <w:vAlign w:val="center"/>
                </w:tcPr>
                <w:p w14:paraId="684EF520">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达标排放</w:t>
                  </w:r>
                </w:p>
              </w:tc>
            </w:tr>
            <w:tr w14:paraId="593A1D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Merge w:val="continue"/>
                  <w:noWrap w:val="0"/>
                  <w:vAlign w:val="center"/>
                </w:tcPr>
                <w:p w14:paraId="4BCAF5D0">
                  <w:pPr>
                    <w:adjustRightInd w:val="0"/>
                    <w:snapToGrid w:val="0"/>
                    <w:spacing w:line="300" w:lineRule="exact"/>
                    <w:jc w:val="center"/>
                    <w:rPr>
                      <w:rFonts w:hint="default" w:ascii="Times New Roman" w:hAnsi="Times New Roman" w:eastAsia="宋体" w:cs="Times New Roman"/>
                      <w:color w:val="auto"/>
                      <w:sz w:val="21"/>
                      <w:szCs w:val="21"/>
                    </w:rPr>
                  </w:pPr>
                </w:p>
              </w:tc>
              <w:tc>
                <w:tcPr>
                  <w:tcW w:w="387" w:type="pct"/>
                  <w:noWrap w:val="0"/>
                  <w:vAlign w:val="center"/>
                </w:tcPr>
                <w:p w14:paraId="5AC72820">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844" w:type="pct"/>
                  <w:noWrap w:val="0"/>
                  <w:vAlign w:val="center"/>
                </w:tcPr>
                <w:p w14:paraId="3A921744">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生活污水</w:t>
                  </w:r>
                </w:p>
              </w:tc>
              <w:tc>
                <w:tcPr>
                  <w:tcW w:w="1430" w:type="pct"/>
                  <w:noWrap w:val="0"/>
                  <w:vAlign w:val="center"/>
                </w:tcPr>
                <w:p w14:paraId="07014A1F">
                  <w:pPr>
                    <w:adjustRightInd w:val="0"/>
                    <w:snapToGrid w:val="0"/>
                    <w:spacing w:line="300" w:lineRule="exact"/>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化粪池</w:t>
                  </w:r>
                </w:p>
              </w:tc>
              <w:tc>
                <w:tcPr>
                  <w:tcW w:w="1877" w:type="pct"/>
                  <w:noWrap w:val="0"/>
                  <w:vAlign w:val="center"/>
                </w:tcPr>
                <w:p w14:paraId="12190523">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依托</w:t>
                  </w:r>
                  <w:r>
                    <w:rPr>
                      <w:rFonts w:hint="eastAsia" w:cs="Times New Roman"/>
                      <w:color w:val="auto"/>
                      <w:sz w:val="21"/>
                      <w:szCs w:val="21"/>
                      <w:lang w:val="en-US" w:eastAsia="zh-CN"/>
                    </w:rPr>
                    <w:t>出租方</w:t>
                  </w:r>
                </w:p>
              </w:tc>
            </w:tr>
            <w:tr w14:paraId="3D79C5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Merge w:val="continue"/>
                  <w:noWrap w:val="0"/>
                  <w:vAlign w:val="center"/>
                </w:tcPr>
                <w:p w14:paraId="2447485F">
                  <w:pPr>
                    <w:adjustRightInd w:val="0"/>
                    <w:snapToGrid w:val="0"/>
                    <w:spacing w:line="300" w:lineRule="exact"/>
                    <w:jc w:val="center"/>
                    <w:rPr>
                      <w:rFonts w:hint="default" w:ascii="Times New Roman" w:hAnsi="Times New Roman" w:eastAsia="宋体" w:cs="Times New Roman"/>
                      <w:color w:val="auto"/>
                      <w:sz w:val="21"/>
                      <w:szCs w:val="21"/>
                    </w:rPr>
                  </w:pPr>
                </w:p>
              </w:tc>
              <w:tc>
                <w:tcPr>
                  <w:tcW w:w="1231" w:type="pct"/>
                  <w:gridSpan w:val="2"/>
                  <w:noWrap w:val="0"/>
                  <w:vAlign w:val="center"/>
                </w:tcPr>
                <w:p w14:paraId="7083C594">
                  <w:pPr>
                    <w:keepNext w:val="0"/>
                    <w:keepLines w:val="0"/>
                    <w:widowControl/>
                    <w:suppressLineNumbers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噪声</w:t>
                  </w:r>
                </w:p>
              </w:tc>
              <w:tc>
                <w:tcPr>
                  <w:tcW w:w="1430" w:type="pct"/>
                  <w:noWrap w:val="0"/>
                  <w:vAlign w:val="center"/>
                </w:tcPr>
                <w:p w14:paraId="6F387E94">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合理布局、采取相应的隔声、减震、消音措施</w:t>
                  </w:r>
                </w:p>
              </w:tc>
              <w:tc>
                <w:tcPr>
                  <w:tcW w:w="1877" w:type="pct"/>
                  <w:noWrap w:val="0"/>
                  <w:vAlign w:val="center"/>
                </w:tcPr>
                <w:p w14:paraId="3701B0ED">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eastAsia="zh-CN"/>
                    </w:rPr>
                    <w:t>新建</w:t>
                  </w:r>
                </w:p>
              </w:tc>
            </w:tr>
            <w:tr w14:paraId="5D735E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Merge w:val="continue"/>
                  <w:noWrap w:val="0"/>
                  <w:vAlign w:val="center"/>
                </w:tcPr>
                <w:p w14:paraId="240AE7FF">
                  <w:pPr>
                    <w:adjustRightInd w:val="0"/>
                    <w:snapToGrid w:val="0"/>
                    <w:spacing w:line="300" w:lineRule="exact"/>
                    <w:jc w:val="center"/>
                    <w:rPr>
                      <w:rFonts w:hint="default" w:ascii="Times New Roman" w:hAnsi="Times New Roman" w:eastAsia="宋体" w:cs="Times New Roman"/>
                      <w:color w:val="auto"/>
                      <w:sz w:val="21"/>
                      <w:szCs w:val="21"/>
                    </w:rPr>
                  </w:pPr>
                </w:p>
              </w:tc>
              <w:tc>
                <w:tcPr>
                  <w:tcW w:w="387" w:type="pct"/>
                  <w:vMerge w:val="restart"/>
                  <w:noWrap w:val="0"/>
                  <w:vAlign w:val="center"/>
                </w:tcPr>
                <w:p w14:paraId="721BB2A8">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844" w:type="pct"/>
                  <w:noWrap w:val="0"/>
                  <w:vAlign w:val="center"/>
                </w:tcPr>
                <w:p w14:paraId="39EE94D7">
                  <w:pPr>
                    <w:spacing w:line="30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bCs/>
                      <w:color w:val="auto"/>
                      <w:sz w:val="21"/>
                      <w:szCs w:val="21"/>
                      <w:lang w:eastAsia="zh-CN"/>
                    </w:rPr>
                    <w:t>危废仓库</w:t>
                  </w:r>
                </w:p>
              </w:tc>
              <w:tc>
                <w:tcPr>
                  <w:tcW w:w="1430" w:type="pct"/>
                  <w:noWrap w:val="0"/>
                  <w:vAlign w:val="center"/>
                </w:tcPr>
                <w:p w14:paraId="49EF8B75">
                  <w:pPr>
                    <w:adjustRightInd w:val="0"/>
                    <w:snapToGrid w:val="0"/>
                    <w:spacing w:line="300" w:lineRule="exact"/>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10</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2</w:t>
                  </w:r>
                </w:p>
              </w:tc>
              <w:tc>
                <w:tcPr>
                  <w:tcW w:w="1877" w:type="pct"/>
                  <w:noWrap w:val="0"/>
                  <w:vAlign w:val="center"/>
                </w:tcPr>
                <w:p w14:paraId="214344E7">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r>
                    <w:rPr>
                      <w:rFonts w:hint="eastAsia" w:cs="Times New Roman"/>
                      <w:color w:val="auto"/>
                      <w:sz w:val="21"/>
                      <w:szCs w:val="21"/>
                      <w:lang w:val="en-US" w:eastAsia="zh-CN"/>
                    </w:rPr>
                    <w:t>，在车间内划分</w:t>
                  </w:r>
                </w:p>
              </w:tc>
            </w:tr>
            <w:tr w14:paraId="1134E3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Merge w:val="continue"/>
                  <w:noWrap w:val="0"/>
                  <w:vAlign w:val="center"/>
                </w:tcPr>
                <w:p w14:paraId="3F0313C5">
                  <w:pPr>
                    <w:adjustRightInd w:val="0"/>
                    <w:snapToGrid w:val="0"/>
                    <w:spacing w:line="300" w:lineRule="exact"/>
                    <w:jc w:val="center"/>
                    <w:rPr>
                      <w:rFonts w:hint="default" w:ascii="Times New Roman" w:hAnsi="Times New Roman" w:eastAsia="宋体" w:cs="Times New Roman"/>
                      <w:color w:val="auto"/>
                      <w:sz w:val="21"/>
                      <w:szCs w:val="21"/>
                    </w:rPr>
                  </w:pPr>
                </w:p>
              </w:tc>
              <w:tc>
                <w:tcPr>
                  <w:tcW w:w="387" w:type="pct"/>
                  <w:vMerge w:val="continue"/>
                  <w:noWrap w:val="0"/>
                  <w:vAlign w:val="center"/>
                </w:tcPr>
                <w:p w14:paraId="10918CBC">
                  <w:pPr>
                    <w:spacing w:line="300" w:lineRule="exact"/>
                    <w:jc w:val="center"/>
                    <w:rPr>
                      <w:rFonts w:hint="default" w:ascii="Times New Roman" w:hAnsi="Times New Roman" w:eastAsia="宋体" w:cs="Times New Roman"/>
                      <w:color w:val="auto"/>
                      <w:sz w:val="21"/>
                      <w:szCs w:val="21"/>
                    </w:rPr>
                  </w:pPr>
                </w:p>
              </w:tc>
              <w:tc>
                <w:tcPr>
                  <w:tcW w:w="844" w:type="pct"/>
                  <w:noWrap w:val="0"/>
                  <w:vAlign w:val="center"/>
                </w:tcPr>
                <w:p w14:paraId="23D07571">
                  <w:pPr>
                    <w:spacing w:line="30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bCs/>
                      <w:color w:val="auto"/>
                      <w:sz w:val="21"/>
                      <w:szCs w:val="21"/>
                      <w:lang w:eastAsia="zh-CN"/>
                    </w:rPr>
                    <w:t>一般固废仓库</w:t>
                  </w:r>
                </w:p>
              </w:tc>
              <w:tc>
                <w:tcPr>
                  <w:tcW w:w="1430" w:type="pct"/>
                  <w:noWrap w:val="0"/>
                  <w:vAlign w:val="center"/>
                </w:tcPr>
                <w:p w14:paraId="10BEB295">
                  <w:pPr>
                    <w:adjustRightInd w:val="0"/>
                    <w:snapToGrid w:val="0"/>
                    <w:spacing w:line="300" w:lineRule="exact"/>
                    <w:jc w:val="center"/>
                    <w:rPr>
                      <w:rFonts w:hint="default" w:ascii="Times New Roman" w:hAnsi="Times New Roman" w:eastAsia="宋体" w:cs="Times New Roman"/>
                      <w:bCs/>
                      <w:color w:val="auto"/>
                      <w:sz w:val="21"/>
                      <w:szCs w:val="21"/>
                    </w:rPr>
                  </w:pPr>
                  <w:r>
                    <w:rPr>
                      <w:rFonts w:hint="default" w:ascii="Times New Roman" w:hAnsi="Times New Roman" w:cs="Times New Roman"/>
                      <w:bCs/>
                      <w:color w:val="auto"/>
                      <w:sz w:val="21"/>
                      <w:szCs w:val="21"/>
                      <w:lang w:val="en-US" w:eastAsia="zh-CN"/>
                    </w:rPr>
                    <w:t>1</w:t>
                  </w:r>
                  <w:r>
                    <w:rPr>
                      <w:rFonts w:hint="default" w:ascii="Times New Roman" w:hAnsi="Times New Roman" w:eastAsia="宋体" w:cs="Times New Roman"/>
                      <w:bCs/>
                      <w:color w:val="auto"/>
                      <w:sz w:val="21"/>
                      <w:szCs w:val="21"/>
                      <w:lang w:val="en-US" w:eastAsia="zh-CN"/>
                    </w:rPr>
                    <w:t>0</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2</w:t>
                  </w:r>
                </w:p>
              </w:tc>
              <w:tc>
                <w:tcPr>
                  <w:tcW w:w="1877" w:type="pct"/>
                  <w:noWrap w:val="0"/>
                  <w:vAlign w:val="center"/>
                </w:tcPr>
                <w:p w14:paraId="64C3B0D6">
                  <w:pPr>
                    <w:adjustRightInd w:val="0"/>
                    <w:snapToGrid w:val="0"/>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新建</w:t>
                  </w:r>
                  <w:r>
                    <w:rPr>
                      <w:rFonts w:hint="eastAsia" w:cs="Times New Roman"/>
                      <w:color w:val="auto"/>
                      <w:sz w:val="21"/>
                      <w:szCs w:val="21"/>
                      <w:lang w:val="en-US" w:eastAsia="zh-CN"/>
                    </w:rPr>
                    <w:t>，在车间内划分</w:t>
                  </w:r>
                </w:p>
              </w:tc>
            </w:tr>
            <w:tr w14:paraId="5DA507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Merge w:val="restart"/>
                  <w:noWrap w:val="0"/>
                  <w:vAlign w:val="center"/>
                </w:tcPr>
                <w:p w14:paraId="5B068075">
                  <w:pPr>
                    <w:spacing w:line="300" w:lineRule="exact"/>
                    <w:jc w:val="center"/>
                    <w:rPr>
                      <w:rFonts w:hint="default" w:ascii="Times New Roman" w:hAnsi="Times New Roman" w:eastAsia="宋体" w:cs="Times New Roman"/>
                      <w:bCs/>
                      <w:color w:val="auto"/>
                      <w:sz w:val="21"/>
                      <w:szCs w:val="21"/>
                    </w:rPr>
                  </w:pPr>
                  <w:r>
                    <w:rPr>
                      <w:rFonts w:hint="default" w:ascii="Times New Roman" w:hAnsi="Times New Roman" w:cs="Times New Roman"/>
                      <w:color w:val="auto"/>
                      <w:sz w:val="21"/>
                      <w:szCs w:val="21"/>
                      <w:lang w:eastAsia="zh-CN"/>
                    </w:rPr>
                    <w:t>风险防控措施</w:t>
                  </w:r>
                </w:p>
              </w:tc>
              <w:tc>
                <w:tcPr>
                  <w:tcW w:w="2662" w:type="pct"/>
                  <w:gridSpan w:val="3"/>
                  <w:noWrap w:val="0"/>
                  <w:vAlign w:val="center"/>
                </w:tcPr>
                <w:p w14:paraId="5E69A13D">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雨水排放口安装阀门</w:t>
                  </w:r>
                </w:p>
              </w:tc>
              <w:tc>
                <w:tcPr>
                  <w:tcW w:w="1877" w:type="pct"/>
                  <w:noWrap w:val="0"/>
                  <w:vAlign w:val="center"/>
                </w:tcPr>
                <w:p w14:paraId="5E076255">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依托</w:t>
                  </w:r>
                  <w:r>
                    <w:rPr>
                      <w:rFonts w:hint="eastAsia" w:cs="Times New Roman"/>
                      <w:color w:val="auto"/>
                      <w:sz w:val="21"/>
                      <w:szCs w:val="21"/>
                      <w:lang w:val="en-US" w:eastAsia="zh-CN"/>
                    </w:rPr>
                    <w:t>出租方</w:t>
                  </w:r>
                </w:p>
              </w:tc>
            </w:tr>
            <w:tr w14:paraId="16F654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Merge w:val="continue"/>
                  <w:noWrap w:val="0"/>
                  <w:vAlign w:val="center"/>
                </w:tcPr>
                <w:p w14:paraId="6F191585">
                  <w:pPr>
                    <w:spacing w:line="300" w:lineRule="exact"/>
                    <w:jc w:val="center"/>
                    <w:rPr>
                      <w:rFonts w:hint="default" w:ascii="Times New Roman" w:hAnsi="Times New Roman" w:cs="Times New Roman"/>
                      <w:color w:val="auto"/>
                      <w:sz w:val="21"/>
                      <w:szCs w:val="21"/>
                      <w:lang w:eastAsia="zh-CN"/>
                    </w:rPr>
                  </w:pPr>
                </w:p>
              </w:tc>
              <w:tc>
                <w:tcPr>
                  <w:tcW w:w="2662" w:type="pct"/>
                  <w:gridSpan w:val="3"/>
                  <w:noWrap w:val="0"/>
                  <w:vAlign w:val="center"/>
                </w:tcPr>
                <w:p w14:paraId="242D6D2C">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事故应急池</w:t>
                  </w:r>
                  <w:r>
                    <w:rPr>
                      <w:rFonts w:hint="eastAsia" w:cs="Times New Roman"/>
                      <w:color w:val="auto"/>
                      <w:sz w:val="21"/>
                      <w:szCs w:val="21"/>
                      <w:lang w:val="en-US" w:eastAsia="zh-CN"/>
                    </w:rPr>
                    <w:t>35m</w:t>
                  </w:r>
                  <w:r>
                    <w:rPr>
                      <w:rFonts w:hint="default" w:ascii="Times New Roman" w:hAnsi="Times New Roman" w:cs="Times New Roman"/>
                      <w:color w:val="auto"/>
                      <w:sz w:val="21"/>
                      <w:szCs w:val="21"/>
                      <w:vertAlign w:val="superscript"/>
                      <w:lang w:val="en-US" w:eastAsia="zh-CN"/>
                    </w:rPr>
                    <w:t>3</w:t>
                  </w:r>
                </w:p>
              </w:tc>
              <w:tc>
                <w:tcPr>
                  <w:tcW w:w="1877" w:type="pct"/>
                  <w:noWrap w:val="0"/>
                  <w:vAlign w:val="center"/>
                </w:tcPr>
                <w:p w14:paraId="3A319010">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bl>
          <w:p w14:paraId="3899C14E">
            <w:pPr>
              <w:keepNext w:val="0"/>
              <w:keepLines w:val="0"/>
              <w:pageBreakBefore w:val="0"/>
              <w:widowControl w:val="0"/>
              <w:numPr>
                <w:ilvl w:val="0"/>
                <w:numId w:val="4"/>
              </w:numPr>
              <w:kinsoku/>
              <w:wordWrap/>
              <w:overflowPunct/>
              <w:topLinePunct w:val="0"/>
              <w:autoSpaceDE/>
              <w:autoSpaceDN/>
              <w:bidi w:val="0"/>
              <w:adjustRightInd w:val="0"/>
              <w:snapToGrid w:val="0"/>
              <w:spacing w:line="500" w:lineRule="exact"/>
              <w:ind w:left="0" w:right="0"/>
              <w:textAlignment w:val="auto"/>
              <w:rPr>
                <w:rFonts w:hint="default" w:ascii="Times New Roman" w:hAnsi="Times New Roman" w:cs="Times New Roman" w:eastAsiaTheme="minorEastAsia"/>
                <w:b/>
                <w:bCs/>
                <w:color w:val="auto"/>
                <w:sz w:val="21"/>
                <w:szCs w:val="21"/>
              </w:rPr>
            </w:pPr>
            <w:r>
              <w:rPr>
                <w:rFonts w:hint="eastAsia" w:cs="Times New Roman" w:eastAsiaTheme="minorEastAsia"/>
                <w:b/>
                <w:bCs/>
                <w:color w:val="auto"/>
                <w:sz w:val="21"/>
                <w:szCs w:val="21"/>
                <w:lang w:val="en-US" w:eastAsia="zh-CN"/>
              </w:rPr>
              <w:t>物料平衡及</w:t>
            </w:r>
            <w:r>
              <w:rPr>
                <w:rFonts w:hint="default" w:ascii="Times New Roman" w:hAnsi="Times New Roman" w:cs="Times New Roman" w:eastAsiaTheme="minorEastAsia"/>
                <w:b/>
                <w:bCs/>
                <w:color w:val="auto"/>
                <w:sz w:val="21"/>
                <w:szCs w:val="21"/>
              </w:rPr>
              <w:t>水平衡</w:t>
            </w:r>
          </w:p>
          <w:p w14:paraId="77DE6DFB">
            <w:pPr>
              <w:pStyle w:val="111"/>
              <w:keepNext w:val="0"/>
              <w:keepLines w:val="0"/>
              <w:pageBreakBefore w:val="0"/>
              <w:widowControl w:val="0"/>
              <w:kinsoku/>
              <w:wordWrap/>
              <w:overflowPunct/>
              <w:topLinePunct w:val="0"/>
              <w:autoSpaceDE/>
              <w:autoSpaceDN/>
              <w:bidi w:val="0"/>
              <w:adjustRightInd w:val="0"/>
              <w:snapToGrid w:val="0"/>
              <w:spacing w:beforeLines="0" w:line="500" w:lineRule="exact"/>
              <w:ind w:firstLine="420" w:firstLineChars="200"/>
              <w:jc w:val="both"/>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eastAsia" w:asciiTheme="minorEastAsia" w:hAnsiTheme="minorEastAsia" w:eastAsiaTheme="minorEastAsia" w:cstheme="minorEastAsia"/>
                <w:b w:val="0"/>
                <w:bCs w:val="0"/>
                <w:color w:val="auto"/>
                <w:sz w:val="21"/>
                <w:szCs w:val="21"/>
                <w:highlight w:val="none"/>
                <w:lang w:val="en-US" w:eastAsia="zh-CN"/>
              </w:rPr>
              <w:t>（1）VOC平衡</w:t>
            </w:r>
          </w:p>
          <w:p w14:paraId="393C7116">
            <w:pPr>
              <w:tabs>
                <w:tab w:val="center" w:pos="4156"/>
                <w:tab w:val="left" w:pos="6375"/>
              </w:tabs>
              <w:jc w:val="center"/>
              <w:rPr>
                <w:b/>
                <w:bCs/>
                <w:color w:val="auto"/>
                <w:sz w:val="21"/>
                <w:szCs w:val="21"/>
              </w:rPr>
            </w:pPr>
          </w:p>
          <w:p w14:paraId="11897D5B">
            <w:pPr>
              <w:tabs>
                <w:tab w:val="center" w:pos="4156"/>
                <w:tab w:val="left" w:pos="6375"/>
              </w:tabs>
              <w:jc w:val="center"/>
              <w:rPr>
                <w:b/>
                <w:bCs/>
                <w:color w:val="auto"/>
                <w:sz w:val="21"/>
                <w:szCs w:val="21"/>
              </w:rPr>
            </w:pPr>
            <w:r>
              <w:rPr>
                <w:b/>
                <w:bCs/>
                <w:color w:val="auto"/>
                <w:sz w:val="21"/>
                <w:szCs w:val="21"/>
              </w:rPr>
              <w:t>表2-</w:t>
            </w:r>
            <w:r>
              <w:rPr>
                <w:rFonts w:hint="eastAsia"/>
                <w:b/>
                <w:bCs/>
                <w:color w:val="auto"/>
                <w:sz w:val="21"/>
                <w:szCs w:val="21"/>
                <w:lang w:val="en-US" w:eastAsia="zh-CN"/>
              </w:rPr>
              <w:t>6</w:t>
            </w:r>
            <w:r>
              <w:rPr>
                <w:b/>
                <w:bCs/>
                <w:color w:val="auto"/>
                <w:sz w:val="21"/>
                <w:szCs w:val="21"/>
              </w:rPr>
              <w:t xml:space="preserve"> </w:t>
            </w:r>
            <w:r>
              <w:rPr>
                <w:rFonts w:hint="eastAsia"/>
                <w:b/>
                <w:bCs/>
                <w:color w:val="auto"/>
                <w:sz w:val="21"/>
                <w:szCs w:val="21"/>
                <w:lang w:val="en-US" w:eastAsia="zh-CN"/>
              </w:rPr>
              <w:t>项目</w:t>
            </w:r>
            <w:r>
              <w:rPr>
                <w:rFonts w:hint="eastAsia"/>
                <w:b/>
                <w:bCs w:val="0"/>
                <w:color w:val="auto"/>
                <w:sz w:val="21"/>
                <w:szCs w:val="21"/>
                <w:lang w:val="en-US" w:eastAsia="zh-CN"/>
              </w:rPr>
              <w:t>VOCs</w:t>
            </w:r>
            <w:r>
              <w:rPr>
                <w:b/>
                <w:bCs/>
                <w:color w:val="auto"/>
                <w:sz w:val="21"/>
                <w:szCs w:val="21"/>
              </w:rPr>
              <w:t>平衡表  单位：t/a</w:t>
            </w:r>
          </w:p>
          <w:tbl>
            <w:tblPr>
              <w:tblStyle w:val="31"/>
              <w:tblW w:w="4998" w:type="pct"/>
              <w:tblInd w:w="0" w:type="dxa"/>
              <w:tblBorders>
                <w:top w:val="single" w:color="auto" w:sz="4" w:space="0"/>
                <w:left w:val="none" w:color="auto" w:sz="0" w:space="0"/>
                <w:bottom w:val="single" w:color="auto" w:sz="4"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1146"/>
              <w:gridCol w:w="1146"/>
              <w:gridCol w:w="1146"/>
              <w:gridCol w:w="1151"/>
              <w:gridCol w:w="791"/>
              <w:gridCol w:w="2375"/>
              <w:gridCol w:w="898"/>
            </w:tblGrid>
            <w:tr w14:paraId="1D980082">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2651" w:type="pct"/>
                  <w:gridSpan w:val="4"/>
                  <w:noWrap w:val="0"/>
                  <w:vAlign w:val="center"/>
                </w:tcPr>
                <w:p w14:paraId="22447176">
                  <w:pPr>
                    <w:snapToGrid w:val="0"/>
                    <w:jc w:val="center"/>
                    <w:rPr>
                      <w:b/>
                      <w:color w:val="auto"/>
                      <w:kern w:val="0"/>
                      <w:sz w:val="21"/>
                      <w:szCs w:val="21"/>
                    </w:rPr>
                  </w:pPr>
                  <w:r>
                    <w:rPr>
                      <w:b/>
                      <w:color w:val="auto"/>
                      <w:kern w:val="0"/>
                      <w:sz w:val="21"/>
                      <w:szCs w:val="21"/>
                    </w:rPr>
                    <w:t>投入</w:t>
                  </w:r>
                </w:p>
              </w:tc>
              <w:tc>
                <w:tcPr>
                  <w:tcW w:w="2348" w:type="pct"/>
                  <w:gridSpan w:val="3"/>
                  <w:noWrap w:val="0"/>
                  <w:vAlign w:val="center"/>
                </w:tcPr>
                <w:p w14:paraId="25AD214D">
                  <w:pPr>
                    <w:snapToGrid w:val="0"/>
                    <w:jc w:val="center"/>
                    <w:rPr>
                      <w:b/>
                      <w:color w:val="auto"/>
                      <w:kern w:val="0"/>
                      <w:sz w:val="21"/>
                      <w:szCs w:val="21"/>
                    </w:rPr>
                  </w:pPr>
                  <w:r>
                    <w:rPr>
                      <w:b/>
                      <w:color w:val="auto"/>
                      <w:kern w:val="0"/>
                      <w:sz w:val="21"/>
                      <w:szCs w:val="21"/>
                    </w:rPr>
                    <w:t>产出</w:t>
                  </w:r>
                </w:p>
              </w:tc>
            </w:tr>
            <w:tr w14:paraId="010D0C0C">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662" w:type="pct"/>
                  <w:noWrap w:val="0"/>
                  <w:vAlign w:val="center"/>
                </w:tcPr>
                <w:p w14:paraId="539D5808">
                  <w:pPr>
                    <w:snapToGrid w:val="0"/>
                    <w:jc w:val="center"/>
                    <w:rPr>
                      <w:b/>
                      <w:color w:val="auto"/>
                      <w:kern w:val="0"/>
                      <w:sz w:val="21"/>
                      <w:szCs w:val="21"/>
                    </w:rPr>
                  </w:pPr>
                  <w:r>
                    <w:rPr>
                      <w:b/>
                      <w:color w:val="auto"/>
                      <w:kern w:val="0"/>
                      <w:sz w:val="21"/>
                      <w:szCs w:val="21"/>
                    </w:rPr>
                    <w:t>原辅料</w:t>
                  </w:r>
                </w:p>
              </w:tc>
              <w:tc>
                <w:tcPr>
                  <w:tcW w:w="662" w:type="pct"/>
                  <w:noWrap w:val="0"/>
                  <w:vAlign w:val="center"/>
                </w:tcPr>
                <w:p w14:paraId="52A616D4">
                  <w:pPr>
                    <w:snapToGrid w:val="0"/>
                    <w:jc w:val="center"/>
                    <w:rPr>
                      <w:b/>
                      <w:color w:val="auto"/>
                      <w:kern w:val="0"/>
                      <w:sz w:val="21"/>
                      <w:szCs w:val="21"/>
                    </w:rPr>
                  </w:pPr>
                  <w:r>
                    <w:rPr>
                      <w:b/>
                      <w:color w:val="auto"/>
                      <w:kern w:val="0"/>
                      <w:sz w:val="21"/>
                      <w:szCs w:val="21"/>
                    </w:rPr>
                    <w:t>用量</w:t>
                  </w:r>
                </w:p>
              </w:tc>
              <w:tc>
                <w:tcPr>
                  <w:tcW w:w="662" w:type="pct"/>
                  <w:noWrap w:val="0"/>
                  <w:vAlign w:val="center"/>
                </w:tcPr>
                <w:p w14:paraId="3DEBBDEA">
                  <w:pPr>
                    <w:snapToGrid w:val="0"/>
                    <w:jc w:val="center"/>
                    <w:rPr>
                      <w:b/>
                      <w:color w:val="auto"/>
                      <w:kern w:val="0"/>
                      <w:sz w:val="21"/>
                      <w:szCs w:val="21"/>
                    </w:rPr>
                  </w:pPr>
                  <w:r>
                    <w:rPr>
                      <w:rFonts w:hint="eastAsia"/>
                      <w:b/>
                      <w:bCs w:val="0"/>
                      <w:color w:val="auto"/>
                      <w:sz w:val="21"/>
                      <w:szCs w:val="21"/>
                      <w:lang w:val="en-US" w:eastAsia="zh-CN"/>
                    </w:rPr>
                    <w:t>VOCs</w:t>
                  </w:r>
                  <w:r>
                    <w:rPr>
                      <w:b/>
                      <w:color w:val="auto"/>
                      <w:kern w:val="0"/>
                      <w:sz w:val="21"/>
                      <w:szCs w:val="21"/>
                    </w:rPr>
                    <w:t>含量</w:t>
                  </w:r>
                </w:p>
              </w:tc>
              <w:tc>
                <w:tcPr>
                  <w:tcW w:w="665" w:type="pct"/>
                  <w:noWrap w:val="0"/>
                  <w:vAlign w:val="center"/>
                </w:tcPr>
                <w:p w14:paraId="415A5E95">
                  <w:pPr>
                    <w:snapToGrid w:val="0"/>
                    <w:jc w:val="center"/>
                    <w:rPr>
                      <w:b/>
                      <w:bCs w:val="0"/>
                      <w:color w:val="auto"/>
                      <w:kern w:val="0"/>
                      <w:sz w:val="21"/>
                      <w:szCs w:val="21"/>
                    </w:rPr>
                  </w:pPr>
                  <w:r>
                    <w:rPr>
                      <w:rFonts w:hint="eastAsia"/>
                      <w:b/>
                      <w:bCs w:val="0"/>
                      <w:color w:val="auto"/>
                      <w:sz w:val="21"/>
                      <w:szCs w:val="21"/>
                      <w:lang w:val="en-US" w:eastAsia="zh-CN"/>
                    </w:rPr>
                    <w:t>VOCs</w:t>
                  </w:r>
                  <w:r>
                    <w:rPr>
                      <w:b/>
                      <w:bCs w:val="0"/>
                      <w:color w:val="auto"/>
                      <w:kern w:val="0"/>
                      <w:sz w:val="21"/>
                      <w:szCs w:val="21"/>
                    </w:rPr>
                    <w:t>含量</w:t>
                  </w:r>
                </w:p>
              </w:tc>
              <w:tc>
                <w:tcPr>
                  <w:tcW w:w="457" w:type="pct"/>
                  <w:noWrap w:val="0"/>
                  <w:vAlign w:val="center"/>
                </w:tcPr>
                <w:p w14:paraId="4965AE86">
                  <w:pPr>
                    <w:snapToGrid w:val="0"/>
                    <w:jc w:val="center"/>
                    <w:rPr>
                      <w:b/>
                      <w:bCs w:val="0"/>
                      <w:color w:val="auto"/>
                      <w:kern w:val="0"/>
                      <w:sz w:val="21"/>
                      <w:szCs w:val="21"/>
                    </w:rPr>
                  </w:pPr>
                  <w:r>
                    <w:rPr>
                      <w:b/>
                      <w:bCs w:val="0"/>
                      <w:color w:val="auto"/>
                      <w:kern w:val="0"/>
                      <w:sz w:val="21"/>
                      <w:szCs w:val="21"/>
                    </w:rPr>
                    <w:t>去向</w:t>
                  </w:r>
                </w:p>
              </w:tc>
              <w:tc>
                <w:tcPr>
                  <w:tcW w:w="1891" w:type="pct"/>
                  <w:gridSpan w:val="2"/>
                  <w:noWrap w:val="0"/>
                  <w:vAlign w:val="center"/>
                </w:tcPr>
                <w:p w14:paraId="2052EF42">
                  <w:pPr>
                    <w:snapToGrid w:val="0"/>
                    <w:jc w:val="center"/>
                    <w:rPr>
                      <w:b/>
                      <w:bCs w:val="0"/>
                      <w:color w:val="auto"/>
                      <w:kern w:val="0"/>
                      <w:sz w:val="21"/>
                      <w:szCs w:val="21"/>
                    </w:rPr>
                  </w:pPr>
                  <w:r>
                    <w:rPr>
                      <w:rFonts w:hint="eastAsia"/>
                      <w:b/>
                      <w:bCs w:val="0"/>
                      <w:color w:val="auto"/>
                      <w:sz w:val="21"/>
                      <w:szCs w:val="21"/>
                      <w:lang w:val="en-US" w:eastAsia="zh-CN"/>
                    </w:rPr>
                    <w:t>VOCs</w:t>
                  </w:r>
                  <w:r>
                    <w:rPr>
                      <w:b/>
                      <w:bCs w:val="0"/>
                      <w:color w:val="auto"/>
                      <w:kern w:val="0"/>
                      <w:sz w:val="21"/>
                      <w:szCs w:val="21"/>
                    </w:rPr>
                    <w:t>含量</w:t>
                  </w:r>
                </w:p>
              </w:tc>
            </w:tr>
            <w:tr w14:paraId="47474E37">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662" w:type="pct"/>
                  <w:vMerge w:val="restart"/>
                  <w:noWrap w:val="0"/>
                  <w:vAlign w:val="center"/>
                </w:tcPr>
                <w:p w14:paraId="63085956">
                  <w:pPr>
                    <w:snapToGrid w:val="0"/>
                    <w:jc w:val="center"/>
                    <w:rPr>
                      <w:color w:val="auto"/>
                      <w:kern w:val="0"/>
                      <w:sz w:val="21"/>
                      <w:szCs w:val="21"/>
                    </w:rPr>
                  </w:pPr>
                  <w:r>
                    <w:rPr>
                      <w:rFonts w:hint="eastAsia"/>
                      <w:color w:val="auto"/>
                      <w:kern w:val="0"/>
                      <w:sz w:val="21"/>
                      <w:szCs w:val="21"/>
                    </w:rPr>
                    <w:t>水性油墨</w:t>
                  </w:r>
                </w:p>
              </w:tc>
              <w:tc>
                <w:tcPr>
                  <w:tcW w:w="662" w:type="pct"/>
                  <w:vMerge w:val="restart"/>
                  <w:noWrap w:val="0"/>
                  <w:vAlign w:val="center"/>
                </w:tcPr>
                <w:p w14:paraId="77333BD6">
                  <w:pPr>
                    <w:snapToGrid w:val="0"/>
                    <w:jc w:val="center"/>
                    <w:rPr>
                      <w:rFonts w:hint="default" w:eastAsia="宋体"/>
                      <w:color w:val="auto"/>
                      <w:sz w:val="21"/>
                      <w:szCs w:val="21"/>
                      <w:lang w:val="en-US" w:eastAsia="zh-CN"/>
                    </w:rPr>
                  </w:pPr>
                  <w:r>
                    <w:rPr>
                      <w:rFonts w:hint="eastAsia"/>
                      <w:color w:val="auto"/>
                      <w:sz w:val="21"/>
                      <w:szCs w:val="21"/>
                      <w:lang w:val="en-US" w:eastAsia="zh-CN"/>
                    </w:rPr>
                    <w:t>12</w:t>
                  </w:r>
                </w:p>
              </w:tc>
              <w:tc>
                <w:tcPr>
                  <w:tcW w:w="662" w:type="pct"/>
                  <w:vMerge w:val="restart"/>
                  <w:noWrap w:val="0"/>
                  <w:vAlign w:val="center"/>
                </w:tcPr>
                <w:p w14:paraId="7C64D689">
                  <w:pPr>
                    <w:snapToGrid w:val="0"/>
                    <w:jc w:val="center"/>
                    <w:rPr>
                      <w:rFonts w:hint="eastAsia"/>
                      <w:color w:val="auto"/>
                      <w:spacing w:val="16"/>
                      <w:sz w:val="21"/>
                      <w:szCs w:val="21"/>
                    </w:rPr>
                  </w:pPr>
                  <w:r>
                    <w:rPr>
                      <w:rFonts w:hint="eastAsia"/>
                      <w:color w:val="auto"/>
                      <w:spacing w:val="16"/>
                      <w:sz w:val="21"/>
                      <w:szCs w:val="21"/>
                    </w:rPr>
                    <w:t>17</w:t>
                  </w:r>
                  <w:r>
                    <w:rPr>
                      <w:color w:val="auto"/>
                      <w:spacing w:val="-11"/>
                      <w:sz w:val="21"/>
                      <w:szCs w:val="21"/>
                    </w:rPr>
                    <w:t>%</w:t>
                  </w:r>
                </w:p>
              </w:tc>
              <w:tc>
                <w:tcPr>
                  <w:tcW w:w="665" w:type="pct"/>
                  <w:vMerge w:val="restart"/>
                  <w:noWrap w:val="0"/>
                  <w:vAlign w:val="center"/>
                </w:tcPr>
                <w:p w14:paraId="78F25244">
                  <w:pPr>
                    <w:widowControl/>
                    <w:snapToGrid w:val="0"/>
                    <w:jc w:val="center"/>
                    <w:rPr>
                      <w:rFonts w:hint="default" w:eastAsia="宋体"/>
                      <w:color w:val="auto"/>
                      <w:kern w:val="0"/>
                      <w:sz w:val="21"/>
                      <w:szCs w:val="21"/>
                      <w:lang w:val="en-US" w:eastAsia="zh-CN"/>
                    </w:rPr>
                  </w:pPr>
                  <w:r>
                    <w:rPr>
                      <w:rFonts w:hint="eastAsia"/>
                      <w:color w:val="auto"/>
                      <w:kern w:val="0"/>
                      <w:sz w:val="21"/>
                      <w:szCs w:val="21"/>
                      <w:lang w:val="en-US" w:eastAsia="zh-CN"/>
                    </w:rPr>
                    <w:t>2.04</w:t>
                  </w:r>
                </w:p>
              </w:tc>
              <w:tc>
                <w:tcPr>
                  <w:tcW w:w="457" w:type="pct"/>
                  <w:vMerge w:val="restart"/>
                  <w:noWrap w:val="0"/>
                  <w:vAlign w:val="center"/>
                </w:tcPr>
                <w:p w14:paraId="33C543C1">
                  <w:pPr>
                    <w:snapToGrid w:val="0"/>
                    <w:jc w:val="center"/>
                    <w:rPr>
                      <w:color w:val="auto"/>
                      <w:kern w:val="0"/>
                      <w:sz w:val="21"/>
                      <w:szCs w:val="21"/>
                    </w:rPr>
                  </w:pPr>
                  <w:r>
                    <w:rPr>
                      <w:color w:val="auto"/>
                      <w:kern w:val="0"/>
                      <w:sz w:val="21"/>
                      <w:szCs w:val="21"/>
                    </w:rPr>
                    <w:t>废气</w:t>
                  </w:r>
                </w:p>
              </w:tc>
              <w:tc>
                <w:tcPr>
                  <w:tcW w:w="1372" w:type="pct"/>
                  <w:noWrap w:val="0"/>
                  <w:vAlign w:val="center"/>
                </w:tcPr>
                <w:p w14:paraId="24A813E0">
                  <w:pPr>
                    <w:snapToGrid w:val="0"/>
                    <w:jc w:val="center"/>
                    <w:rPr>
                      <w:color w:val="auto"/>
                      <w:sz w:val="21"/>
                      <w:szCs w:val="21"/>
                    </w:rPr>
                  </w:pPr>
                  <w:r>
                    <w:rPr>
                      <w:color w:val="auto"/>
                      <w:sz w:val="21"/>
                      <w:szCs w:val="21"/>
                    </w:rPr>
                    <w:t>有组织排放</w:t>
                  </w:r>
                </w:p>
              </w:tc>
              <w:tc>
                <w:tcPr>
                  <w:tcW w:w="518" w:type="pct"/>
                  <w:noWrap w:val="0"/>
                  <w:vAlign w:val="center"/>
                </w:tcPr>
                <w:p w14:paraId="3805CDE9">
                  <w:pPr>
                    <w:snapToGrid w:val="0"/>
                    <w:jc w:val="center"/>
                    <w:rPr>
                      <w:color w:val="auto"/>
                      <w:kern w:val="0"/>
                      <w:sz w:val="21"/>
                      <w:szCs w:val="21"/>
                    </w:rPr>
                  </w:pPr>
                  <w:r>
                    <w:rPr>
                      <w:rFonts w:hint="eastAsia" w:cs="Times New Roman" w:eastAsiaTheme="minorEastAsia"/>
                      <w:bCs/>
                      <w:color w:val="auto"/>
                      <w:kern w:val="2"/>
                      <w:sz w:val="21"/>
                      <w:szCs w:val="21"/>
                      <w:lang w:val="en-US" w:eastAsia="zh-CN" w:bidi="ar-SA"/>
                    </w:rPr>
                    <w:t>0.194</w:t>
                  </w:r>
                </w:p>
              </w:tc>
            </w:tr>
            <w:tr w14:paraId="657BC39D">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662" w:type="pct"/>
                  <w:vMerge w:val="continue"/>
                  <w:noWrap w:val="0"/>
                  <w:vAlign w:val="center"/>
                </w:tcPr>
                <w:p w14:paraId="7468F758">
                  <w:pPr>
                    <w:snapToGrid w:val="0"/>
                    <w:jc w:val="center"/>
                    <w:rPr>
                      <w:rFonts w:hint="eastAsia" w:eastAsia="宋体"/>
                      <w:color w:val="auto"/>
                      <w:sz w:val="21"/>
                      <w:szCs w:val="21"/>
                      <w:lang w:eastAsia="zh-CN"/>
                    </w:rPr>
                  </w:pPr>
                </w:p>
              </w:tc>
              <w:tc>
                <w:tcPr>
                  <w:tcW w:w="662" w:type="pct"/>
                  <w:vMerge w:val="continue"/>
                  <w:noWrap w:val="0"/>
                  <w:vAlign w:val="center"/>
                </w:tcPr>
                <w:p w14:paraId="0C00BEA3">
                  <w:pPr>
                    <w:snapToGrid w:val="0"/>
                    <w:jc w:val="center"/>
                    <w:rPr>
                      <w:rFonts w:hint="eastAsia" w:eastAsia="宋体"/>
                      <w:color w:val="auto"/>
                      <w:sz w:val="21"/>
                      <w:szCs w:val="21"/>
                      <w:lang w:eastAsia="zh-CN"/>
                    </w:rPr>
                  </w:pPr>
                </w:p>
              </w:tc>
              <w:tc>
                <w:tcPr>
                  <w:tcW w:w="662" w:type="pct"/>
                  <w:vMerge w:val="continue"/>
                  <w:noWrap w:val="0"/>
                  <w:vAlign w:val="center"/>
                </w:tcPr>
                <w:p w14:paraId="40EB2338">
                  <w:pPr>
                    <w:snapToGrid w:val="0"/>
                    <w:jc w:val="center"/>
                    <w:rPr>
                      <w:color w:val="auto"/>
                      <w:sz w:val="21"/>
                      <w:szCs w:val="21"/>
                    </w:rPr>
                  </w:pPr>
                </w:p>
              </w:tc>
              <w:tc>
                <w:tcPr>
                  <w:tcW w:w="665" w:type="pct"/>
                  <w:vMerge w:val="continue"/>
                  <w:noWrap w:val="0"/>
                  <w:vAlign w:val="center"/>
                </w:tcPr>
                <w:p w14:paraId="67E76453">
                  <w:pPr>
                    <w:widowControl/>
                    <w:snapToGrid w:val="0"/>
                    <w:jc w:val="center"/>
                    <w:rPr>
                      <w:rFonts w:hint="default" w:eastAsia="宋体"/>
                      <w:color w:val="auto"/>
                      <w:kern w:val="0"/>
                      <w:sz w:val="21"/>
                      <w:szCs w:val="21"/>
                      <w:lang w:val="en-US" w:eastAsia="zh-CN"/>
                    </w:rPr>
                  </w:pPr>
                </w:p>
              </w:tc>
              <w:tc>
                <w:tcPr>
                  <w:tcW w:w="457" w:type="pct"/>
                  <w:vMerge w:val="continue"/>
                  <w:noWrap w:val="0"/>
                  <w:vAlign w:val="center"/>
                </w:tcPr>
                <w:p w14:paraId="40C5FE12">
                  <w:pPr>
                    <w:snapToGrid w:val="0"/>
                    <w:jc w:val="center"/>
                    <w:rPr>
                      <w:color w:val="auto"/>
                      <w:kern w:val="0"/>
                      <w:sz w:val="21"/>
                      <w:szCs w:val="21"/>
                    </w:rPr>
                  </w:pPr>
                </w:p>
              </w:tc>
              <w:tc>
                <w:tcPr>
                  <w:tcW w:w="1372" w:type="pct"/>
                  <w:noWrap w:val="0"/>
                  <w:vAlign w:val="center"/>
                </w:tcPr>
                <w:p w14:paraId="16F0E564">
                  <w:pPr>
                    <w:snapToGrid w:val="0"/>
                    <w:jc w:val="center"/>
                    <w:rPr>
                      <w:color w:val="auto"/>
                      <w:sz w:val="21"/>
                      <w:szCs w:val="21"/>
                    </w:rPr>
                  </w:pPr>
                  <w:r>
                    <w:rPr>
                      <w:color w:val="auto"/>
                      <w:sz w:val="21"/>
                      <w:szCs w:val="21"/>
                    </w:rPr>
                    <w:t>无组织排放</w:t>
                  </w:r>
                </w:p>
              </w:tc>
              <w:tc>
                <w:tcPr>
                  <w:tcW w:w="518" w:type="pct"/>
                  <w:noWrap w:val="0"/>
                  <w:vAlign w:val="center"/>
                </w:tcPr>
                <w:p w14:paraId="22145849">
                  <w:pPr>
                    <w:snapToGrid w:val="0"/>
                    <w:jc w:val="center"/>
                    <w:rPr>
                      <w:color w:val="auto"/>
                      <w:kern w:val="0"/>
                      <w:sz w:val="21"/>
                      <w:szCs w:val="21"/>
                    </w:rPr>
                  </w:pPr>
                  <w:r>
                    <w:rPr>
                      <w:rFonts w:hint="eastAsia" w:cs="Times New Roman" w:eastAsiaTheme="minorEastAsia"/>
                      <w:bCs/>
                      <w:color w:val="auto"/>
                      <w:sz w:val="21"/>
                      <w:szCs w:val="21"/>
                      <w:lang w:val="en-US" w:eastAsia="zh-CN"/>
                    </w:rPr>
                    <w:t>0.102</w:t>
                  </w:r>
                </w:p>
              </w:tc>
            </w:tr>
            <w:tr w14:paraId="2DE7FFE2">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662" w:type="pct"/>
                  <w:vMerge w:val="restart"/>
                  <w:noWrap w:val="0"/>
                  <w:vAlign w:val="center"/>
                </w:tcPr>
                <w:p w14:paraId="32773455">
                  <w:pPr>
                    <w:snapToGrid w:val="0"/>
                    <w:jc w:val="center"/>
                    <w:rPr>
                      <w:rFonts w:hint="eastAsia"/>
                      <w:color w:val="auto"/>
                      <w:sz w:val="21"/>
                      <w:szCs w:val="21"/>
                    </w:rPr>
                  </w:pPr>
                  <w:r>
                    <w:rPr>
                      <w:rFonts w:hint="eastAsia"/>
                      <w:color w:val="auto"/>
                      <w:kern w:val="0"/>
                      <w:sz w:val="21"/>
                      <w:szCs w:val="21"/>
                      <w:lang w:val="en-US" w:eastAsia="zh-CN"/>
                    </w:rPr>
                    <w:t>胶水</w:t>
                  </w:r>
                </w:p>
              </w:tc>
              <w:tc>
                <w:tcPr>
                  <w:tcW w:w="662" w:type="pct"/>
                  <w:vMerge w:val="restart"/>
                  <w:noWrap w:val="0"/>
                  <w:vAlign w:val="center"/>
                </w:tcPr>
                <w:p w14:paraId="3E9BD531">
                  <w:pPr>
                    <w:snapToGrid w:val="0"/>
                    <w:jc w:val="center"/>
                    <w:rPr>
                      <w:rFonts w:hint="default" w:eastAsia="宋体"/>
                      <w:color w:val="auto"/>
                      <w:kern w:val="0"/>
                      <w:sz w:val="21"/>
                      <w:szCs w:val="21"/>
                      <w:lang w:val="en-US" w:eastAsia="zh-CN"/>
                    </w:rPr>
                  </w:pPr>
                  <w:r>
                    <w:rPr>
                      <w:rFonts w:hint="eastAsia"/>
                      <w:color w:val="auto"/>
                      <w:sz w:val="21"/>
                      <w:szCs w:val="21"/>
                      <w:lang w:val="en-US" w:eastAsia="zh-CN"/>
                    </w:rPr>
                    <w:t>3</w:t>
                  </w:r>
                </w:p>
              </w:tc>
              <w:tc>
                <w:tcPr>
                  <w:tcW w:w="662" w:type="pct"/>
                  <w:vMerge w:val="restart"/>
                  <w:noWrap w:val="0"/>
                  <w:vAlign w:val="center"/>
                </w:tcPr>
                <w:p w14:paraId="09239D3D">
                  <w:pPr>
                    <w:snapToGrid w:val="0"/>
                    <w:jc w:val="center"/>
                    <w:rPr>
                      <w:color w:val="auto"/>
                      <w:sz w:val="21"/>
                      <w:szCs w:val="21"/>
                    </w:rPr>
                  </w:pPr>
                  <w:r>
                    <w:rPr>
                      <w:rFonts w:hint="eastAsia"/>
                      <w:bCs/>
                      <w:color w:val="auto"/>
                      <w:sz w:val="21"/>
                      <w:szCs w:val="21"/>
                      <w:lang w:val="en-US" w:eastAsia="zh-CN"/>
                    </w:rPr>
                    <w:t>0.</w:t>
                  </w:r>
                  <w:r>
                    <w:rPr>
                      <w:color w:val="auto"/>
                      <w:spacing w:val="-11"/>
                      <w:sz w:val="21"/>
                      <w:szCs w:val="21"/>
                    </w:rPr>
                    <w:t>2%</w:t>
                  </w:r>
                </w:p>
              </w:tc>
              <w:tc>
                <w:tcPr>
                  <w:tcW w:w="665" w:type="pct"/>
                  <w:vMerge w:val="restart"/>
                  <w:noWrap w:val="0"/>
                  <w:vAlign w:val="center"/>
                </w:tcPr>
                <w:p w14:paraId="3E0F303D">
                  <w:pPr>
                    <w:widowControl/>
                    <w:snapToGrid w:val="0"/>
                    <w:jc w:val="center"/>
                    <w:rPr>
                      <w:rFonts w:hint="default" w:eastAsia="宋体"/>
                      <w:color w:val="auto"/>
                      <w:kern w:val="0"/>
                      <w:sz w:val="21"/>
                      <w:szCs w:val="21"/>
                      <w:lang w:val="en-US" w:eastAsia="zh-CN"/>
                    </w:rPr>
                  </w:pPr>
                  <w:r>
                    <w:rPr>
                      <w:rFonts w:hint="eastAsia"/>
                      <w:color w:val="auto"/>
                      <w:kern w:val="0"/>
                      <w:sz w:val="21"/>
                      <w:szCs w:val="21"/>
                      <w:lang w:val="en-US" w:eastAsia="zh-CN"/>
                    </w:rPr>
                    <w:t>0.006</w:t>
                  </w:r>
                </w:p>
              </w:tc>
              <w:tc>
                <w:tcPr>
                  <w:tcW w:w="457" w:type="pct"/>
                  <w:vMerge w:val="restart"/>
                  <w:noWrap w:val="0"/>
                  <w:vAlign w:val="center"/>
                </w:tcPr>
                <w:p w14:paraId="3E27DD73">
                  <w:pPr>
                    <w:snapToGrid w:val="0"/>
                    <w:jc w:val="center"/>
                    <w:rPr>
                      <w:color w:val="auto"/>
                      <w:kern w:val="0"/>
                      <w:sz w:val="21"/>
                      <w:szCs w:val="21"/>
                    </w:rPr>
                  </w:pPr>
                  <w:r>
                    <w:rPr>
                      <w:color w:val="auto"/>
                      <w:kern w:val="0"/>
                      <w:sz w:val="21"/>
                      <w:szCs w:val="21"/>
                    </w:rPr>
                    <w:t>固废</w:t>
                  </w:r>
                </w:p>
              </w:tc>
              <w:tc>
                <w:tcPr>
                  <w:tcW w:w="1372" w:type="pct"/>
                  <w:noWrap w:val="0"/>
                  <w:vAlign w:val="center"/>
                </w:tcPr>
                <w:p w14:paraId="4377DB42">
                  <w:pPr>
                    <w:snapToGrid w:val="0"/>
                    <w:jc w:val="center"/>
                    <w:rPr>
                      <w:color w:val="auto"/>
                      <w:sz w:val="21"/>
                      <w:szCs w:val="21"/>
                    </w:rPr>
                  </w:pPr>
                  <w:r>
                    <w:rPr>
                      <w:rFonts w:hint="eastAsia"/>
                      <w:color w:val="auto"/>
                      <w:sz w:val="21"/>
                      <w:szCs w:val="21"/>
                    </w:rPr>
                    <w:t>进入</w:t>
                  </w:r>
                  <w:r>
                    <w:rPr>
                      <w:rFonts w:hint="eastAsia"/>
                      <w:color w:val="auto"/>
                      <w:sz w:val="21"/>
                      <w:szCs w:val="21"/>
                      <w:lang w:val="en-US" w:eastAsia="zh-CN"/>
                    </w:rPr>
                    <w:t>废抹布和</w:t>
                  </w:r>
                  <w:r>
                    <w:rPr>
                      <w:rFonts w:hint="eastAsia"/>
                      <w:color w:val="auto"/>
                      <w:sz w:val="21"/>
                      <w:szCs w:val="21"/>
                    </w:rPr>
                    <w:t>废包装桶</w:t>
                  </w:r>
                </w:p>
              </w:tc>
              <w:tc>
                <w:tcPr>
                  <w:tcW w:w="518" w:type="pct"/>
                  <w:noWrap w:val="0"/>
                  <w:vAlign w:val="center"/>
                </w:tcPr>
                <w:p w14:paraId="5A6CD311">
                  <w:pPr>
                    <w:snapToGrid w:val="0"/>
                    <w:jc w:val="center"/>
                    <w:rPr>
                      <w:rFonts w:hint="default" w:eastAsia="宋体"/>
                      <w:color w:val="auto"/>
                      <w:kern w:val="0"/>
                      <w:sz w:val="21"/>
                      <w:szCs w:val="21"/>
                      <w:lang w:val="en-US" w:eastAsia="zh-CN"/>
                    </w:rPr>
                  </w:pPr>
                  <w:r>
                    <w:rPr>
                      <w:rFonts w:hint="eastAsia"/>
                      <w:color w:val="auto"/>
                      <w:kern w:val="0"/>
                      <w:sz w:val="21"/>
                      <w:szCs w:val="21"/>
                      <w:lang w:val="en-US" w:eastAsia="zh-CN"/>
                    </w:rPr>
                    <w:t>0.001</w:t>
                  </w:r>
                </w:p>
              </w:tc>
            </w:tr>
            <w:tr w14:paraId="01C68BAA">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662" w:type="pct"/>
                  <w:vMerge w:val="continue"/>
                  <w:noWrap w:val="0"/>
                  <w:vAlign w:val="center"/>
                </w:tcPr>
                <w:p w14:paraId="1B6CAA79">
                  <w:pPr>
                    <w:snapToGrid w:val="0"/>
                    <w:jc w:val="center"/>
                    <w:rPr>
                      <w:color w:val="auto"/>
                      <w:sz w:val="21"/>
                      <w:szCs w:val="21"/>
                    </w:rPr>
                  </w:pPr>
                </w:p>
              </w:tc>
              <w:tc>
                <w:tcPr>
                  <w:tcW w:w="662" w:type="pct"/>
                  <w:vMerge w:val="continue"/>
                  <w:noWrap w:val="0"/>
                  <w:vAlign w:val="center"/>
                </w:tcPr>
                <w:p w14:paraId="116BFCC0">
                  <w:pPr>
                    <w:snapToGrid w:val="0"/>
                    <w:jc w:val="center"/>
                    <w:rPr>
                      <w:color w:val="auto"/>
                      <w:kern w:val="0"/>
                      <w:sz w:val="21"/>
                      <w:szCs w:val="21"/>
                    </w:rPr>
                  </w:pPr>
                </w:p>
              </w:tc>
              <w:tc>
                <w:tcPr>
                  <w:tcW w:w="662" w:type="pct"/>
                  <w:vMerge w:val="continue"/>
                  <w:noWrap w:val="0"/>
                  <w:vAlign w:val="center"/>
                </w:tcPr>
                <w:p w14:paraId="1C6DF19C">
                  <w:pPr>
                    <w:snapToGrid w:val="0"/>
                    <w:jc w:val="center"/>
                    <w:rPr>
                      <w:color w:val="auto"/>
                      <w:sz w:val="21"/>
                      <w:szCs w:val="21"/>
                    </w:rPr>
                  </w:pPr>
                </w:p>
              </w:tc>
              <w:tc>
                <w:tcPr>
                  <w:tcW w:w="665" w:type="pct"/>
                  <w:vMerge w:val="continue"/>
                  <w:noWrap w:val="0"/>
                  <w:vAlign w:val="center"/>
                </w:tcPr>
                <w:p w14:paraId="4927AD95">
                  <w:pPr>
                    <w:widowControl/>
                    <w:snapToGrid w:val="0"/>
                    <w:jc w:val="center"/>
                    <w:rPr>
                      <w:color w:val="auto"/>
                      <w:kern w:val="0"/>
                      <w:sz w:val="21"/>
                      <w:szCs w:val="21"/>
                    </w:rPr>
                  </w:pPr>
                </w:p>
              </w:tc>
              <w:tc>
                <w:tcPr>
                  <w:tcW w:w="457" w:type="pct"/>
                  <w:vMerge w:val="continue"/>
                  <w:noWrap w:val="0"/>
                  <w:vAlign w:val="center"/>
                </w:tcPr>
                <w:p w14:paraId="3011E19B">
                  <w:pPr>
                    <w:snapToGrid w:val="0"/>
                    <w:jc w:val="center"/>
                    <w:rPr>
                      <w:color w:val="auto"/>
                      <w:kern w:val="0"/>
                      <w:sz w:val="21"/>
                      <w:szCs w:val="21"/>
                    </w:rPr>
                  </w:pPr>
                </w:p>
              </w:tc>
              <w:tc>
                <w:tcPr>
                  <w:tcW w:w="1372" w:type="pct"/>
                  <w:noWrap w:val="0"/>
                  <w:vAlign w:val="center"/>
                </w:tcPr>
                <w:p w14:paraId="4EAC1E3F">
                  <w:pPr>
                    <w:snapToGrid w:val="0"/>
                    <w:jc w:val="center"/>
                    <w:rPr>
                      <w:color w:val="auto"/>
                      <w:sz w:val="21"/>
                      <w:szCs w:val="21"/>
                    </w:rPr>
                  </w:pPr>
                  <w:r>
                    <w:rPr>
                      <w:color w:val="auto"/>
                      <w:sz w:val="21"/>
                      <w:szCs w:val="21"/>
                    </w:rPr>
                    <w:t>进入活性炭</w:t>
                  </w:r>
                </w:p>
              </w:tc>
              <w:tc>
                <w:tcPr>
                  <w:tcW w:w="518" w:type="pct"/>
                  <w:noWrap w:val="0"/>
                  <w:vAlign w:val="center"/>
                </w:tcPr>
                <w:p w14:paraId="4291B313">
                  <w:pPr>
                    <w:snapToGrid w:val="0"/>
                    <w:jc w:val="center"/>
                    <w:rPr>
                      <w:rFonts w:hint="default" w:eastAsia="宋体"/>
                      <w:color w:val="auto"/>
                      <w:kern w:val="0"/>
                      <w:sz w:val="21"/>
                      <w:szCs w:val="21"/>
                      <w:lang w:val="en-US" w:eastAsia="zh-CN"/>
                    </w:rPr>
                  </w:pPr>
                  <w:r>
                    <w:rPr>
                      <w:rFonts w:hint="eastAsia"/>
                      <w:color w:val="auto"/>
                      <w:kern w:val="0"/>
                      <w:sz w:val="21"/>
                      <w:szCs w:val="21"/>
                      <w:lang w:val="en-US" w:eastAsia="zh-CN"/>
                    </w:rPr>
                    <w:t>1.749</w:t>
                  </w:r>
                </w:p>
              </w:tc>
            </w:tr>
            <w:tr w14:paraId="663D0902">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662" w:type="pct"/>
                  <w:noWrap w:val="0"/>
                  <w:vAlign w:val="center"/>
                </w:tcPr>
                <w:p w14:paraId="7DC2E777">
                  <w:pPr>
                    <w:snapToGrid w:val="0"/>
                    <w:jc w:val="center"/>
                    <w:rPr>
                      <w:color w:val="auto"/>
                      <w:kern w:val="0"/>
                      <w:sz w:val="21"/>
                      <w:szCs w:val="21"/>
                    </w:rPr>
                  </w:pPr>
                  <w:r>
                    <w:rPr>
                      <w:color w:val="auto"/>
                      <w:kern w:val="0"/>
                      <w:sz w:val="21"/>
                      <w:szCs w:val="21"/>
                    </w:rPr>
                    <w:t>合计</w:t>
                  </w:r>
                </w:p>
              </w:tc>
              <w:tc>
                <w:tcPr>
                  <w:tcW w:w="662" w:type="pct"/>
                  <w:noWrap w:val="0"/>
                  <w:vAlign w:val="center"/>
                </w:tcPr>
                <w:p w14:paraId="2BA0F066">
                  <w:pPr>
                    <w:snapToGrid w:val="0"/>
                    <w:jc w:val="center"/>
                    <w:rPr>
                      <w:rFonts w:hint="default" w:eastAsia="宋体"/>
                      <w:color w:val="auto"/>
                      <w:kern w:val="0"/>
                      <w:sz w:val="21"/>
                      <w:szCs w:val="21"/>
                      <w:lang w:val="en-US" w:eastAsia="zh-CN"/>
                    </w:rPr>
                  </w:pPr>
                  <w:r>
                    <w:rPr>
                      <w:rFonts w:hint="eastAsia"/>
                      <w:color w:val="auto"/>
                      <w:kern w:val="0"/>
                      <w:sz w:val="21"/>
                      <w:szCs w:val="21"/>
                      <w:lang w:val="en-US" w:eastAsia="zh-CN"/>
                    </w:rPr>
                    <w:t>13.1</w:t>
                  </w:r>
                </w:p>
              </w:tc>
              <w:tc>
                <w:tcPr>
                  <w:tcW w:w="662" w:type="pct"/>
                  <w:noWrap w:val="0"/>
                  <w:vAlign w:val="center"/>
                </w:tcPr>
                <w:p w14:paraId="26C497F5">
                  <w:pPr>
                    <w:snapToGrid w:val="0"/>
                    <w:jc w:val="center"/>
                    <w:rPr>
                      <w:color w:val="auto"/>
                      <w:kern w:val="0"/>
                      <w:sz w:val="21"/>
                      <w:szCs w:val="21"/>
                    </w:rPr>
                  </w:pPr>
                  <w:r>
                    <w:rPr>
                      <w:color w:val="auto"/>
                      <w:kern w:val="0"/>
                      <w:sz w:val="21"/>
                      <w:szCs w:val="21"/>
                    </w:rPr>
                    <w:t>/</w:t>
                  </w:r>
                </w:p>
              </w:tc>
              <w:tc>
                <w:tcPr>
                  <w:tcW w:w="665" w:type="pct"/>
                  <w:noWrap w:val="0"/>
                  <w:vAlign w:val="center"/>
                </w:tcPr>
                <w:p w14:paraId="67BE1389">
                  <w:pPr>
                    <w:snapToGrid w:val="0"/>
                    <w:jc w:val="center"/>
                    <w:rPr>
                      <w:rFonts w:hint="default" w:eastAsia="宋体"/>
                      <w:color w:val="auto"/>
                      <w:kern w:val="0"/>
                      <w:sz w:val="21"/>
                      <w:szCs w:val="21"/>
                      <w:lang w:val="en-US" w:eastAsia="zh-CN"/>
                    </w:rPr>
                  </w:pPr>
                  <w:r>
                    <w:rPr>
                      <w:rFonts w:hint="eastAsia"/>
                      <w:color w:val="auto"/>
                      <w:kern w:val="0"/>
                      <w:sz w:val="21"/>
                      <w:szCs w:val="21"/>
                      <w:lang w:val="en-US" w:eastAsia="zh-CN"/>
                    </w:rPr>
                    <w:t>2.046</w:t>
                  </w:r>
                </w:p>
              </w:tc>
              <w:tc>
                <w:tcPr>
                  <w:tcW w:w="457" w:type="pct"/>
                  <w:noWrap w:val="0"/>
                  <w:vAlign w:val="center"/>
                </w:tcPr>
                <w:p w14:paraId="241C6549">
                  <w:pPr>
                    <w:snapToGrid w:val="0"/>
                    <w:jc w:val="center"/>
                    <w:rPr>
                      <w:color w:val="auto"/>
                      <w:kern w:val="0"/>
                      <w:sz w:val="21"/>
                      <w:szCs w:val="21"/>
                    </w:rPr>
                  </w:pPr>
                  <w:r>
                    <w:rPr>
                      <w:color w:val="auto"/>
                      <w:kern w:val="0"/>
                      <w:sz w:val="21"/>
                      <w:szCs w:val="21"/>
                    </w:rPr>
                    <w:t>合计</w:t>
                  </w:r>
                </w:p>
              </w:tc>
              <w:tc>
                <w:tcPr>
                  <w:tcW w:w="1891" w:type="pct"/>
                  <w:gridSpan w:val="2"/>
                  <w:noWrap w:val="0"/>
                  <w:vAlign w:val="center"/>
                </w:tcPr>
                <w:p w14:paraId="3B98CE72">
                  <w:pPr>
                    <w:snapToGrid w:val="0"/>
                    <w:jc w:val="center"/>
                    <w:rPr>
                      <w:color w:val="auto"/>
                      <w:kern w:val="0"/>
                      <w:sz w:val="21"/>
                      <w:szCs w:val="21"/>
                    </w:rPr>
                  </w:pPr>
                  <w:r>
                    <w:rPr>
                      <w:rFonts w:hint="eastAsia"/>
                      <w:color w:val="auto"/>
                      <w:kern w:val="0"/>
                      <w:sz w:val="21"/>
                      <w:szCs w:val="21"/>
                      <w:lang w:val="en-US" w:eastAsia="zh-CN"/>
                    </w:rPr>
                    <w:t>2.046</w:t>
                  </w:r>
                </w:p>
              </w:tc>
            </w:tr>
          </w:tbl>
          <w:p w14:paraId="60EF4FE2">
            <w:pPr>
              <w:keepNext w:val="0"/>
              <w:keepLines w:val="0"/>
              <w:pageBreakBefore w:val="0"/>
              <w:widowControl w:val="0"/>
              <w:kinsoku/>
              <w:wordWrap/>
              <w:overflowPunct/>
              <w:topLinePunct w:val="0"/>
              <w:autoSpaceDE/>
              <w:autoSpaceDN/>
              <w:bidi w:val="0"/>
              <w:adjustRightInd w:val="0"/>
              <w:snapToGrid w:val="0"/>
              <w:spacing w:line="500" w:lineRule="exact"/>
              <w:ind w:firstLine="422" w:firstLineChars="200"/>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lang w:eastAsia="zh-CN"/>
              </w:rPr>
              <w:t>（</w:t>
            </w:r>
            <w:r>
              <w:rPr>
                <w:rFonts w:hint="eastAsia" w:cs="Times New Roman" w:eastAsiaTheme="minorEastAsia"/>
                <w:b/>
                <w:bCs/>
                <w:color w:val="auto"/>
                <w:sz w:val="21"/>
                <w:szCs w:val="21"/>
                <w:highlight w:val="none"/>
                <w:lang w:val="en-US" w:eastAsia="zh-CN"/>
              </w:rPr>
              <w:t>2</w:t>
            </w:r>
            <w:r>
              <w:rPr>
                <w:rFonts w:hint="default" w:ascii="Times New Roman" w:hAnsi="Times New Roman" w:cs="Times New Roman" w:eastAsiaTheme="minorEastAsia"/>
                <w:b/>
                <w:bCs/>
                <w:color w:val="auto"/>
                <w:sz w:val="21"/>
                <w:szCs w:val="21"/>
                <w:highlight w:val="none"/>
                <w:lang w:eastAsia="zh-CN"/>
              </w:rPr>
              <w:t>）</w:t>
            </w:r>
            <w:r>
              <w:rPr>
                <w:rFonts w:hint="eastAsia" w:cs="Times New Roman" w:eastAsiaTheme="minorEastAsia"/>
                <w:b/>
                <w:bCs/>
                <w:color w:val="auto"/>
                <w:sz w:val="21"/>
                <w:szCs w:val="21"/>
                <w:highlight w:val="none"/>
                <w:lang w:val="en-US" w:eastAsia="zh-CN"/>
              </w:rPr>
              <w:t>水平衡</w:t>
            </w:r>
          </w:p>
          <w:p w14:paraId="07F06B29">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①</w:t>
            </w:r>
            <w:r>
              <w:rPr>
                <w:rFonts w:hint="eastAsia" w:ascii="Times New Roman" w:hAnsi="Times New Roman" w:cs="Times New Roman" w:eastAsiaTheme="minorEastAsia"/>
                <w:color w:val="auto"/>
                <w:sz w:val="21"/>
                <w:szCs w:val="21"/>
                <w:highlight w:val="none"/>
                <w:lang w:val="en-US" w:eastAsia="zh-CN"/>
              </w:rPr>
              <w:t>给水</w:t>
            </w:r>
          </w:p>
          <w:p w14:paraId="2BACBFA6">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本项目用水为员工的生活用水。项目劳动定员</w:t>
            </w:r>
            <w:r>
              <w:rPr>
                <w:rFonts w:hint="eastAsia" w:cs="Times New Roman" w:eastAsiaTheme="minorEastAsia"/>
                <w:color w:val="auto"/>
                <w:sz w:val="21"/>
                <w:szCs w:val="21"/>
                <w:highlight w:val="none"/>
                <w:lang w:val="en-US" w:eastAsia="zh-CN"/>
              </w:rPr>
              <w:t>20</w:t>
            </w:r>
            <w:r>
              <w:rPr>
                <w:rFonts w:hint="default" w:ascii="Times New Roman" w:hAnsi="Times New Roman" w:cs="Times New Roman" w:eastAsiaTheme="minorEastAsia"/>
                <w:color w:val="auto"/>
                <w:sz w:val="21"/>
                <w:szCs w:val="21"/>
                <w:highlight w:val="none"/>
              </w:rPr>
              <w:t>人，不设置住宿和餐饮，年工作</w:t>
            </w:r>
            <w:r>
              <w:rPr>
                <w:rFonts w:hint="default" w:ascii="Times New Roman" w:hAnsi="Times New Roman" w:cs="Times New Roman" w:eastAsiaTheme="minorEastAsia"/>
                <w:color w:val="auto"/>
                <w:sz w:val="21"/>
                <w:szCs w:val="21"/>
                <w:highlight w:val="none"/>
                <w:lang w:val="en-US" w:eastAsia="zh-CN"/>
              </w:rPr>
              <w:t>30</w:t>
            </w:r>
            <w:r>
              <w:rPr>
                <w:rFonts w:hint="default" w:ascii="Times New Roman" w:hAnsi="Times New Roman" w:cs="Times New Roman" w:eastAsiaTheme="minorEastAsia"/>
                <w:color w:val="auto"/>
                <w:sz w:val="21"/>
                <w:szCs w:val="21"/>
                <w:highlight w:val="none"/>
              </w:rPr>
              <w:t>0天，根据</w:t>
            </w:r>
            <w:r>
              <w:rPr>
                <w:rFonts w:hint="default" w:ascii="Times New Roman" w:hAnsi="Times New Roman" w:cs="Times New Roman" w:eastAsiaTheme="minorEastAsia"/>
                <w:color w:val="auto"/>
                <w:sz w:val="21"/>
                <w:szCs w:val="21"/>
              </w:rPr>
              <w:t>《江苏省林牧渔业、工业、服务业和生活用水定额》</w:t>
            </w:r>
            <w:r>
              <w:rPr>
                <w:rFonts w:hint="default" w:ascii="Times New Roman" w:hAnsi="Times New Roman" w:cs="Times New Roman" w:eastAsiaTheme="minorEastAsia"/>
                <w:color w:val="auto"/>
                <w:sz w:val="21"/>
                <w:szCs w:val="21"/>
                <w:highlight w:val="none"/>
              </w:rPr>
              <w:t>，员工生活用水定额按100L/人·d计，则生活用水量为</w:t>
            </w:r>
            <w:r>
              <w:rPr>
                <w:rFonts w:hint="eastAsia" w:cs="Times New Roman" w:eastAsiaTheme="minorEastAsia"/>
                <w:color w:val="auto"/>
                <w:sz w:val="21"/>
                <w:szCs w:val="21"/>
                <w:highlight w:val="none"/>
                <w:lang w:val="en-US" w:eastAsia="zh-CN"/>
              </w:rPr>
              <w:t>60</w:t>
            </w:r>
            <w:r>
              <w:rPr>
                <w:rFonts w:hint="default" w:ascii="Times New Roman" w:hAnsi="Times New Roman" w:cs="Times New Roman" w:eastAsiaTheme="minorEastAsia"/>
                <w:color w:val="auto"/>
                <w:sz w:val="21"/>
                <w:szCs w:val="21"/>
                <w:highlight w:val="none"/>
              </w:rPr>
              <w:t>0t/a。</w:t>
            </w:r>
          </w:p>
          <w:p w14:paraId="08CEF62D">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②排水</w:t>
            </w:r>
          </w:p>
          <w:p w14:paraId="7344C921">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highlight w:val="none"/>
              </w:rPr>
              <w:t>生活污水：生活用水排放系数按0.8计，则生活污水量为</w:t>
            </w:r>
            <w:r>
              <w:rPr>
                <w:rFonts w:hint="eastAsia" w:cs="Times New Roman" w:eastAsiaTheme="minorEastAsia"/>
                <w:color w:val="auto"/>
                <w:sz w:val="21"/>
                <w:szCs w:val="21"/>
                <w:highlight w:val="none"/>
                <w:lang w:val="en-US" w:eastAsia="zh-CN"/>
              </w:rPr>
              <w:t>48</w:t>
            </w:r>
            <w:r>
              <w:rPr>
                <w:rFonts w:hint="default" w:ascii="Times New Roman" w:hAnsi="Times New Roman" w:cs="Times New Roman" w:eastAsiaTheme="minorEastAsia"/>
                <w:color w:val="auto"/>
                <w:sz w:val="21"/>
                <w:szCs w:val="21"/>
                <w:highlight w:val="none"/>
                <w:lang w:val="en-US" w:eastAsia="zh-CN"/>
              </w:rPr>
              <w:t>0</w:t>
            </w:r>
            <w:r>
              <w:rPr>
                <w:rFonts w:hint="default" w:ascii="Times New Roman" w:hAnsi="Times New Roman" w:cs="Times New Roman" w:eastAsiaTheme="minorEastAsia"/>
                <w:color w:val="auto"/>
                <w:sz w:val="21"/>
                <w:szCs w:val="21"/>
                <w:highlight w:val="none"/>
              </w:rPr>
              <w:t>t/a，接管至</w:t>
            </w:r>
            <w:r>
              <w:rPr>
                <w:rFonts w:hint="eastAsia" w:cs="Times New Roman" w:eastAsiaTheme="minorEastAsia"/>
                <w:color w:val="auto"/>
                <w:sz w:val="21"/>
                <w:szCs w:val="21"/>
                <w:highlight w:val="none"/>
                <w:lang w:eastAsia="zh-CN"/>
              </w:rPr>
              <w:t>常州市金坛区溪城污水处理有限公司</w:t>
            </w:r>
            <w:r>
              <w:rPr>
                <w:rFonts w:hint="default" w:ascii="Times New Roman" w:hAnsi="Times New Roman" w:cs="Times New Roman" w:eastAsiaTheme="minorEastAsia"/>
                <w:color w:val="auto"/>
                <w:sz w:val="21"/>
                <w:szCs w:val="21"/>
                <w:highlight w:val="none"/>
              </w:rPr>
              <w:t>集中处理，处理后尾水排入</w:t>
            </w:r>
            <w:r>
              <w:rPr>
                <w:rFonts w:hint="eastAsia" w:cs="Times New Roman" w:eastAsiaTheme="minorEastAsia"/>
                <w:color w:val="auto"/>
                <w:sz w:val="21"/>
                <w:szCs w:val="21"/>
                <w:highlight w:val="none"/>
                <w:lang w:eastAsia="zh-CN"/>
              </w:rPr>
              <w:t>通济河</w:t>
            </w:r>
            <w:r>
              <w:rPr>
                <w:rFonts w:hint="default" w:ascii="Times New Roman" w:hAnsi="Times New Roman" w:cs="Times New Roman" w:eastAsiaTheme="minorEastAsia"/>
                <w:color w:val="auto"/>
                <w:sz w:val="21"/>
                <w:szCs w:val="21"/>
                <w:highlight w:val="none"/>
              </w:rPr>
              <w:t>。</w:t>
            </w:r>
          </w:p>
          <w:p w14:paraId="62F866B9">
            <w:pPr>
              <w:pStyle w:val="11"/>
              <w:keepNext w:val="0"/>
              <w:keepLines w:val="0"/>
              <w:pageBreakBefore w:val="0"/>
              <w:widowControl w:val="0"/>
              <w:kinsoku/>
              <w:wordWrap/>
              <w:overflowPunct/>
              <w:topLinePunct w:val="0"/>
              <w:autoSpaceDE/>
              <w:autoSpaceDN/>
              <w:bidi w:val="0"/>
              <w:snapToGrid w:val="0"/>
              <w:spacing w:after="0" w:line="240" w:lineRule="auto"/>
              <w:ind w:left="0" w:leftChars="0" w:right="0" w:rightChars="0"/>
              <w:jc w:val="center"/>
              <w:textAlignment w:val="auto"/>
              <w:rPr>
                <w:rFonts w:hint="default" w:ascii="Times New Roman" w:hAnsi="Times New Roman" w:cs="Times New Roman" w:eastAsiaTheme="minorEastAsia"/>
                <w:color w:val="auto"/>
                <w:sz w:val="21"/>
                <w:szCs w:val="21"/>
              </w:rPr>
            </w:pPr>
            <w:r>
              <w:rPr>
                <w:color w:val="auto"/>
              </w:rPr>
              <w:drawing>
                <wp:inline distT="0" distB="0" distL="114300" distR="114300">
                  <wp:extent cx="5504180" cy="786130"/>
                  <wp:effectExtent l="0" t="0" r="12700" b="635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5504180" cy="786130"/>
                          </a:xfrm>
                          <a:prstGeom prst="rect">
                            <a:avLst/>
                          </a:prstGeom>
                          <a:noFill/>
                          <a:ln>
                            <a:noFill/>
                          </a:ln>
                        </pic:spPr>
                      </pic:pic>
                    </a:graphicData>
                  </a:graphic>
                </wp:inline>
              </w:drawing>
            </w:r>
          </w:p>
          <w:p w14:paraId="79CB5774">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图</w:t>
            </w:r>
            <w:r>
              <w:rPr>
                <w:rFonts w:hint="default" w:ascii="Times New Roman" w:hAnsi="Times New Roman" w:cs="Times New Roman" w:eastAsiaTheme="minorEastAsia"/>
                <w:b/>
                <w:color w:val="auto"/>
                <w:sz w:val="21"/>
                <w:szCs w:val="21"/>
                <w:highlight w:val="none"/>
                <w:lang w:val="en-US" w:eastAsia="zh-CN"/>
              </w:rPr>
              <w:t>2</w:t>
            </w:r>
            <w:r>
              <w:rPr>
                <w:rFonts w:hint="default" w:ascii="Times New Roman" w:hAnsi="Times New Roman" w:cs="Times New Roman" w:eastAsiaTheme="minorEastAsia"/>
                <w:b/>
                <w:color w:val="auto"/>
                <w:sz w:val="21"/>
                <w:szCs w:val="21"/>
                <w:highlight w:val="none"/>
              </w:rPr>
              <w:t>-</w:t>
            </w:r>
            <w:r>
              <w:rPr>
                <w:rFonts w:hint="default" w:ascii="Times New Roman" w:hAnsi="Times New Roman" w:cs="Times New Roman" w:eastAsiaTheme="minorEastAsia"/>
                <w:b/>
                <w:color w:val="auto"/>
                <w:sz w:val="21"/>
                <w:szCs w:val="21"/>
                <w:highlight w:val="none"/>
                <w:lang w:val="en-US" w:eastAsia="zh-CN"/>
              </w:rPr>
              <w:t>1项目</w:t>
            </w:r>
            <w:r>
              <w:rPr>
                <w:rFonts w:hint="default" w:ascii="Times New Roman" w:hAnsi="Times New Roman" w:cs="Times New Roman" w:eastAsiaTheme="minorEastAsia"/>
                <w:b/>
                <w:color w:val="auto"/>
                <w:sz w:val="21"/>
                <w:szCs w:val="21"/>
                <w:highlight w:val="none"/>
              </w:rPr>
              <w:t>水平衡图（单位：t/a）</w:t>
            </w:r>
          </w:p>
          <w:p w14:paraId="2E5CC1E6">
            <w:pPr>
              <w:adjustRightInd w:val="0"/>
              <w:snapToGrid w:val="0"/>
              <w:spacing w:line="500" w:lineRule="exact"/>
              <w:rPr>
                <w:rFonts w:hint="default" w:ascii="Times New Roman" w:hAnsi="Times New Roman" w:cs="Times New Roman" w:eastAsiaTheme="minorEastAsia"/>
                <w:b/>
                <w:bCs/>
                <w:color w:val="auto"/>
                <w:kern w:val="0"/>
                <w:sz w:val="21"/>
                <w:szCs w:val="21"/>
                <w:lang w:val="en-US" w:eastAsia="zh-CN"/>
              </w:rPr>
            </w:pPr>
          </w:p>
          <w:p w14:paraId="15E339EC">
            <w:pPr>
              <w:adjustRightInd w:val="0"/>
              <w:snapToGrid w:val="0"/>
              <w:spacing w:line="500" w:lineRule="exact"/>
              <w:rPr>
                <w:rFonts w:hint="default" w:ascii="Times New Roman" w:hAnsi="Times New Roman" w:cs="Times New Roman" w:eastAsiaTheme="minorEastAsia"/>
                <w:b/>
                <w:bCs/>
                <w:color w:val="auto"/>
                <w:kern w:val="0"/>
                <w:sz w:val="21"/>
                <w:szCs w:val="21"/>
                <w:lang w:val="en-US" w:eastAsia="zh-CN"/>
              </w:rPr>
            </w:pPr>
          </w:p>
          <w:p w14:paraId="26E1CF06">
            <w:pPr>
              <w:adjustRightInd w:val="0"/>
              <w:snapToGrid w:val="0"/>
              <w:spacing w:line="500" w:lineRule="exact"/>
              <w:rPr>
                <w:rFonts w:hint="default" w:ascii="Times New Roman" w:hAnsi="Times New Roman" w:cs="Times New Roman" w:eastAsiaTheme="minorEastAsia"/>
                <w:b/>
                <w:bCs/>
                <w:color w:val="auto"/>
                <w:kern w:val="0"/>
                <w:sz w:val="21"/>
                <w:szCs w:val="21"/>
                <w:lang w:val="en-US" w:eastAsia="zh-CN"/>
              </w:rPr>
            </w:pPr>
          </w:p>
          <w:p w14:paraId="486BDAFA">
            <w:pPr>
              <w:adjustRightInd w:val="0"/>
              <w:snapToGrid w:val="0"/>
              <w:spacing w:line="500" w:lineRule="exact"/>
              <w:rPr>
                <w:rFonts w:hint="default" w:ascii="Times New Roman" w:hAnsi="Times New Roman" w:cs="Times New Roman" w:eastAsiaTheme="minorEastAsia"/>
                <w:b/>
                <w:bCs/>
                <w:color w:val="auto"/>
                <w:kern w:val="0"/>
                <w:sz w:val="21"/>
                <w:szCs w:val="21"/>
                <w:lang w:val="en-US" w:eastAsia="zh-CN"/>
              </w:rPr>
            </w:pPr>
          </w:p>
          <w:p w14:paraId="51EB74EF">
            <w:pPr>
              <w:adjustRightInd w:val="0"/>
              <w:snapToGrid w:val="0"/>
              <w:spacing w:line="500" w:lineRule="exact"/>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bCs/>
                <w:color w:val="auto"/>
                <w:kern w:val="0"/>
                <w:sz w:val="21"/>
                <w:szCs w:val="21"/>
                <w:lang w:val="en-US" w:eastAsia="zh-CN"/>
              </w:rPr>
              <w:t>7</w:t>
            </w:r>
            <w:r>
              <w:rPr>
                <w:rFonts w:hint="default" w:ascii="Times New Roman" w:hAnsi="Times New Roman" w:cs="Times New Roman" w:eastAsiaTheme="minorEastAsia"/>
                <w:b/>
                <w:bCs/>
                <w:color w:val="auto"/>
                <w:kern w:val="0"/>
                <w:sz w:val="21"/>
                <w:szCs w:val="21"/>
              </w:rPr>
              <w:t>、劳动定员及工作制度</w:t>
            </w:r>
          </w:p>
          <w:p w14:paraId="0D5BD362">
            <w:pPr>
              <w:adjustRightInd w:val="0"/>
              <w:snapToGrid w:val="0"/>
              <w:spacing w:line="500" w:lineRule="exact"/>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w:t>
            </w:r>
            <w:r>
              <w:rPr>
                <w:rFonts w:hint="default" w:ascii="Times New Roman" w:hAnsi="Times New Roman" w:cs="Times New Roman" w:eastAsiaTheme="minorEastAsia"/>
                <w:color w:val="auto"/>
                <w:sz w:val="21"/>
                <w:szCs w:val="21"/>
                <w:lang w:eastAsia="zh-CN"/>
              </w:rPr>
              <w:t>劳动定员</w:t>
            </w:r>
            <w:r>
              <w:rPr>
                <w:rFonts w:hint="default" w:ascii="Times New Roman" w:hAnsi="Times New Roman" w:cs="Times New Roman" w:eastAsiaTheme="minorEastAsia"/>
                <w:color w:val="auto"/>
                <w:sz w:val="21"/>
                <w:szCs w:val="21"/>
              </w:rPr>
              <w:t>为</w:t>
            </w:r>
            <w:r>
              <w:rPr>
                <w:rFonts w:hint="eastAsia" w:cs="Times New Roman" w:eastAsiaTheme="minorEastAsia"/>
                <w:color w:val="auto"/>
                <w:sz w:val="21"/>
                <w:szCs w:val="21"/>
                <w:highlight w:val="none"/>
                <w:lang w:val="en-US" w:eastAsia="zh-CN"/>
              </w:rPr>
              <w:t>20</w:t>
            </w:r>
            <w:r>
              <w:rPr>
                <w:rFonts w:hint="default" w:ascii="Times New Roman" w:hAnsi="Times New Roman" w:cs="Times New Roman" w:eastAsiaTheme="minorEastAsia"/>
                <w:color w:val="auto"/>
                <w:sz w:val="21"/>
                <w:szCs w:val="21"/>
                <w:highlight w:val="none"/>
              </w:rPr>
              <w:t>人</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eastAsia="zh-CN"/>
              </w:rPr>
              <w:t>采</w:t>
            </w:r>
            <w:r>
              <w:rPr>
                <w:rFonts w:hint="default" w:ascii="Times New Roman" w:hAnsi="Times New Roman" w:cs="Times New Roman" w:eastAsiaTheme="minorEastAsia"/>
                <w:color w:val="auto"/>
                <w:sz w:val="21"/>
                <w:szCs w:val="21"/>
                <w:lang w:val="en-US" w:eastAsia="zh-CN"/>
              </w:rPr>
              <w:t>取</w:t>
            </w:r>
            <w:r>
              <w:rPr>
                <w:rFonts w:hint="eastAsia" w:ascii="Times New Roman" w:hAnsi="Times New Roman" w:cs="Times New Roman" w:eastAsiaTheme="minorEastAsia"/>
                <w:color w:val="auto"/>
                <w:sz w:val="21"/>
                <w:szCs w:val="21"/>
                <w:lang w:val="en-US" w:eastAsia="zh-CN"/>
              </w:rPr>
              <w:t>白班8h</w:t>
            </w:r>
            <w:r>
              <w:rPr>
                <w:rFonts w:hint="default" w:ascii="Times New Roman" w:hAnsi="Times New Roman" w:cs="Times New Roman" w:eastAsiaTheme="minorEastAsia"/>
                <w:color w:val="auto"/>
                <w:sz w:val="21"/>
                <w:szCs w:val="21"/>
                <w:lang w:val="en-US" w:eastAsia="zh-CN"/>
              </w:rPr>
              <w:t>，年工作</w:t>
            </w:r>
            <w:r>
              <w:rPr>
                <w:rFonts w:hint="default" w:ascii="Times New Roman" w:hAnsi="Times New Roman" w:cs="Times New Roman" w:eastAsiaTheme="minorEastAsia"/>
                <w:color w:val="auto"/>
                <w:sz w:val="21"/>
                <w:szCs w:val="21"/>
              </w:rPr>
              <w:t>日约300天，年工作</w:t>
            </w:r>
            <w:r>
              <w:rPr>
                <w:rFonts w:hint="eastAsia" w:cs="Times New Roman" w:eastAsiaTheme="minorEastAsia"/>
                <w:color w:val="auto"/>
                <w:sz w:val="21"/>
                <w:szCs w:val="21"/>
                <w:lang w:val="en-US" w:eastAsia="zh-CN"/>
              </w:rPr>
              <w:t>24</w:t>
            </w:r>
            <w:r>
              <w:rPr>
                <w:rFonts w:hint="default" w:ascii="Times New Roman" w:hAnsi="Times New Roman" w:cs="Times New Roman" w:eastAsiaTheme="minorEastAsia"/>
                <w:color w:val="auto"/>
                <w:sz w:val="21"/>
                <w:szCs w:val="21"/>
              </w:rPr>
              <w:t>00小时，厂内</w:t>
            </w:r>
            <w:r>
              <w:rPr>
                <w:rFonts w:hint="default" w:ascii="Times New Roman" w:hAnsi="Times New Roman" w:cs="Times New Roman" w:eastAsiaTheme="minorEastAsia"/>
                <w:color w:val="auto"/>
                <w:sz w:val="21"/>
                <w:szCs w:val="21"/>
                <w:lang w:eastAsia="zh-CN"/>
              </w:rPr>
              <w:t>不</w:t>
            </w:r>
            <w:r>
              <w:rPr>
                <w:rFonts w:hint="default" w:ascii="Times New Roman" w:hAnsi="Times New Roman" w:cs="Times New Roman" w:eastAsiaTheme="minorEastAsia"/>
                <w:color w:val="auto"/>
                <w:sz w:val="21"/>
                <w:szCs w:val="21"/>
              </w:rPr>
              <w:t>设</w:t>
            </w:r>
            <w:r>
              <w:rPr>
                <w:rFonts w:hint="default" w:ascii="Times New Roman" w:hAnsi="Times New Roman" w:cs="Times New Roman" w:eastAsiaTheme="minorEastAsia"/>
                <w:color w:val="auto"/>
                <w:sz w:val="21"/>
                <w:szCs w:val="21"/>
                <w:lang w:eastAsia="zh-CN"/>
              </w:rPr>
              <w:t>食堂、</w:t>
            </w:r>
            <w:r>
              <w:rPr>
                <w:rFonts w:hint="default" w:ascii="Times New Roman" w:hAnsi="Times New Roman" w:cs="Times New Roman" w:eastAsiaTheme="minorEastAsia"/>
                <w:color w:val="auto"/>
                <w:sz w:val="21"/>
                <w:szCs w:val="21"/>
                <w:lang w:val="en-US" w:eastAsia="zh-CN"/>
              </w:rPr>
              <w:t>浴室及宿舍</w:t>
            </w:r>
            <w:r>
              <w:rPr>
                <w:rFonts w:hint="default" w:ascii="Times New Roman" w:hAnsi="Times New Roman" w:cs="Times New Roman" w:eastAsiaTheme="minorEastAsia"/>
                <w:color w:val="auto"/>
                <w:sz w:val="21"/>
                <w:szCs w:val="21"/>
              </w:rPr>
              <w:t>。</w:t>
            </w:r>
          </w:p>
          <w:p w14:paraId="704DB5F8">
            <w:pPr>
              <w:adjustRightInd w:val="0"/>
              <w:snapToGrid w:val="0"/>
              <w:spacing w:line="500" w:lineRule="exact"/>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lang w:val="en-US" w:eastAsia="zh-CN"/>
              </w:rPr>
              <w:t>8</w:t>
            </w:r>
            <w:r>
              <w:rPr>
                <w:rFonts w:hint="default" w:ascii="Times New Roman" w:hAnsi="Times New Roman" w:cs="Times New Roman" w:eastAsiaTheme="minorEastAsia"/>
                <w:b/>
                <w:color w:val="auto"/>
                <w:sz w:val="21"/>
                <w:szCs w:val="21"/>
              </w:rPr>
              <w:t>、厂区平面布置</w:t>
            </w:r>
          </w:p>
          <w:p w14:paraId="19F678AD">
            <w:pPr>
              <w:spacing w:line="500" w:lineRule="exact"/>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项目</w:t>
            </w:r>
            <w:r>
              <w:rPr>
                <w:rFonts w:hint="eastAsia" w:cs="Times New Roman" w:eastAsiaTheme="minorEastAsia"/>
                <w:color w:val="auto"/>
                <w:sz w:val="21"/>
                <w:szCs w:val="21"/>
                <w:highlight w:val="none"/>
                <w:lang w:val="en-US" w:eastAsia="zh-CN"/>
              </w:rPr>
              <w:t>租用</w:t>
            </w:r>
            <w:r>
              <w:rPr>
                <w:rFonts w:hint="eastAsia" w:ascii="Times New Roman" w:hAnsi="Times New Roman" w:eastAsia="宋体" w:cs="Times New Roman"/>
                <w:color w:val="auto"/>
                <w:sz w:val="21"/>
                <w:szCs w:val="21"/>
                <w:lang w:val="en-US" w:eastAsia="zh-CN"/>
              </w:rPr>
              <w:t>江苏茂泰管业科技有限公司位于常州市金坛区朱林镇创业路101号的闲置厂房生产</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江苏茂泰管业科技有限公司厂区设有3栋建筑（1#厂房、2#厂房、3#厂房），1#厂房租赁给江苏尔朗科技有限公司和日正升汽车科技(常州)有限公司使用，2#厂房租赁给本项目使用，3#厂房闲置</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sz w:val="21"/>
                <w:szCs w:val="21"/>
                <w:lang w:val="en-US" w:eastAsia="zh-CN"/>
              </w:rPr>
              <w:t>车</w:t>
            </w:r>
            <w:r>
              <w:rPr>
                <w:rFonts w:hint="default" w:ascii="Times New Roman" w:hAnsi="Times New Roman" w:cs="Times New Roman"/>
                <w:color w:val="auto"/>
                <w:sz w:val="21"/>
                <w:szCs w:val="21"/>
                <w:lang w:val="en-US" w:eastAsia="zh-CN"/>
              </w:rPr>
              <w:t>间</w:t>
            </w:r>
            <w:r>
              <w:rPr>
                <w:rFonts w:hint="eastAsia" w:cs="Times New Roman"/>
                <w:color w:val="auto"/>
                <w:sz w:val="21"/>
                <w:szCs w:val="21"/>
                <w:lang w:val="en-US" w:eastAsia="zh-CN"/>
              </w:rPr>
              <w:t>东</w:t>
            </w:r>
            <w:r>
              <w:rPr>
                <w:rFonts w:hint="default" w:ascii="Times New Roman" w:hAnsi="Times New Roman" w:cs="Times New Roman"/>
                <w:color w:val="auto"/>
                <w:sz w:val="21"/>
                <w:szCs w:val="21"/>
                <w:lang w:val="en-US" w:eastAsia="zh-CN"/>
              </w:rPr>
              <w:t>侧为</w:t>
            </w:r>
            <w:r>
              <w:rPr>
                <w:rFonts w:hint="eastAsia" w:cs="Times New Roman"/>
                <w:color w:val="auto"/>
                <w:sz w:val="21"/>
                <w:szCs w:val="21"/>
                <w:lang w:val="en-US" w:eastAsia="zh-CN"/>
              </w:rPr>
              <w:t>原料仓库和成品仓库，车间西侧为生产区</w:t>
            </w:r>
            <w:r>
              <w:rPr>
                <w:rFonts w:hint="default" w:ascii="Times New Roman" w:hAnsi="Times New Roman" w:cs="Times New Roman" w:eastAsiaTheme="minorEastAsia"/>
                <w:color w:val="auto"/>
                <w:sz w:val="21"/>
                <w:szCs w:val="21"/>
                <w:lang w:val="en-US" w:eastAsia="zh-CN"/>
              </w:rPr>
              <w:t>。项目厂区平面布置图详见附图3。</w:t>
            </w:r>
          </w:p>
          <w:p w14:paraId="132AA665">
            <w:pPr>
              <w:adjustRightInd w:val="0"/>
              <w:snapToGrid w:val="0"/>
              <w:spacing w:line="500" w:lineRule="exact"/>
              <w:rPr>
                <w:rFonts w:hint="default" w:ascii="Times New Roman" w:hAnsi="Times New Roman" w:cs="Times New Roman" w:eastAsiaTheme="minorEastAsia"/>
                <w:b/>
                <w:color w:val="auto"/>
                <w:sz w:val="21"/>
                <w:szCs w:val="21"/>
                <w:lang w:val="en-US" w:eastAsia="zh-CN"/>
              </w:rPr>
            </w:pPr>
            <w:r>
              <w:rPr>
                <w:rFonts w:hint="default" w:ascii="Times New Roman" w:hAnsi="Times New Roman" w:cs="Times New Roman" w:eastAsiaTheme="minorEastAsia"/>
                <w:b/>
                <w:color w:val="auto"/>
                <w:sz w:val="21"/>
                <w:szCs w:val="21"/>
                <w:lang w:val="en-US" w:eastAsia="zh-CN"/>
              </w:rPr>
              <w:t>9、厂区周围概况</w:t>
            </w:r>
          </w:p>
          <w:p w14:paraId="0E295B3C">
            <w:pPr>
              <w:spacing w:line="500" w:lineRule="exact"/>
              <w:ind w:firstLine="420" w:firstLineChars="200"/>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项目</w:t>
            </w:r>
            <w:r>
              <w:rPr>
                <w:rFonts w:hint="eastAsia" w:cs="Times New Roman" w:eastAsiaTheme="minorEastAsia"/>
                <w:color w:val="auto"/>
                <w:sz w:val="21"/>
                <w:szCs w:val="21"/>
                <w:highlight w:val="none"/>
                <w:lang w:val="en-US" w:eastAsia="zh-CN"/>
              </w:rPr>
              <w:t>租用江苏茂泰管业科技有限公司位于常州市金坛区朱林镇创业路101号的厂房生产</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bCs/>
                <w:color w:val="auto"/>
                <w:sz w:val="21"/>
                <w:szCs w:val="21"/>
                <w:lang w:eastAsia="zh-CN"/>
              </w:rPr>
              <w:t>江苏茂泰管业科技有限公司</w:t>
            </w:r>
            <w:r>
              <w:rPr>
                <w:rFonts w:hint="default" w:ascii="Times New Roman" w:hAnsi="Times New Roman" w:cs="Times New Roman"/>
                <w:bCs/>
                <w:color w:val="auto"/>
                <w:sz w:val="21"/>
                <w:szCs w:val="21"/>
                <w:lang w:eastAsia="zh-CN"/>
              </w:rPr>
              <w:t>厂区</w:t>
            </w:r>
            <w:r>
              <w:rPr>
                <w:rFonts w:hint="eastAsia" w:ascii="Times New Roman" w:hAnsi="Times New Roman" w:cs="Times New Roman"/>
                <w:bCs/>
                <w:color w:val="auto"/>
                <w:sz w:val="21"/>
                <w:szCs w:val="21"/>
                <w:lang w:eastAsia="zh-CN"/>
              </w:rPr>
              <w:t>东侧为</w:t>
            </w:r>
            <w:r>
              <w:rPr>
                <w:rFonts w:hint="eastAsia" w:ascii="Times New Roman" w:hAnsi="Times New Roman" w:cs="Times New Roman"/>
                <w:bCs/>
                <w:color w:val="auto"/>
                <w:sz w:val="21"/>
                <w:szCs w:val="21"/>
                <w:lang w:val="en-US" w:eastAsia="zh-CN"/>
              </w:rPr>
              <w:t>永顺路</w:t>
            </w:r>
            <w:r>
              <w:rPr>
                <w:rFonts w:hint="eastAsia" w:ascii="Times New Roman" w:hAnsi="Times New Roman" w:cs="Times New Roman"/>
                <w:bCs/>
                <w:color w:val="auto"/>
                <w:sz w:val="21"/>
                <w:szCs w:val="21"/>
                <w:lang w:eastAsia="zh-CN"/>
              </w:rPr>
              <w:t>；南侧为</w:t>
            </w:r>
            <w:r>
              <w:rPr>
                <w:rFonts w:hint="eastAsia" w:ascii="Times New Roman" w:hAnsi="Times New Roman" w:cs="Times New Roman"/>
                <w:bCs/>
                <w:color w:val="auto"/>
                <w:sz w:val="21"/>
                <w:szCs w:val="21"/>
                <w:lang w:val="en-US" w:eastAsia="zh-CN"/>
              </w:rPr>
              <w:t>创业路</w:t>
            </w:r>
            <w:r>
              <w:rPr>
                <w:rFonts w:hint="eastAsia" w:ascii="Times New Roman" w:hAnsi="Times New Roman" w:cs="Times New Roman"/>
                <w:bCs/>
                <w:color w:val="auto"/>
                <w:sz w:val="21"/>
                <w:szCs w:val="21"/>
                <w:lang w:eastAsia="zh-CN"/>
              </w:rPr>
              <w:t>；西侧为常州京洋半导体材料科技有限公司；北侧为</w:t>
            </w:r>
            <w:r>
              <w:rPr>
                <w:rFonts w:hint="eastAsia" w:ascii="Times New Roman" w:hAnsi="Times New Roman" w:cs="Times New Roman"/>
                <w:bCs/>
                <w:color w:val="auto"/>
                <w:sz w:val="21"/>
                <w:szCs w:val="21"/>
                <w:lang w:val="en-US" w:eastAsia="zh-CN"/>
              </w:rPr>
              <w:t>江苏科奇新材料科技有限公司</w:t>
            </w:r>
            <w:r>
              <w:rPr>
                <w:rFonts w:hint="default" w:ascii="Times New Roman" w:hAnsi="Times New Roman" w:cs="Times New Roman" w:eastAsiaTheme="minorEastAsia"/>
                <w:color w:val="auto"/>
                <w:sz w:val="21"/>
                <w:szCs w:val="21"/>
                <w:lang w:val="en-US" w:eastAsia="zh-CN"/>
              </w:rPr>
              <w:t>。项目周边500米范围土地利用现状见附图2。</w:t>
            </w:r>
          </w:p>
        </w:tc>
      </w:tr>
      <w:tr w14:paraId="25A06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4" w:hRule="atLeast"/>
        </w:trPr>
        <w:tc>
          <w:tcPr>
            <w:tcW w:w="777" w:type="dxa"/>
            <w:vAlign w:val="center"/>
          </w:tcPr>
          <w:p w14:paraId="090522F7">
            <w:pPr>
              <w:pStyle w:val="25"/>
              <w:adjustRightInd w:val="0"/>
              <w:snapToGrid w:val="0"/>
              <w:spacing w:before="0" w:beforeAutospacing="0" w:after="0" w:afterAutospacing="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工艺流程和产排污环节</w:t>
            </w:r>
          </w:p>
        </w:tc>
        <w:tc>
          <w:tcPr>
            <w:tcW w:w="8283" w:type="dxa"/>
          </w:tcPr>
          <w:p w14:paraId="66916221">
            <w:pPr>
              <w:numPr>
                <w:ilvl w:val="0"/>
                <w:numId w:val="5"/>
              </w:numPr>
              <w:adjustRightInd w:val="0"/>
              <w:snapToGrid w:val="0"/>
              <w:spacing w:line="500" w:lineRule="exact"/>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施工期</w:t>
            </w:r>
          </w:p>
          <w:p w14:paraId="0DFE6A3B">
            <w:pPr>
              <w:adjustRightInd w:val="0"/>
              <w:snapToGrid w:val="0"/>
              <w:spacing w:line="500" w:lineRule="exact"/>
              <w:ind w:firstLine="420" w:firstLineChars="200"/>
              <w:rPr>
                <w:rFonts w:hint="default" w:ascii="Times New Roman" w:hAnsi="Times New Roman" w:cs="Times New Roman" w:eastAsiaTheme="minorEastAsia"/>
                <w:b w:val="0"/>
                <w:bCs w:val="0"/>
                <w:color w:val="auto"/>
                <w:sz w:val="21"/>
                <w:szCs w:val="21"/>
                <w:lang w:eastAsia="zh-CN"/>
              </w:rPr>
            </w:pPr>
            <w:r>
              <w:rPr>
                <w:rFonts w:hint="eastAsia" w:ascii="Times New Roman" w:hAnsi="Times New Roman" w:eastAsia="宋体" w:cs="Times New Roman"/>
                <w:color w:val="auto"/>
                <w:sz w:val="21"/>
                <w:szCs w:val="21"/>
                <w:highlight w:val="none"/>
                <w:lang w:eastAsia="zh-CN"/>
              </w:rPr>
              <w:t>本项目</w:t>
            </w:r>
            <w:r>
              <w:rPr>
                <w:rFonts w:hint="eastAsia" w:ascii="Times New Roman" w:hAnsi="Times New Roman" w:eastAsia="宋体" w:cs="Times New Roman"/>
                <w:color w:val="auto"/>
                <w:sz w:val="21"/>
                <w:szCs w:val="21"/>
                <w:highlight w:val="none"/>
                <w:lang w:val="en-US" w:eastAsia="zh-CN"/>
              </w:rPr>
              <w:t>租用已建空置厂房</w:t>
            </w:r>
            <w:r>
              <w:rPr>
                <w:rFonts w:hint="eastAsia" w:ascii="Times New Roman" w:hAnsi="Times New Roman" w:eastAsia="宋体" w:cs="Times New Roman"/>
                <w:color w:val="auto"/>
                <w:sz w:val="21"/>
                <w:szCs w:val="21"/>
                <w:highlight w:val="none"/>
                <w:lang w:eastAsia="zh-CN"/>
              </w:rPr>
              <w:t>进行生产，施工期仅涉及车间内部装修及设备安装，其影响范围小、程度轻、时间短。施工期产污环节主要是设备安装产生的噪声、施工人员生活污水、生活垃圾以及装修过程产生的装修垃圾。考虑施工期环境影响微弱，本评价主要针对营运期影响进行分析</w:t>
            </w:r>
            <w:r>
              <w:rPr>
                <w:rFonts w:hint="default" w:ascii="Times New Roman" w:hAnsi="Times New Roman" w:cs="Times New Roman" w:eastAsiaTheme="minorEastAsia"/>
                <w:b w:val="0"/>
                <w:bCs w:val="0"/>
                <w:color w:val="auto"/>
                <w:sz w:val="21"/>
                <w:szCs w:val="21"/>
                <w:lang w:eastAsia="zh-CN"/>
              </w:rPr>
              <w:t>。</w:t>
            </w:r>
          </w:p>
          <w:p w14:paraId="16F4BDF5">
            <w:pPr>
              <w:numPr>
                <w:ilvl w:val="0"/>
                <w:numId w:val="0"/>
              </w:numPr>
              <w:adjustRightInd w:val="0"/>
              <w:snapToGrid w:val="0"/>
              <w:spacing w:line="500" w:lineRule="exact"/>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二、运营期</w:t>
            </w:r>
          </w:p>
          <w:p w14:paraId="46DE9CD0">
            <w:pPr>
              <w:adjustRightInd w:val="0"/>
              <w:snapToGrid w:val="0"/>
              <w:spacing w:line="500" w:lineRule="exact"/>
              <w:ind w:firstLine="422" w:firstLineChars="200"/>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1、生产工艺流程</w:t>
            </w:r>
          </w:p>
          <w:p w14:paraId="61697813">
            <w:pPr>
              <w:pStyle w:val="2"/>
              <w:numPr>
                <w:ilvl w:val="0"/>
                <w:numId w:val="0"/>
              </w:numPr>
              <w:ind w:right="113" w:rightChars="0"/>
              <w:jc w:val="center"/>
              <w:rPr>
                <w:rFonts w:hint="default" w:ascii="Times New Roman" w:hAnsi="Times New Roman" w:cs="Times New Roman" w:eastAsiaTheme="minorEastAsia"/>
                <w:color w:val="auto"/>
                <w:sz w:val="21"/>
                <w:szCs w:val="21"/>
                <w:lang w:val="en-US" w:eastAsia="zh-CN"/>
              </w:rPr>
            </w:pPr>
            <w:r>
              <w:rPr>
                <w:color w:val="auto"/>
                <w:sz w:val="21"/>
                <w:szCs w:val="21"/>
              </w:rPr>
              <w:drawing>
                <wp:inline distT="0" distB="0" distL="114300" distR="114300">
                  <wp:extent cx="3914775" cy="5514975"/>
                  <wp:effectExtent l="0" t="0" r="1905" b="190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7"/>
                          <a:stretch>
                            <a:fillRect/>
                          </a:stretch>
                        </pic:blipFill>
                        <pic:spPr>
                          <a:xfrm>
                            <a:off x="0" y="0"/>
                            <a:ext cx="3914775" cy="5514975"/>
                          </a:xfrm>
                          <a:prstGeom prst="rect">
                            <a:avLst/>
                          </a:prstGeom>
                          <a:noFill/>
                          <a:ln>
                            <a:noFill/>
                          </a:ln>
                        </pic:spPr>
                      </pic:pic>
                    </a:graphicData>
                  </a:graphic>
                </wp:inline>
              </w:drawing>
            </w:r>
          </w:p>
          <w:p w14:paraId="58457DE5">
            <w:pPr>
              <w:pStyle w:val="11"/>
              <w:keepNext w:val="0"/>
              <w:keepLines w:val="0"/>
              <w:pageBreakBefore w:val="0"/>
              <w:widowControl w:val="0"/>
              <w:kinsoku/>
              <w:wordWrap/>
              <w:overflowPunct/>
              <w:topLinePunct w:val="0"/>
              <w:autoSpaceDE/>
              <w:autoSpaceDN/>
              <w:bidi w:val="0"/>
              <w:adjustRightInd w:val="0"/>
              <w:snapToGrid w:val="0"/>
              <w:spacing w:before="120" w:after="0" w:line="240" w:lineRule="auto"/>
              <w:ind w:left="0" w:leftChars="0" w:right="0" w:rightChars="0"/>
              <w:jc w:val="center"/>
              <w:textAlignment w:val="auto"/>
              <w:rPr>
                <w:rFonts w:hint="default" w:ascii="Times New Roman" w:hAnsi="Times New Roman" w:cs="Times New Roman" w:eastAsiaTheme="minorEastAsia"/>
                <w:b/>
                <w:color w:val="auto"/>
                <w:sz w:val="21"/>
                <w:szCs w:val="21"/>
                <w:highlight w:val="none"/>
                <w:lang w:val="en-US" w:eastAsia="zh-CN"/>
              </w:rPr>
            </w:pPr>
            <w:r>
              <w:rPr>
                <w:rFonts w:hint="default" w:ascii="Times New Roman" w:hAnsi="Times New Roman" w:cs="Times New Roman" w:eastAsiaTheme="minorEastAsia"/>
                <w:color w:val="auto"/>
                <w:sz w:val="21"/>
                <w:szCs w:val="21"/>
              </w:rPr>
              <w:drawing>
                <wp:inline distT="0" distB="0" distL="114300" distR="114300">
                  <wp:extent cx="635" cy="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8"/>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eastAsiaTheme="minorEastAsia"/>
                <w:color w:val="auto"/>
                <w:sz w:val="21"/>
                <w:szCs w:val="21"/>
              </w:rPr>
              <w:drawing>
                <wp:inline distT="0" distB="0" distL="114300" distR="114300">
                  <wp:extent cx="635" cy="0"/>
                  <wp:effectExtent l="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8"/>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eastAsiaTheme="minorEastAsia"/>
                <w:color w:val="auto"/>
                <w:sz w:val="21"/>
                <w:szCs w:val="21"/>
              </w:rPr>
              <w:drawing>
                <wp:inline distT="0" distB="0" distL="114300" distR="114300">
                  <wp:extent cx="635" cy="0"/>
                  <wp:effectExtent l="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9"/>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eastAsiaTheme="minorEastAsia"/>
                <w:b/>
                <w:color w:val="auto"/>
                <w:sz w:val="21"/>
                <w:szCs w:val="21"/>
                <w:highlight w:val="none"/>
                <w:lang w:val="en-US" w:eastAsia="zh-CN"/>
              </w:rPr>
              <w:t>图2-</w:t>
            </w:r>
            <w:r>
              <w:rPr>
                <w:rFonts w:hint="eastAsia" w:ascii="Times New Roman" w:hAnsi="Times New Roman" w:cs="Times New Roman" w:eastAsiaTheme="minorEastAsia"/>
                <w:b/>
                <w:color w:val="auto"/>
                <w:sz w:val="21"/>
                <w:szCs w:val="21"/>
                <w:highlight w:val="none"/>
                <w:lang w:val="en-US" w:eastAsia="zh-CN"/>
              </w:rPr>
              <w:t xml:space="preserve">2 </w:t>
            </w:r>
            <w:r>
              <w:rPr>
                <w:rFonts w:hint="default" w:ascii="Times New Roman" w:hAnsi="Times New Roman" w:cs="Times New Roman" w:eastAsiaTheme="minorEastAsia"/>
                <w:b/>
                <w:color w:val="auto"/>
                <w:sz w:val="21"/>
                <w:szCs w:val="21"/>
                <w:highlight w:val="none"/>
                <w:lang w:val="en-US" w:eastAsia="zh-CN"/>
              </w:rPr>
              <w:t>项目生产工艺流程及产污环节图</w:t>
            </w:r>
          </w:p>
          <w:p w14:paraId="573C943F">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1"/>
                <w:szCs w:val="21"/>
                <w:highlight w:val="none"/>
                <w:lang w:val="en-US" w:eastAsia="zh-CN"/>
              </w:rPr>
            </w:pPr>
          </w:p>
          <w:p w14:paraId="70E7A147">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工艺流程说明：</w:t>
            </w:r>
          </w:p>
          <w:p w14:paraId="7C092877">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500" w:lineRule="exact"/>
              <w:ind w:left="0" w:lef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印刷：通过印刷机将</w:t>
            </w:r>
            <w:r>
              <w:rPr>
                <w:rFonts w:hint="eastAsia" w:cs="Times New Roman"/>
                <w:color w:val="auto"/>
                <w:sz w:val="21"/>
                <w:szCs w:val="21"/>
                <w:highlight w:val="none"/>
                <w:lang w:val="en-US" w:eastAsia="zh-CN"/>
              </w:rPr>
              <w:t>水性</w:t>
            </w:r>
            <w:r>
              <w:rPr>
                <w:rFonts w:hint="default" w:ascii="Times New Roman" w:hAnsi="Times New Roman" w:eastAsia="宋体" w:cs="Times New Roman"/>
                <w:color w:val="auto"/>
                <w:sz w:val="21"/>
                <w:szCs w:val="21"/>
                <w:highlight w:val="none"/>
                <w:lang w:val="en-US" w:eastAsia="zh-CN"/>
              </w:rPr>
              <w:t>油墨转印到</w:t>
            </w:r>
            <w:r>
              <w:rPr>
                <w:rFonts w:hint="eastAsia" w:ascii="Times New Roman" w:hAnsi="Times New Roman" w:eastAsia="宋体" w:cs="Times New Roman"/>
                <w:color w:val="auto"/>
                <w:sz w:val="21"/>
                <w:szCs w:val="21"/>
                <w:highlight w:val="none"/>
                <w:lang w:val="en-US" w:eastAsia="zh-CN"/>
              </w:rPr>
              <w:t>塑料膜</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PET膜、BOPP膜、CPP</w:t>
            </w:r>
            <w:r>
              <w:rPr>
                <w:rFonts w:hint="default" w:ascii="Times New Roman" w:hAnsi="Times New Roman" w:eastAsia="宋体" w:cs="Times New Roman"/>
                <w:color w:val="auto"/>
                <w:sz w:val="21"/>
                <w:szCs w:val="21"/>
                <w:highlight w:val="none"/>
                <w:lang w:val="en-US" w:eastAsia="zh-CN"/>
              </w:rPr>
              <w:t>薄膜</w:t>
            </w:r>
            <w:r>
              <w:rPr>
                <w:rFonts w:hint="eastAsia" w:ascii="Times New Roman" w:hAnsi="Times New Roman" w:eastAsia="宋体" w:cs="Times New Roman"/>
                <w:color w:val="auto"/>
                <w:sz w:val="21"/>
                <w:szCs w:val="21"/>
                <w:highlight w:val="none"/>
                <w:lang w:val="en-US" w:eastAsia="zh-CN"/>
              </w:rPr>
              <w:t>等</w:t>
            </w:r>
            <w:r>
              <w:rPr>
                <w:rFonts w:hint="default" w:ascii="Times New Roman" w:hAnsi="Times New Roman" w:eastAsia="宋体" w:cs="Times New Roman"/>
                <w:color w:val="auto"/>
                <w:sz w:val="21"/>
                <w:szCs w:val="21"/>
                <w:highlight w:val="none"/>
                <w:lang w:val="en-US" w:eastAsia="zh-CN"/>
              </w:rPr>
              <w:t>）表面上，</w:t>
            </w:r>
            <w:r>
              <w:rPr>
                <w:rFonts w:hint="eastAsia" w:ascii="Times New Roman" w:hAnsi="Times New Roman" w:eastAsia="宋体" w:cs="Times New Roman"/>
                <w:color w:val="auto"/>
                <w:sz w:val="21"/>
                <w:szCs w:val="21"/>
                <w:highlight w:val="none"/>
                <w:lang w:val="en-US" w:eastAsia="zh-CN"/>
              </w:rPr>
              <w:t>采用凹印工艺，</w:t>
            </w:r>
            <w:r>
              <w:rPr>
                <w:rFonts w:hint="default" w:ascii="Times New Roman" w:hAnsi="Times New Roman" w:eastAsia="宋体" w:cs="Times New Roman"/>
                <w:color w:val="auto"/>
                <w:sz w:val="21"/>
                <w:szCs w:val="21"/>
                <w:highlight w:val="none"/>
                <w:lang w:val="en-US" w:eastAsia="zh-CN"/>
              </w:rPr>
              <w:t>印刷机</w:t>
            </w:r>
            <w:r>
              <w:rPr>
                <w:rFonts w:hint="eastAsia" w:ascii="Times New Roman" w:hAnsi="Times New Roman" w:eastAsia="宋体" w:cs="Times New Roman"/>
                <w:color w:val="auto"/>
                <w:sz w:val="21"/>
                <w:szCs w:val="21"/>
                <w:highlight w:val="none"/>
                <w:lang w:val="en-US" w:eastAsia="zh-CN"/>
              </w:rPr>
              <w:t>墨辊的图文均委外制作。</w:t>
            </w:r>
            <w:r>
              <w:rPr>
                <w:rFonts w:hint="default" w:ascii="Times New Roman" w:hAnsi="Times New Roman" w:eastAsia="宋体" w:cs="Times New Roman"/>
                <w:color w:val="auto"/>
                <w:sz w:val="21"/>
                <w:szCs w:val="21"/>
                <w:highlight w:val="none"/>
                <w:lang w:val="en-US" w:eastAsia="zh-CN"/>
              </w:rPr>
              <w:t>印刷机采用电加热，加热温度为</w:t>
            </w:r>
            <w:r>
              <w:rPr>
                <w:rFonts w:hint="eastAsia" w:ascii="Times New Roman" w:hAnsi="Times New Roman" w:eastAsia="宋体" w:cs="Times New Roman"/>
                <w:color w:val="auto"/>
                <w:sz w:val="21"/>
                <w:szCs w:val="21"/>
                <w:highlight w:val="none"/>
                <w:lang w:val="en-US" w:eastAsia="zh-CN"/>
              </w:rPr>
              <w:t>65</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左右</w:t>
            </w:r>
            <w:r>
              <w:rPr>
                <w:rFonts w:hint="default" w:ascii="Times New Roman" w:hAnsi="Times New Roman" w:eastAsia="宋体" w:cs="Times New Roman"/>
                <w:color w:val="auto"/>
                <w:sz w:val="21"/>
                <w:szCs w:val="21"/>
                <w:highlight w:val="none"/>
                <w:lang w:val="en-US" w:eastAsia="zh-CN"/>
              </w:rPr>
              <w:t>。印刷过程油墨中可挥发性组分挥发产生有机废气</w:t>
            </w:r>
            <w:r>
              <w:rPr>
                <w:rFonts w:hint="eastAsia" w:ascii="Times New Roman" w:hAnsi="Times New Roman" w:eastAsia="宋体" w:cs="Times New Roman"/>
                <w:color w:val="auto"/>
                <w:sz w:val="21"/>
                <w:szCs w:val="21"/>
                <w:highlight w:val="none"/>
                <w:lang w:val="en-US" w:eastAsia="zh-CN"/>
              </w:rPr>
              <w:t>(G</w:t>
            </w:r>
            <w:r>
              <w:rPr>
                <w:rFonts w:hint="eastAsia"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；项目印刷机</w:t>
            </w:r>
            <w:r>
              <w:rPr>
                <w:rFonts w:hint="eastAsia" w:ascii="Times New Roman" w:hAnsi="Times New Roman" w:eastAsia="宋体" w:cs="Times New Roman"/>
                <w:color w:val="auto"/>
                <w:sz w:val="21"/>
                <w:szCs w:val="21"/>
                <w:highlight w:val="none"/>
                <w:lang w:val="en-US" w:eastAsia="zh-CN"/>
              </w:rPr>
              <w:t>墨辊</w:t>
            </w:r>
            <w:r>
              <w:rPr>
                <w:rFonts w:hint="default" w:ascii="Times New Roman" w:hAnsi="Times New Roman" w:eastAsia="宋体" w:cs="Times New Roman"/>
                <w:color w:val="auto"/>
                <w:sz w:val="21"/>
                <w:szCs w:val="21"/>
                <w:highlight w:val="none"/>
                <w:lang w:val="en-US" w:eastAsia="zh-CN"/>
              </w:rPr>
              <w:t>定期</w:t>
            </w:r>
            <w:r>
              <w:rPr>
                <w:rFonts w:hint="eastAsia" w:cs="Times New Roman"/>
                <w:color w:val="auto"/>
                <w:sz w:val="21"/>
                <w:szCs w:val="21"/>
                <w:highlight w:val="none"/>
                <w:lang w:val="en-US" w:eastAsia="zh-CN"/>
              </w:rPr>
              <w:t>用抹布擦拭</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清洁过程产生</w:t>
            </w:r>
            <w:r>
              <w:rPr>
                <w:rFonts w:hint="eastAsia" w:cs="Times New Roman"/>
                <w:color w:val="auto"/>
                <w:sz w:val="21"/>
                <w:szCs w:val="21"/>
                <w:highlight w:val="none"/>
                <w:lang w:val="en-US" w:eastAsia="zh-CN"/>
              </w:rPr>
              <w:t>含油墨废抹布</w:t>
            </w:r>
            <w:r>
              <w:rPr>
                <w:rFonts w:hint="default" w:ascii="Times New Roman" w:hAnsi="Times New Roman" w:eastAsia="宋体" w:cs="Times New Roman"/>
                <w:color w:val="auto"/>
                <w:sz w:val="21"/>
                <w:szCs w:val="21"/>
                <w:highlight w:val="none"/>
                <w:lang w:val="en-US" w:eastAsia="zh-CN"/>
              </w:rPr>
              <w:t>（S</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w:t>
            </w:r>
          </w:p>
          <w:p w14:paraId="37124803">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500" w:lineRule="exact"/>
              <w:ind w:left="0" w:lef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复合：通过复合机将将胶水均匀涂布于塑料膜的一面，随后与另一张未经处理的塑料膜进行复合。复合机同样采用电加热，加热温度区间控制在40-70℃。由于此温度未达到塑料膜的熔融阈值，塑料膜本身不会释放有机废气；但胶水中的可挥发性组分在加热条件下会挥发，产生有机废气</w:t>
            </w:r>
            <w:r>
              <w:rPr>
                <w:rFonts w:hint="eastAsia" w:ascii="Times New Roman" w:hAnsi="Times New Roman" w:eastAsia="宋体" w:cs="Times New Roman"/>
                <w:color w:val="auto"/>
                <w:sz w:val="21"/>
                <w:szCs w:val="21"/>
                <w:highlight w:val="none"/>
                <w:lang w:val="en-US" w:eastAsia="zh-CN"/>
              </w:rPr>
              <w:t>(G</w:t>
            </w:r>
            <w:r>
              <w:rPr>
                <w:rFonts w:hint="eastAsia"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p>
          <w:p w14:paraId="1EF635D7">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500" w:lineRule="exact"/>
              <w:ind w:left="0" w:lef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熟化：</w:t>
            </w:r>
            <w:r>
              <w:rPr>
                <w:rFonts w:hint="default" w:ascii="Times New Roman" w:hAnsi="Times New Roman" w:eastAsia="宋体" w:cs="Times New Roman"/>
                <w:color w:val="auto"/>
                <w:sz w:val="21"/>
                <w:szCs w:val="21"/>
                <w:highlight w:val="none"/>
                <w:lang w:val="en-US" w:eastAsia="zh-CN"/>
              </w:rPr>
              <w:t>复合后的薄膜将被运送至密闭熟化室进行烘干处理。熟化室通过电加热维持 50℃恒温，持续烘干12小时。因熟化温度未触及塑料膜熔融点，塑料膜无有机废气释放；而油墨和胶水中残留的挥发性有机物会在此过程中继续挥发，形成有机废气</w:t>
            </w:r>
            <w:r>
              <w:rPr>
                <w:rFonts w:hint="eastAsia" w:ascii="Times New Roman" w:hAnsi="Times New Roman" w:eastAsia="宋体" w:cs="Times New Roman"/>
                <w:color w:val="auto"/>
                <w:sz w:val="21"/>
                <w:szCs w:val="21"/>
                <w:highlight w:val="none"/>
                <w:lang w:val="en-US" w:eastAsia="zh-CN"/>
              </w:rPr>
              <w:t>(G</w:t>
            </w:r>
            <w:r>
              <w:rPr>
                <w:rFonts w:hint="eastAsia"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w:t>
            </w:r>
          </w:p>
          <w:p w14:paraId="5CDA0A23">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500" w:lineRule="exact"/>
              <w:ind w:left="0" w:lef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分切：经过熟化的复合塑料膜将由</w:t>
            </w:r>
            <w:r>
              <w:rPr>
                <w:rFonts w:hint="eastAsia" w:cs="Times New Roman"/>
                <w:color w:val="auto"/>
                <w:sz w:val="21"/>
                <w:szCs w:val="21"/>
                <w:highlight w:val="none"/>
                <w:lang w:val="en-US" w:eastAsia="zh-CN"/>
              </w:rPr>
              <w:t>复合机</w:t>
            </w:r>
            <w:r>
              <w:rPr>
                <w:rFonts w:hint="default" w:ascii="Times New Roman" w:hAnsi="Times New Roman" w:eastAsia="宋体" w:cs="Times New Roman"/>
                <w:color w:val="auto"/>
                <w:sz w:val="21"/>
                <w:szCs w:val="21"/>
                <w:highlight w:val="none"/>
                <w:lang w:val="en-US" w:eastAsia="zh-CN"/>
              </w:rPr>
              <w:t>进行切割，最终切成宽度为3-5cm 的长条即为塑料膜成品。分切过程中会产生少量</w:t>
            </w:r>
            <w:r>
              <w:rPr>
                <w:rFonts w:hint="eastAsia" w:ascii="Times New Roman" w:hAnsi="Times New Roman" w:eastAsia="宋体" w:cs="Times New Roman"/>
                <w:color w:val="auto"/>
                <w:sz w:val="21"/>
                <w:szCs w:val="21"/>
                <w:highlight w:val="none"/>
                <w:lang w:val="en-US" w:eastAsia="zh-CN"/>
              </w:rPr>
              <w:t>边角料(S</w:t>
            </w:r>
            <w:r>
              <w:rPr>
                <w:rFonts w:hint="eastAsia"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w:t>
            </w:r>
          </w:p>
          <w:p w14:paraId="2ACB1A7B">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500" w:lineRule="exact"/>
              <w:ind w:left="0" w:lef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制袋：</w:t>
            </w:r>
            <w:r>
              <w:rPr>
                <w:rFonts w:hint="eastAsia" w:ascii="Times New Roman" w:hAnsi="Times New Roman" w:eastAsia="宋体" w:cs="Times New Roman"/>
                <w:color w:val="auto"/>
                <w:sz w:val="21"/>
                <w:szCs w:val="21"/>
                <w:highlight w:val="none"/>
                <w:lang w:val="en-US" w:eastAsia="zh-CN"/>
              </w:rPr>
              <w:t>部分</w:t>
            </w:r>
            <w:r>
              <w:rPr>
                <w:rFonts w:hint="default" w:ascii="Times New Roman" w:hAnsi="Times New Roman" w:eastAsia="宋体" w:cs="Times New Roman"/>
                <w:color w:val="auto"/>
                <w:sz w:val="21"/>
                <w:szCs w:val="21"/>
                <w:highlight w:val="none"/>
                <w:lang w:val="en-US" w:eastAsia="zh-CN"/>
              </w:rPr>
              <w:t>分切后的塑料膜将通过制袋机加工成各种规格的塑料袋。制袋机在封口操作时，由于局部加热会引发微量有机物挥发，产生微量有机废气</w:t>
            </w:r>
            <w:r>
              <w:rPr>
                <w:rFonts w:hint="eastAsia" w:ascii="Times New Roman" w:hAnsi="Times New Roman" w:eastAsia="宋体" w:cs="Times New Roman"/>
                <w:color w:val="auto"/>
                <w:sz w:val="21"/>
                <w:szCs w:val="21"/>
                <w:highlight w:val="none"/>
                <w:lang w:val="en-US" w:eastAsia="zh-CN"/>
              </w:rPr>
              <w:t>(G</w:t>
            </w:r>
            <w:r>
              <w:rPr>
                <w:rFonts w:hint="eastAsia"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p>
          <w:p w14:paraId="7AB6CDBD">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500" w:lineRule="exact"/>
              <w:ind w:left="0" w:leftChars="0"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检验：</w:t>
            </w:r>
            <w:r>
              <w:rPr>
                <w:rFonts w:hint="eastAsia" w:ascii="Times New Roman" w:hAnsi="Times New Roman" w:eastAsia="宋体" w:cs="Times New Roman"/>
                <w:color w:val="auto"/>
                <w:sz w:val="21"/>
                <w:szCs w:val="21"/>
                <w:highlight w:val="none"/>
                <w:lang w:val="en-US" w:eastAsia="zh-CN"/>
              </w:rPr>
              <w:t>塑料</w:t>
            </w:r>
            <w:r>
              <w:rPr>
                <w:rFonts w:hint="default" w:ascii="Times New Roman" w:hAnsi="Times New Roman" w:eastAsia="宋体" w:cs="Times New Roman"/>
                <w:color w:val="auto"/>
                <w:sz w:val="21"/>
                <w:szCs w:val="21"/>
                <w:highlight w:val="none"/>
                <w:lang w:val="en-US" w:eastAsia="zh-CN"/>
              </w:rPr>
              <w:t>袋经人工检验合格后包装入库，此工序产生少量次品</w:t>
            </w:r>
            <w:r>
              <w:rPr>
                <w:rFonts w:hint="eastAsia" w:ascii="Times New Roman" w:hAnsi="Times New Roman" w:eastAsia="宋体" w:cs="Times New Roman"/>
                <w:color w:val="auto"/>
                <w:sz w:val="21"/>
                <w:szCs w:val="21"/>
                <w:highlight w:val="none"/>
                <w:lang w:val="en-US" w:eastAsia="zh-CN"/>
              </w:rPr>
              <w:t>(S</w:t>
            </w:r>
            <w:r>
              <w:rPr>
                <w:rFonts w:hint="eastAsia"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w:t>
            </w:r>
          </w:p>
          <w:p w14:paraId="74730869">
            <w:pPr>
              <w:keepNext w:val="0"/>
              <w:keepLines w:val="0"/>
              <w:pageBreakBefore w:val="0"/>
              <w:widowControl w:val="0"/>
              <w:numPr>
                <w:ilvl w:val="0"/>
                <w:numId w:val="0"/>
              </w:numPr>
              <w:tabs>
                <w:tab w:val="left" w:pos="2846"/>
                <w:tab w:val="left" w:pos="4382"/>
                <w:tab w:val="left" w:pos="4451"/>
                <w:tab w:val="left" w:pos="6056"/>
              </w:tabs>
              <w:kinsoku/>
              <w:wordWrap/>
              <w:overflowPunct/>
              <w:topLinePunct w:val="0"/>
              <w:autoSpaceDE/>
              <w:autoSpaceDN/>
              <w:bidi w:val="0"/>
              <w:adjustRightInd/>
              <w:snapToGrid/>
              <w:spacing w:line="500" w:lineRule="exact"/>
              <w:ind w:leftChars="200"/>
              <w:textAlignment w:val="auto"/>
              <w:rPr>
                <w:rFonts w:hint="default" w:ascii="Times New Roman" w:hAnsi="Times New Roman" w:cs="Times New Roman"/>
                <w:b w:val="0"/>
                <w:bCs w:val="0"/>
                <w:color w:val="auto"/>
                <w:kern w:val="2"/>
                <w:sz w:val="21"/>
                <w:szCs w:val="21"/>
                <w:lang w:val="en-US" w:eastAsia="zh-CN" w:bidi="ar-SA"/>
              </w:rPr>
            </w:pPr>
            <w:r>
              <w:rPr>
                <w:rFonts w:hint="eastAsia" w:cs="Times New Roman"/>
                <w:b/>
                <w:bCs/>
                <w:color w:val="auto"/>
                <w:kern w:val="2"/>
                <w:sz w:val="21"/>
                <w:szCs w:val="21"/>
                <w:lang w:val="en-US" w:eastAsia="zh-CN" w:bidi="ar-SA"/>
              </w:rPr>
              <w:t>2、</w:t>
            </w:r>
            <w:r>
              <w:rPr>
                <w:rFonts w:hint="default" w:ascii="Times New Roman" w:hAnsi="Times New Roman" w:cs="Times New Roman"/>
                <w:b/>
                <w:bCs/>
                <w:color w:val="auto"/>
                <w:kern w:val="2"/>
                <w:sz w:val="21"/>
                <w:szCs w:val="21"/>
                <w:lang w:val="en-US" w:eastAsia="zh-CN" w:bidi="ar-SA"/>
              </w:rPr>
              <w:t>其他产污工序</w:t>
            </w:r>
          </w:p>
          <w:p w14:paraId="6AD4C85C">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500" w:lineRule="exact"/>
              <w:ind w:left="0" w:leftChars="0"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r>
              <w:rPr>
                <w:color w:val="auto"/>
                <w:szCs w:val="21"/>
              </w:rPr>
              <w:t>项目</w:t>
            </w:r>
            <w:r>
              <w:rPr>
                <w:rFonts w:hint="eastAsia"/>
                <w:color w:val="auto"/>
                <w:szCs w:val="21"/>
              </w:rPr>
              <w:t>塑料膜等固态原料拆包过程产生少量废包装材料</w:t>
            </w:r>
            <w:r>
              <w:rPr>
                <w:rFonts w:hint="eastAsia" w:ascii="Times New Roman" w:hAnsi="Times New Roman" w:eastAsia="宋体" w:cs="Times New Roman"/>
                <w:color w:val="auto"/>
                <w:sz w:val="21"/>
                <w:szCs w:val="21"/>
                <w:highlight w:val="none"/>
                <w:lang w:val="en-US" w:eastAsia="zh-CN"/>
              </w:rPr>
              <w:t>(S</w:t>
            </w:r>
            <w:r>
              <w:rPr>
                <w:rFonts w:hint="eastAsia"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p>
          <w:p w14:paraId="0248E117">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500" w:lineRule="exact"/>
              <w:ind w:left="0" w:lef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项目</w:t>
            </w:r>
            <w:r>
              <w:rPr>
                <w:rFonts w:hint="eastAsia" w:ascii="Times New Roman" w:hAnsi="Times New Roman" w:eastAsia="宋体" w:cs="Times New Roman"/>
                <w:color w:val="auto"/>
                <w:sz w:val="21"/>
                <w:szCs w:val="21"/>
                <w:highlight w:val="none"/>
                <w:lang w:val="en-US" w:eastAsia="zh-CN"/>
              </w:rPr>
              <w:t>油墨、胶水</w:t>
            </w:r>
            <w:r>
              <w:rPr>
                <w:rFonts w:hint="default" w:ascii="Times New Roman" w:hAnsi="Times New Roman" w:eastAsia="宋体" w:cs="Times New Roman"/>
                <w:color w:val="auto"/>
                <w:sz w:val="21"/>
                <w:szCs w:val="21"/>
                <w:highlight w:val="none"/>
                <w:lang w:val="en-US" w:eastAsia="zh-CN"/>
              </w:rPr>
              <w:t>使用过程产生少量废</w:t>
            </w:r>
            <w:r>
              <w:rPr>
                <w:rFonts w:hint="eastAsia" w:ascii="Times New Roman" w:hAnsi="Times New Roman" w:eastAsia="宋体" w:cs="Times New Roman"/>
                <w:color w:val="auto"/>
                <w:sz w:val="21"/>
                <w:szCs w:val="21"/>
                <w:highlight w:val="none"/>
                <w:lang w:val="en-US" w:eastAsia="zh-CN"/>
              </w:rPr>
              <w:t>包装</w:t>
            </w:r>
            <w:r>
              <w:rPr>
                <w:rFonts w:hint="default" w:ascii="Times New Roman" w:hAnsi="Times New Roman" w:eastAsia="宋体" w:cs="Times New Roman"/>
                <w:color w:val="auto"/>
                <w:sz w:val="21"/>
                <w:szCs w:val="21"/>
                <w:highlight w:val="none"/>
                <w:lang w:val="en-US" w:eastAsia="zh-CN"/>
              </w:rPr>
              <w:t>桶</w:t>
            </w:r>
            <w:r>
              <w:rPr>
                <w:rFonts w:hint="eastAsia" w:ascii="Times New Roman" w:hAnsi="Times New Roman" w:eastAsia="宋体" w:cs="Times New Roman"/>
                <w:color w:val="auto"/>
                <w:sz w:val="21"/>
                <w:szCs w:val="21"/>
                <w:highlight w:val="none"/>
                <w:lang w:val="en-US" w:eastAsia="zh-CN"/>
              </w:rPr>
              <w:t>(S</w:t>
            </w:r>
            <w:r>
              <w:rPr>
                <w:rFonts w:hint="eastAsia"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p>
          <w:p w14:paraId="03EB9A6F">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500" w:lineRule="exact"/>
              <w:ind w:left="0" w:lef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项目</w:t>
            </w:r>
            <w:r>
              <w:rPr>
                <w:rFonts w:hint="eastAsia" w:ascii="Times New Roman" w:hAnsi="Times New Roman" w:eastAsia="宋体" w:cs="Times New Roman"/>
                <w:color w:val="auto"/>
                <w:sz w:val="21"/>
                <w:szCs w:val="21"/>
                <w:highlight w:val="none"/>
                <w:lang w:val="en-US" w:eastAsia="zh-CN"/>
              </w:rPr>
              <w:t>印刷、复合、熟化废气</w:t>
            </w:r>
            <w:r>
              <w:rPr>
                <w:rFonts w:hint="default" w:ascii="Times New Roman" w:hAnsi="Times New Roman" w:eastAsia="宋体" w:cs="Times New Roman"/>
                <w:color w:val="auto"/>
                <w:sz w:val="21"/>
                <w:szCs w:val="21"/>
                <w:highlight w:val="none"/>
                <w:lang w:val="en-US" w:eastAsia="zh-CN"/>
              </w:rPr>
              <w:t>采用</w:t>
            </w:r>
            <w:r>
              <w:rPr>
                <w:rFonts w:hint="eastAsia" w:cs="Times New Roman"/>
                <w:color w:val="auto"/>
                <w:sz w:val="21"/>
                <w:szCs w:val="21"/>
                <w:highlight w:val="none"/>
                <w:lang w:val="en-US" w:eastAsia="zh-CN"/>
              </w:rPr>
              <w:t>二级活性炭吸附</w:t>
            </w:r>
            <w:r>
              <w:rPr>
                <w:rFonts w:hint="eastAsia" w:ascii="Times New Roman" w:hAnsi="Times New Roman" w:eastAsia="宋体" w:cs="Times New Roman"/>
                <w:color w:val="auto"/>
                <w:sz w:val="21"/>
                <w:szCs w:val="21"/>
                <w:highlight w:val="none"/>
                <w:lang w:val="en-US" w:eastAsia="zh-CN"/>
              </w:rPr>
              <w:t>装置</w:t>
            </w:r>
            <w:r>
              <w:rPr>
                <w:rFonts w:hint="default" w:ascii="Times New Roman" w:hAnsi="Times New Roman" w:eastAsia="宋体" w:cs="Times New Roman"/>
                <w:color w:val="auto"/>
                <w:sz w:val="21"/>
                <w:szCs w:val="21"/>
                <w:highlight w:val="none"/>
                <w:lang w:val="en-US" w:eastAsia="zh-CN"/>
              </w:rPr>
              <w:t>处理，废气处理</w:t>
            </w:r>
            <w:r>
              <w:rPr>
                <w:rFonts w:hint="eastAsia" w:ascii="Times New Roman" w:hAnsi="Times New Roman" w:eastAsia="宋体" w:cs="Times New Roman"/>
                <w:color w:val="auto"/>
                <w:sz w:val="21"/>
                <w:szCs w:val="21"/>
                <w:highlight w:val="none"/>
                <w:lang w:val="en-US" w:eastAsia="zh-CN"/>
              </w:rPr>
              <w:t>设备定期保养，产生</w:t>
            </w:r>
            <w:r>
              <w:rPr>
                <w:rFonts w:hint="default" w:ascii="Times New Roman" w:hAnsi="Times New Roman" w:eastAsia="宋体" w:cs="Times New Roman"/>
                <w:color w:val="auto"/>
                <w:sz w:val="21"/>
                <w:szCs w:val="21"/>
                <w:highlight w:val="none"/>
                <w:lang w:val="en-US" w:eastAsia="zh-CN"/>
              </w:rPr>
              <w:t>废活性炭</w:t>
            </w:r>
            <w:r>
              <w:rPr>
                <w:rFonts w:hint="eastAsia" w:ascii="Times New Roman" w:hAnsi="Times New Roman" w:eastAsia="宋体" w:cs="Times New Roman"/>
                <w:color w:val="auto"/>
                <w:sz w:val="21"/>
                <w:szCs w:val="21"/>
                <w:highlight w:val="none"/>
                <w:lang w:val="en-US" w:eastAsia="zh-CN"/>
              </w:rPr>
              <w:t>(S</w:t>
            </w:r>
            <w:r>
              <w:rPr>
                <w:rFonts w:hint="eastAsia" w:cs="Times New Roman"/>
                <w:color w:val="auto"/>
                <w:sz w:val="21"/>
                <w:szCs w:val="21"/>
                <w:highlight w:val="none"/>
                <w:lang w:val="en-US" w:eastAsia="zh-CN"/>
              </w:rPr>
              <w:t>6</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 xml:space="preserve">。 </w:t>
            </w:r>
          </w:p>
          <w:p w14:paraId="27CA9E52">
            <w:pPr>
              <w:keepNext w:val="0"/>
              <w:keepLines w:val="0"/>
              <w:pageBreakBefore w:val="0"/>
              <w:widowControl w:val="0"/>
              <w:numPr>
                <w:ilvl w:val="0"/>
                <w:numId w:val="0"/>
              </w:numPr>
              <w:tabs>
                <w:tab w:val="left" w:pos="2846"/>
                <w:tab w:val="left" w:pos="4382"/>
                <w:tab w:val="left" w:pos="4451"/>
                <w:tab w:val="left" w:pos="6056"/>
              </w:tabs>
              <w:kinsoku/>
              <w:wordWrap/>
              <w:overflowPunct/>
              <w:topLinePunct w:val="0"/>
              <w:autoSpaceDE/>
              <w:autoSpaceDN/>
              <w:bidi w:val="0"/>
              <w:adjustRightInd/>
              <w:snapToGrid/>
              <w:spacing w:line="500" w:lineRule="exact"/>
              <w:ind w:leftChars="0" w:firstLine="420" w:firstLineChars="200"/>
              <w:textAlignment w:val="auto"/>
              <w:rPr>
                <w:rFonts w:hint="default" w:ascii="Times New Roman" w:hAnsi="Times New Roman" w:cs="Times New Roman" w:eastAsiaTheme="minorEastAsia"/>
                <w:color w:val="auto"/>
                <w:sz w:val="21"/>
                <w:szCs w:val="21"/>
                <w:lang w:val="en-US" w:eastAsia="zh-CN"/>
              </w:rPr>
            </w:pPr>
          </w:p>
        </w:tc>
      </w:tr>
      <w:tr w14:paraId="1ECC2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0" w:hRule="atLeast"/>
        </w:trPr>
        <w:tc>
          <w:tcPr>
            <w:tcW w:w="777" w:type="dxa"/>
            <w:vAlign w:val="center"/>
          </w:tcPr>
          <w:p w14:paraId="4F56FA32">
            <w:pPr>
              <w:pStyle w:val="25"/>
              <w:adjustRightInd w:val="0"/>
              <w:snapToGrid w:val="0"/>
              <w:spacing w:before="0" w:beforeAutospacing="0" w:after="0" w:afterAutospacing="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Cs/>
                <w:color w:val="auto"/>
                <w:kern w:val="2"/>
                <w:sz w:val="21"/>
                <w:szCs w:val="21"/>
              </w:rPr>
              <w:t>与项目有关的原有环境污染问题</w:t>
            </w:r>
          </w:p>
        </w:tc>
        <w:tc>
          <w:tcPr>
            <w:tcW w:w="8283" w:type="dxa"/>
          </w:tcPr>
          <w:p w14:paraId="39D7B055">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right="0" w:firstLine="422" w:firstLineChars="200"/>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kern w:val="2"/>
                <w:sz w:val="21"/>
                <w:szCs w:val="21"/>
                <w:lang w:val="en-US" w:eastAsia="zh-CN" w:bidi="ar-SA"/>
              </w:rPr>
              <w:t>一</w:t>
            </w:r>
            <w:r>
              <w:rPr>
                <w:rFonts w:hint="default" w:ascii="Times New Roman" w:hAnsi="Times New Roman" w:eastAsia="宋体" w:cs="Times New Roman"/>
                <w:b/>
                <w:bCs/>
                <w:color w:val="auto"/>
                <w:kern w:val="2"/>
                <w:sz w:val="21"/>
                <w:szCs w:val="21"/>
                <w:lang w:val="en-US" w:eastAsia="zh-CN" w:bidi="ar-SA"/>
              </w:rPr>
              <w:t>、本项目与</w:t>
            </w:r>
            <w:r>
              <w:rPr>
                <w:rFonts w:hint="eastAsia" w:cs="Times New Roman"/>
                <w:b/>
                <w:bCs/>
                <w:color w:val="auto"/>
                <w:kern w:val="2"/>
                <w:sz w:val="21"/>
                <w:szCs w:val="21"/>
                <w:lang w:val="en-US" w:eastAsia="zh-CN" w:bidi="ar-SA"/>
              </w:rPr>
              <w:t>江苏茂泰管业科技有限公司</w:t>
            </w:r>
            <w:r>
              <w:rPr>
                <w:rFonts w:hint="default" w:ascii="Times New Roman" w:hAnsi="Times New Roman" w:eastAsia="宋体" w:cs="Times New Roman"/>
                <w:b/>
                <w:bCs/>
                <w:color w:val="auto"/>
                <w:kern w:val="2"/>
                <w:sz w:val="21"/>
                <w:szCs w:val="21"/>
                <w:lang w:val="en-US" w:eastAsia="zh-CN" w:bidi="ar-SA"/>
              </w:rPr>
              <w:t>依托关系</w:t>
            </w:r>
          </w:p>
          <w:p w14:paraId="554EB24D">
            <w:pPr>
              <w:pStyle w:val="2"/>
              <w:keepNext w:val="0"/>
              <w:keepLines w:val="0"/>
              <w:pageBreakBefore w:val="0"/>
              <w:widowControl w:val="0"/>
              <w:kinsoku/>
              <w:wordWrap/>
              <w:overflowPunct/>
              <w:topLinePunct w:val="0"/>
              <w:autoSpaceDE w:val="0"/>
              <w:autoSpaceDN w:val="0"/>
              <w:bidi w:val="0"/>
              <w:adjustRightInd w:val="0"/>
              <w:snapToGrid w:val="0"/>
              <w:spacing w:before="0" w:after="0" w:line="500" w:lineRule="exact"/>
              <w:ind w:left="0" w:leftChars="0" w:right="0" w:firstLine="420" w:firstLineChars="200"/>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w:t>
            </w:r>
            <w:r>
              <w:rPr>
                <w:rFonts w:hint="eastAsia" w:cs="Times New Roman"/>
                <w:b w:val="0"/>
                <w:bCs w:val="0"/>
                <w:color w:val="auto"/>
                <w:kern w:val="2"/>
                <w:sz w:val="21"/>
                <w:szCs w:val="21"/>
                <w:lang w:val="en-US" w:eastAsia="zh-CN" w:bidi="ar-SA"/>
              </w:rPr>
              <w:t>江苏茂泰管业科技有限公司</w:t>
            </w:r>
            <w:r>
              <w:rPr>
                <w:rFonts w:hint="default" w:ascii="Times New Roman" w:hAnsi="Times New Roman" w:eastAsia="宋体" w:cs="Times New Roman"/>
                <w:b w:val="0"/>
                <w:bCs w:val="0"/>
                <w:color w:val="auto"/>
                <w:kern w:val="2"/>
                <w:sz w:val="21"/>
                <w:szCs w:val="21"/>
                <w:lang w:val="en-US" w:eastAsia="zh-CN" w:bidi="ar-SA"/>
              </w:rPr>
              <w:t>简介及租赁企业情况</w:t>
            </w:r>
          </w:p>
          <w:p w14:paraId="02569326">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right="0" w:firstLine="420" w:firstLineChars="20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b w:val="0"/>
                <w:bCs w:val="0"/>
                <w:color w:val="auto"/>
                <w:kern w:val="2"/>
                <w:sz w:val="21"/>
                <w:szCs w:val="21"/>
                <w:lang w:val="en-US" w:eastAsia="zh-CN" w:bidi="ar-SA"/>
              </w:rPr>
              <w:t>江苏茂泰管业科技有限公司</w:t>
            </w:r>
            <w:r>
              <w:rPr>
                <w:rFonts w:hint="default" w:ascii="Times New Roman" w:hAnsi="Times New Roman" w:cs="Times New Roman"/>
                <w:color w:val="auto"/>
                <w:kern w:val="2"/>
                <w:sz w:val="21"/>
                <w:szCs w:val="21"/>
                <w:lang w:val="en-US" w:eastAsia="zh-CN" w:bidi="ar-SA"/>
              </w:rPr>
              <w:t>成立</w:t>
            </w:r>
            <w:r>
              <w:rPr>
                <w:rFonts w:hint="default" w:ascii="Times New Roman" w:hAnsi="Times New Roman" w:eastAsia="宋体" w:cs="Times New Roman"/>
                <w:color w:val="auto"/>
                <w:kern w:val="2"/>
                <w:sz w:val="21"/>
                <w:szCs w:val="21"/>
                <w:lang w:val="en-US" w:eastAsia="zh-CN" w:bidi="ar-SA"/>
              </w:rPr>
              <w:t>于20</w:t>
            </w:r>
            <w:r>
              <w:rPr>
                <w:rFonts w:hint="eastAsia" w:ascii="Times New Roman" w:hAnsi="Times New Roman" w:cs="Times New Roman"/>
                <w:color w:val="auto"/>
                <w:kern w:val="2"/>
                <w:sz w:val="21"/>
                <w:szCs w:val="21"/>
                <w:lang w:val="en-US" w:eastAsia="zh-CN" w:bidi="ar-SA"/>
              </w:rPr>
              <w:t>21</w:t>
            </w:r>
            <w:r>
              <w:rPr>
                <w:rFonts w:hint="default" w:ascii="Times New Roman" w:hAnsi="Times New Roman" w:eastAsia="宋体" w:cs="Times New Roman"/>
                <w:color w:val="auto"/>
                <w:kern w:val="2"/>
                <w:sz w:val="21"/>
                <w:szCs w:val="21"/>
                <w:lang w:val="en-US" w:eastAsia="zh-CN" w:bidi="ar-SA"/>
              </w:rPr>
              <w:t>年</w:t>
            </w:r>
            <w:r>
              <w:rPr>
                <w:rFonts w:hint="eastAsia" w:ascii="Times New Roman" w:hAnsi="Times New Roman" w:eastAsia="宋体" w:cs="Times New Roman"/>
                <w:color w:val="auto"/>
                <w:kern w:val="2"/>
                <w:sz w:val="21"/>
                <w:szCs w:val="21"/>
                <w:lang w:val="en-US" w:eastAsia="zh-CN" w:bidi="ar-SA"/>
              </w:rPr>
              <w:t>4</w:t>
            </w:r>
            <w:r>
              <w:rPr>
                <w:rFonts w:hint="default" w:ascii="Times New Roman" w:hAnsi="Times New Roman" w:eastAsia="宋体" w:cs="Times New Roman"/>
                <w:color w:val="auto"/>
                <w:kern w:val="2"/>
                <w:sz w:val="21"/>
                <w:szCs w:val="21"/>
                <w:lang w:val="en-US" w:eastAsia="zh-CN" w:bidi="ar-SA"/>
              </w:rPr>
              <w:t>月</w:t>
            </w:r>
            <w:r>
              <w:rPr>
                <w:rFonts w:hint="eastAsia" w:ascii="Times New Roman" w:hAnsi="Times New Roman" w:eastAsia="宋体" w:cs="Times New Roman"/>
                <w:color w:val="auto"/>
                <w:kern w:val="2"/>
                <w:sz w:val="21"/>
                <w:szCs w:val="21"/>
                <w:lang w:val="en-US" w:eastAsia="zh-CN" w:bidi="ar-SA"/>
              </w:rPr>
              <w:t>9</w:t>
            </w:r>
            <w:r>
              <w:rPr>
                <w:rFonts w:hint="default" w:ascii="Times New Roman" w:hAnsi="Times New Roman" w:eastAsia="宋体" w:cs="Times New Roman"/>
                <w:color w:val="auto"/>
                <w:kern w:val="2"/>
                <w:sz w:val="21"/>
                <w:szCs w:val="21"/>
                <w:lang w:val="en-US" w:eastAsia="zh-CN" w:bidi="ar-SA"/>
              </w:rPr>
              <w:t>日，主要从事货物进出口；技术进出口，该公司</w:t>
            </w:r>
            <w:r>
              <w:rPr>
                <w:rFonts w:hint="eastAsia" w:ascii="Times New Roman" w:hAnsi="Times New Roman" w:eastAsia="宋体" w:cs="Times New Roman"/>
                <w:color w:val="auto"/>
                <w:kern w:val="2"/>
                <w:sz w:val="21"/>
                <w:szCs w:val="21"/>
                <w:lang w:val="en-US" w:eastAsia="zh-CN" w:bidi="ar-SA"/>
              </w:rPr>
              <w:t>位于</w:t>
            </w:r>
            <w:r>
              <w:rPr>
                <w:rFonts w:hint="eastAsia" w:cs="Times New Roman"/>
                <w:color w:val="auto"/>
                <w:sz w:val="21"/>
                <w:szCs w:val="21"/>
                <w:lang w:eastAsia="zh-CN"/>
              </w:rPr>
              <w:t>金坛区朱林镇创业路101号的</w:t>
            </w:r>
            <w:r>
              <w:rPr>
                <w:rFonts w:hint="eastAsia" w:cs="Times New Roman"/>
                <w:color w:val="auto"/>
                <w:sz w:val="21"/>
                <w:szCs w:val="21"/>
                <w:lang w:val="en-US" w:eastAsia="zh-CN"/>
              </w:rPr>
              <w:t>厂房建成后主要用于仓储</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本项目为新建项目，租用</w:t>
            </w:r>
            <w:r>
              <w:rPr>
                <w:rFonts w:hint="eastAsia" w:cs="Times New Roman"/>
                <w:b w:val="0"/>
                <w:bCs w:val="0"/>
                <w:color w:val="auto"/>
                <w:kern w:val="2"/>
                <w:sz w:val="21"/>
                <w:szCs w:val="21"/>
                <w:lang w:val="en-US" w:eastAsia="zh-CN" w:bidi="ar-SA"/>
              </w:rPr>
              <w:t>江苏茂泰管业科技有限公司</w:t>
            </w:r>
            <w:r>
              <w:rPr>
                <w:rFonts w:hint="default" w:ascii="Times New Roman" w:hAnsi="Times New Roman" w:eastAsia="宋体" w:cs="Times New Roman"/>
                <w:b w:val="0"/>
                <w:bCs w:val="0"/>
                <w:color w:val="auto"/>
                <w:kern w:val="2"/>
                <w:sz w:val="21"/>
                <w:szCs w:val="21"/>
                <w:lang w:val="en-US" w:eastAsia="zh-CN" w:bidi="ar-SA"/>
              </w:rPr>
              <w:t>闲置</w:t>
            </w:r>
            <w:r>
              <w:rPr>
                <w:rFonts w:hint="default" w:ascii="Times New Roman" w:hAnsi="Times New Roman" w:cs="Times New Roman"/>
                <w:b w:val="0"/>
                <w:bCs w:val="0"/>
                <w:color w:val="auto"/>
                <w:kern w:val="2"/>
                <w:sz w:val="21"/>
                <w:szCs w:val="21"/>
                <w:lang w:val="en-US" w:eastAsia="zh-CN" w:bidi="ar-SA"/>
              </w:rPr>
              <w:t>车间</w:t>
            </w:r>
            <w:r>
              <w:rPr>
                <w:rFonts w:hint="default" w:ascii="Times New Roman" w:hAnsi="Times New Roman" w:eastAsia="宋体" w:cs="Times New Roman"/>
                <w:b w:val="0"/>
                <w:bCs w:val="0"/>
                <w:color w:val="auto"/>
                <w:kern w:val="2"/>
                <w:sz w:val="21"/>
                <w:szCs w:val="21"/>
                <w:lang w:val="en-US" w:eastAsia="zh-CN" w:bidi="ar-SA"/>
              </w:rPr>
              <w:t>生产，该</w:t>
            </w:r>
            <w:r>
              <w:rPr>
                <w:rFonts w:hint="default" w:ascii="Times New Roman" w:hAnsi="Times New Roman" w:cs="Times New Roman"/>
                <w:b w:val="0"/>
                <w:bCs w:val="0"/>
                <w:color w:val="auto"/>
                <w:kern w:val="2"/>
                <w:sz w:val="21"/>
                <w:szCs w:val="21"/>
                <w:lang w:val="en-US" w:eastAsia="zh-CN" w:bidi="ar-SA"/>
              </w:rPr>
              <w:t>车间</w:t>
            </w:r>
            <w:r>
              <w:rPr>
                <w:rFonts w:hint="eastAsia" w:cs="Times New Roman"/>
                <w:b w:val="0"/>
                <w:bCs w:val="0"/>
                <w:color w:val="auto"/>
                <w:kern w:val="2"/>
                <w:sz w:val="21"/>
                <w:szCs w:val="21"/>
                <w:lang w:val="en-US" w:eastAsia="zh-CN" w:bidi="ar-SA"/>
              </w:rPr>
              <w:t>建成后一直闲置</w:t>
            </w:r>
            <w:r>
              <w:rPr>
                <w:rFonts w:hint="default" w:ascii="Times New Roman" w:hAnsi="Times New Roman"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无环境遗留问题。</w:t>
            </w:r>
          </w:p>
          <w:p w14:paraId="4A53B11B">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before="0" w:after="0" w:line="500" w:lineRule="exact"/>
              <w:ind w:leftChars="200" w:right="0" w:rightChars="0"/>
              <w:textAlignment w:val="auto"/>
              <w:rPr>
                <w:rFonts w:hint="default" w:cs="Times New Roman"/>
                <w:b w:val="0"/>
                <w:bCs w:val="0"/>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t>本项目与</w:t>
            </w:r>
            <w:r>
              <w:rPr>
                <w:rFonts w:hint="eastAsia" w:cs="Times New Roman"/>
                <w:b w:val="0"/>
                <w:bCs w:val="0"/>
                <w:color w:val="auto"/>
                <w:kern w:val="2"/>
                <w:sz w:val="21"/>
                <w:szCs w:val="21"/>
                <w:lang w:val="en-US" w:eastAsia="zh-CN" w:bidi="ar-SA"/>
              </w:rPr>
              <w:t>江苏茂泰管业科技有限公司</w:t>
            </w:r>
            <w:r>
              <w:rPr>
                <w:rFonts w:hint="default" w:ascii="Times New Roman" w:hAnsi="Times New Roman" w:eastAsia="宋体" w:cs="Times New Roman"/>
                <w:color w:val="auto"/>
                <w:kern w:val="2"/>
                <w:sz w:val="21"/>
                <w:szCs w:val="21"/>
                <w:lang w:val="en-US" w:eastAsia="zh-CN" w:bidi="ar-SA"/>
              </w:rPr>
              <w:t>的依托关系</w:t>
            </w:r>
          </w:p>
          <w:p w14:paraId="52214BC5">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right="0" w:firstLine="420" w:firstLineChars="200"/>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江苏茂泰管业科技有限公司</w:t>
            </w:r>
            <w:r>
              <w:rPr>
                <w:rFonts w:hint="default" w:ascii="Times New Roman" w:hAnsi="Times New Roman" w:eastAsia="宋体" w:cs="Times New Roman"/>
                <w:b w:val="0"/>
                <w:bCs w:val="0"/>
                <w:color w:val="auto"/>
                <w:kern w:val="2"/>
                <w:sz w:val="21"/>
                <w:szCs w:val="21"/>
                <w:lang w:val="en-US" w:eastAsia="zh-CN" w:bidi="ar-SA"/>
              </w:rPr>
              <w:t>已按照“雨污分流”的原则进行了基础设施建设，建立了完善的供水、供电</w:t>
            </w:r>
            <w:r>
              <w:rPr>
                <w:rFonts w:hint="eastAsia" w:cs="Times New Roman"/>
                <w:b w:val="0"/>
                <w:bCs w:val="0"/>
                <w:color w:val="auto"/>
                <w:kern w:val="2"/>
                <w:sz w:val="21"/>
                <w:szCs w:val="21"/>
                <w:lang w:val="en-US" w:eastAsia="zh-CN" w:bidi="ar-SA"/>
              </w:rPr>
              <w:t>网络</w:t>
            </w:r>
            <w:r>
              <w:rPr>
                <w:rFonts w:hint="default" w:ascii="Times New Roman" w:hAnsi="Times New Roman" w:eastAsia="宋体" w:cs="Times New Roman"/>
                <w:b w:val="0"/>
                <w:bCs w:val="0"/>
                <w:color w:val="auto"/>
                <w:kern w:val="2"/>
                <w:sz w:val="21"/>
                <w:szCs w:val="21"/>
                <w:lang w:val="en-US" w:eastAsia="zh-CN" w:bidi="ar-SA"/>
              </w:rPr>
              <w:t>，设置了一个生活污水接管口和一个雨</w:t>
            </w:r>
            <w:r>
              <w:rPr>
                <w:rFonts w:hint="default" w:ascii="Times New Roman" w:hAnsi="Times New Roman" w:eastAsia="宋体" w:cs="Times New Roman"/>
                <w:b w:val="0"/>
                <w:bCs w:val="0"/>
                <w:color w:val="auto"/>
                <w:kern w:val="2"/>
                <w:sz w:val="21"/>
                <w:szCs w:val="21"/>
                <w:lang w:val="zh-CN" w:eastAsia="zh-CN" w:bidi="ar-SA"/>
              </w:rPr>
              <w:t>水</w:t>
            </w:r>
            <w:r>
              <w:rPr>
                <w:rFonts w:hint="default" w:ascii="Times New Roman" w:hAnsi="Times New Roman" w:eastAsia="宋体" w:cs="Times New Roman"/>
                <w:b w:val="0"/>
                <w:bCs w:val="0"/>
                <w:color w:val="auto"/>
                <w:kern w:val="2"/>
                <w:sz w:val="21"/>
                <w:szCs w:val="21"/>
                <w:lang w:val="en-US" w:eastAsia="zh-CN" w:bidi="ar-SA"/>
              </w:rPr>
              <w:t>排口。经与建设单位核实，本项目与其依托关系如下：</w:t>
            </w:r>
          </w:p>
          <w:p w14:paraId="33E53E0C">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right="0" w:firstLine="420" w:firstLineChars="200"/>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w:t>
            </w:r>
            <w:r>
              <w:rPr>
                <w:rFonts w:hint="default" w:ascii="Times New Roman" w:hAnsi="Times New Roman" w:eastAsia="宋体" w:cs="Times New Roman"/>
                <w:b w:val="0"/>
                <w:bCs w:val="0"/>
                <w:color w:val="auto"/>
                <w:kern w:val="2"/>
                <w:sz w:val="21"/>
                <w:szCs w:val="21"/>
                <w:lang w:val="zh-CN" w:eastAsia="zh-CN" w:bidi="ar-SA"/>
              </w:rPr>
              <w:t>故</w:t>
            </w:r>
            <w:r>
              <w:rPr>
                <w:rFonts w:hint="default" w:ascii="Times New Roman" w:hAnsi="Times New Roman" w:eastAsia="宋体" w:cs="Times New Roman"/>
                <w:b w:val="0"/>
                <w:bCs w:val="0"/>
                <w:color w:val="auto"/>
                <w:kern w:val="2"/>
                <w:sz w:val="21"/>
                <w:szCs w:val="21"/>
                <w:lang w:val="en-US" w:eastAsia="zh-CN" w:bidi="ar-SA"/>
              </w:rPr>
              <w:t>本项目生活污水依托出租方现有的生活污水管网和排污口接入区域污水管网，接入出租方已有污水管网前设置1个采样口。</w:t>
            </w:r>
          </w:p>
          <w:p w14:paraId="5D45E8CF">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right="0" w:firstLine="420" w:firstLineChars="200"/>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（2）本项目不增设雨水管网及雨水排口，依托出租方现有雨水管网及雨水排口。</w:t>
            </w:r>
          </w:p>
          <w:p w14:paraId="2E2EC194">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right="0" w:firstLine="420" w:firstLineChars="200"/>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（3）本项目</w:t>
            </w:r>
            <w:r>
              <w:rPr>
                <w:rFonts w:hint="default" w:ascii="Times New Roman" w:hAnsi="Times New Roman" w:cs="Times New Roman"/>
                <w:b w:val="0"/>
                <w:bCs w:val="0"/>
                <w:color w:val="auto"/>
                <w:kern w:val="2"/>
                <w:sz w:val="21"/>
                <w:szCs w:val="21"/>
                <w:lang w:val="en-US" w:eastAsia="zh-CN" w:bidi="ar-SA"/>
              </w:rPr>
              <w:t>事故废水依托出租方雨水管网收集</w:t>
            </w:r>
            <w:r>
              <w:rPr>
                <w:rFonts w:hint="eastAsia" w:cs="Times New Roman"/>
                <w:b w:val="0"/>
                <w:bCs w:val="0"/>
                <w:color w:val="auto"/>
                <w:kern w:val="2"/>
                <w:sz w:val="21"/>
                <w:szCs w:val="21"/>
                <w:lang w:val="en-US" w:eastAsia="zh-CN" w:bidi="ar-SA"/>
              </w:rPr>
              <w:t>进入自建的事故应急池</w:t>
            </w:r>
            <w:r>
              <w:rPr>
                <w:rFonts w:hint="default" w:ascii="Times New Roman" w:hAnsi="Times New Roman" w:cs="Times New Roman"/>
                <w:b w:val="0"/>
                <w:bCs w:val="0"/>
                <w:color w:val="auto"/>
                <w:kern w:val="2"/>
                <w:sz w:val="21"/>
                <w:szCs w:val="21"/>
                <w:lang w:val="en-US" w:eastAsia="zh-CN" w:bidi="ar-SA"/>
              </w:rPr>
              <w:t>，出租方雨水排放口已安装阀门，可确保事故时项目</w:t>
            </w:r>
            <w:r>
              <w:rPr>
                <w:rFonts w:hint="eastAsia" w:cs="Times New Roman"/>
                <w:b w:val="0"/>
                <w:bCs w:val="0"/>
                <w:color w:val="auto"/>
                <w:kern w:val="2"/>
                <w:sz w:val="21"/>
                <w:szCs w:val="21"/>
                <w:lang w:val="en-US" w:eastAsia="zh-CN" w:bidi="ar-SA"/>
              </w:rPr>
              <w:t>泄漏</w:t>
            </w:r>
            <w:r>
              <w:rPr>
                <w:rFonts w:hint="default" w:ascii="Times New Roman" w:hAnsi="Times New Roman" w:cs="Times New Roman"/>
                <w:b w:val="0"/>
                <w:bCs w:val="0"/>
                <w:color w:val="auto"/>
                <w:kern w:val="2"/>
                <w:sz w:val="21"/>
                <w:szCs w:val="21"/>
                <w:lang w:val="en-US" w:eastAsia="zh-CN" w:bidi="ar-SA"/>
              </w:rPr>
              <w:t>物料和消防废水不排入外环境。</w:t>
            </w:r>
          </w:p>
          <w:p w14:paraId="5EF37FA6">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right="0" w:firstLine="420" w:firstLineChars="200"/>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r>
              <w:rPr>
                <w:rFonts w:hint="default" w:ascii="Times New Roman" w:hAnsi="Times New Roman" w:cs="Times New Roman"/>
                <w:b w:val="0"/>
                <w:bCs w:val="0"/>
                <w:color w:val="auto"/>
                <w:kern w:val="2"/>
                <w:sz w:val="21"/>
                <w:szCs w:val="21"/>
                <w:lang w:val="en-US" w:eastAsia="zh-CN" w:bidi="ar-SA"/>
              </w:rPr>
              <w:t>4</w:t>
            </w:r>
            <w:r>
              <w:rPr>
                <w:rFonts w:hint="default" w:ascii="Times New Roman" w:hAnsi="Times New Roman" w:eastAsia="宋体" w:cs="Times New Roman"/>
                <w:b w:val="0"/>
                <w:bCs w:val="0"/>
                <w:color w:val="auto"/>
                <w:kern w:val="2"/>
                <w:sz w:val="21"/>
                <w:szCs w:val="21"/>
                <w:lang w:val="en-US" w:eastAsia="zh-CN" w:bidi="ar-SA"/>
              </w:rPr>
              <w:t>）本项目生产过程中保持独立，且设置独立的环保工程（主要为废气处理装置</w:t>
            </w:r>
            <w:r>
              <w:rPr>
                <w:rFonts w:hint="default" w:ascii="Times New Roman" w:hAnsi="Times New Roman" w:cs="Times New Roman"/>
                <w:b w:val="0"/>
                <w:bCs w:val="0"/>
                <w:color w:val="auto"/>
                <w:kern w:val="2"/>
                <w:sz w:val="21"/>
                <w:szCs w:val="21"/>
                <w:lang w:val="en-US" w:eastAsia="zh-CN" w:bidi="ar-SA"/>
              </w:rPr>
              <w:t>、危废库房</w:t>
            </w:r>
            <w:r>
              <w:rPr>
                <w:rFonts w:hint="default" w:ascii="Times New Roman" w:hAnsi="Times New Roman" w:eastAsia="宋体" w:cs="Times New Roman"/>
                <w:b w:val="0"/>
                <w:bCs w:val="0"/>
                <w:color w:val="auto"/>
                <w:kern w:val="2"/>
                <w:sz w:val="21"/>
                <w:szCs w:val="21"/>
                <w:lang w:val="en-US" w:eastAsia="zh-CN" w:bidi="ar-SA"/>
              </w:rPr>
              <w:t>），与出租方无依托关系。</w:t>
            </w:r>
            <w:r>
              <w:rPr>
                <w:rFonts w:hint="default" w:ascii="Times New Roman" w:hAnsi="Times New Roman" w:eastAsia="宋体" w:cs="Times New Roman"/>
                <w:b w:val="0"/>
                <w:bCs w:val="0"/>
                <w:color w:val="auto"/>
                <w:kern w:val="2"/>
                <w:sz w:val="21"/>
                <w:szCs w:val="21"/>
                <w:lang w:val="en-US" w:eastAsia="zh-CN" w:bidi="ar-SA"/>
              </w:rPr>
              <w:br w:type="textWrapping"/>
            </w:r>
            <w:r>
              <w:rPr>
                <w:rFonts w:hint="eastAsia" w:ascii="Times New Roman" w:hAnsi="Times New Roman" w:cs="Times New Roman"/>
                <w:b w:val="0"/>
                <w:bCs w:val="0"/>
                <w:color w:val="auto"/>
                <w:kern w:val="2"/>
                <w:sz w:val="21"/>
                <w:szCs w:val="21"/>
                <w:lang w:val="en-US" w:eastAsia="zh-CN" w:bidi="ar-SA"/>
              </w:rPr>
              <w:t xml:space="preserve">    </w:t>
            </w:r>
            <w:r>
              <w:rPr>
                <w:rFonts w:hint="default" w:ascii="Times New Roman" w:hAnsi="Times New Roman" w:cs="Times New Roman"/>
                <w:color w:val="auto"/>
                <w:sz w:val="21"/>
                <w:szCs w:val="21"/>
              </w:rPr>
              <w:t>本次建设项目属于</w:t>
            </w:r>
            <w:r>
              <w:rPr>
                <w:rFonts w:hint="eastAsia" w:cs="Times New Roman"/>
                <w:color w:val="auto"/>
                <w:sz w:val="21"/>
                <w:szCs w:val="21"/>
                <w:lang w:eastAsia="zh-CN"/>
              </w:rPr>
              <w:t>“</w:t>
            </w:r>
            <w:r>
              <w:rPr>
                <w:rFonts w:hint="default" w:ascii="Times New Roman" w:hAnsi="Times New Roman" w:cs="Times New Roman"/>
                <w:color w:val="auto"/>
                <w:sz w:val="21"/>
                <w:szCs w:val="21"/>
              </w:rPr>
              <w:t>厂中厂</w:t>
            </w:r>
            <w:r>
              <w:rPr>
                <w:rFonts w:hint="eastAsia" w:cs="Times New Roman"/>
                <w:color w:val="auto"/>
                <w:sz w:val="21"/>
                <w:szCs w:val="21"/>
                <w:lang w:eastAsia="zh-CN"/>
              </w:rPr>
              <w:t>”</w:t>
            </w:r>
            <w:r>
              <w:rPr>
                <w:rFonts w:hint="default" w:ascii="Times New Roman" w:hAnsi="Times New Roman" w:cs="Times New Roman"/>
                <w:color w:val="auto"/>
                <w:sz w:val="21"/>
                <w:szCs w:val="21"/>
              </w:rPr>
              <w:t>，若发生环境污染事件应当按照</w:t>
            </w:r>
            <w:r>
              <w:rPr>
                <w:rFonts w:hint="eastAsia" w:cs="Times New Roman"/>
                <w:color w:val="auto"/>
                <w:sz w:val="21"/>
                <w:szCs w:val="21"/>
                <w:lang w:eastAsia="zh-CN"/>
              </w:rPr>
              <w:t>“</w:t>
            </w:r>
            <w:r>
              <w:rPr>
                <w:rFonts w:hint="default" w:ascii="Times New Roman" w:hAnsi="Times New Roman" w:cs="Times New Roman"/>
                <w:color w:val="auto"/>
                <w:sz w:val="21"/>
                <w:szCs w:val="21"/>
              </w:rPr>
              <w:t>谁污染谁治理</w:t>
            </w:r>
            <w:r>
              <w:rPr>
                <w:rFonts w:hint="eastAsia" w:cs="Times New Roman"/>
                <w:color w:val="auto"/>
                <w:sz w:val="21"/>
                <w:szCs w:val="21"/>
                <w:lang w:eastAsia="zh-CN"/>
              </w:rPr>
              <w:t>”</w:t>
            </w:r>
            <w:r>
              <w:rPr>
                <w:rFonts w:hint="default" w:ascii="Times New Roman" w:hAnsi="Times New Roman" w:cs="Times New Roman"/>
                <w:color w:val="auto"/>
                <w:sz w:val="21"/>
                <w:szCs w:val="21"/>
              </w:rPr>
              <w:t>的原则进行责任划分，并承担相应的法律责任。若厂区发生雨、污水超标排放事件，要求对</w:t>
            </w:r>
            <w:r>
              <w:rPr>
                <w:rFonts w:hint="eastAsia" w:cs="Times New Roman"/>
                <w:bCs/>
                <w:color w:val="auto"/>
                <w:sz w:val="21"/>
                <w:szCs w:val="21"/>
                <w:lang w:eastAsia="zh-CN"/>
              </w:rPr>
              <w:t>常州安圣印务有限公司</w:t>
            </w:r>
            <w:r>
              <w:rPr>
                <w:rFonts w:hint="default" w:ascii="Times New Roman" w:hAnsi="Times New Roman" w:cs="Times New Roman"/>
                <w:color w:val="auto"/>
                <w:sz w:val="21"/>
                <w:szCs w:val="21"/>
              </w:rPr>
              <w:t>的采样口进行复测，通过水质监测数据来确定事件的责任主体。</w:t>
            </w:r>
          </w:p>
          <w:p w14:paraId="6D9BB798">
            <w:pPr>
              <w:pStyle w:val="7"/>
              <w:keepNext w:val="0"/>
              <w:keepLines w:val="0"/>
              <w:pageBreakBefore w:val="0"/>
              <w:widowControl w:val="0"/>
              <w:kinsoku/>
              <w:wordWrap/>
              <w:overflowPunct/>
              <w:topLinePunct w:val="0"/>
              <w:autoSpaceDE/>
              <w:autoSpaceDN/>
              <w:bidi w:val="0"/>
              <w:adjustRightInd w:val="0"/>
              <w:snapToGrid w:val="0"/>
              <w:spacing w:line="500" w:lineRule="exact"/>
              <w:ind w:left="0" w:leftChars="0" w:firstLine="422" w:firstLineChars="200"/>
              <w:textAlignment w:val="auto"/>
              <w:rPr>
                <w:rFonts w:hint="default" w:ascii="Times New Roman" w:hAnsi="Times New Roman" w:cs="Times New Roman" w:eastAsiaTheme="minorEastAsia"/>
                <w:b/>
                <w:bCs w:val="0"/>
                <w:snapToGrid w:val="0"/>
                <w:color w:val="auto"/>
                <w:kern w:val="2"/>
                <w:sz w:val="21"/>
                <w:szCs w:val="21"/>
                <w:highlight w:val="none"/>
                <w:lang w:val="en-US" w:eastAsia="zh-CN" w:bidi="ar-SA"/>
              </w:rPr>
            </w:pPr>
            <w:r>
              <w:rPr>
                <w:rFonts w:hint="eastAsia" w:ascii="Times New Roman" w:hAnsi="Times New Roman" w:cs="Times New Roman" w:eastAsiaTheme="minorEastAsia"/>
                <w:b/>
                <w:bCs w:val="0"/>
                <w:snapToGrid w:val="0"/>
                <w:color w:val="auto"/>
                <w:kern w:val="2"/>
                <w:sz w:val="21"/>
                <w:szCs w:val="21"/>
                <w:highlight w:val="none"/>
                <w:lang w:val="en-US" w:eastAsia="zh-CN" w:bidi="ar-SA"/>
              </w:rPr>
              <w:t>二</w:t>
            </w:r>
            <w:r>
              <w:rPr>
                <w:rFonts w:hint="default" w:ascii="Times New Roman" w:hAnsi="Times New Roman" w:cs="Times New Roman" w:eastAsiaTheme="minorEastAsia"/>
                <w:b/>
                <w:bCs w:val="0"/>
                <w:snapToGrid w:val="0"/>
                <w:color w:val="auto"/>
                <w:kern w:val="2"/>
                <w:sz w:val="21"/>
                <w:szCs w:val="21"/>
                <w:highlight w:val="none"/>
                <w:lang w:val="en-US" w:eastAsia="zh-CN" w:bidi="ar-SA"/>
              </w:rPr>
              <w:t>、原有项目环保手续履行情况</w:t>
            </w:r>
          </w:p>
          <w:p w14:paraId="7C8E6C09">
            <w:pPr>
              <w:pStyle w:val="112"/>
              <w:keepNext w:val="0"/>
              <w:keepLines w:val="0"/>
              <w:pageBreakBefore w:val="0"/>
              <w:widowControl w:val="0"/>
              <w:kinsoku/>
              <w:wordWrap/>
              <w:overflowPunct/>
              <w:topLinePunct w:val="0"/>
              <w:autoSpaceDE/>
              <w:autoSpaceDN/>
              <w:bidi w:val="0"/>
              <w:adjustRightInd w:val="0"/>
              <w:snapToGrid w:val="0"/>
              <w:spacing w:line="500" w:lineRule="exact"/>
              <w:ind w:left="0" w:leftChars="0" w:firstLine="420" w:firstLineChars="200"/>
              <w:jc w:val="both"/>
              <w:textAlignment w:val="auto"/>
              <w:rPr>
                <w:rFonts w:hint="default" w:ascii="Times New Roman" w:hAnsi="Times New Roman" w:eastAsia="宋体" w:cs="Times New Roman"/>
                <w:b w:val="0"/>
                <w:snapToGrid/>
                <w:color w:val="auto"/>
                <w:kern w:val="2"/>
                <w:sz w:val="21"/>
                <w:szCs w:val="21"/>
                <w:lang w:val="en-US" w:eastAsia="zh-CN" w:bidi="ar-SA"/>
              </w:rPr>
            </w:pPr>
            <w:r>
              <w:rPr>
                <w:rFonts w:hint="default" w:ascii="Times New Roman" w:hAnsi="Times New Roman" w:eastAsia="宋体" w:cs="Times New Roman"/>
                <w:b w:val="0"/>
                <w:snapToGrid/>
                <w:color w:val="auto"/>
                <w:kern w:val="2"/>
                <w:sz w:val="21"/>
                <w:szCs w:val="21"/>
                <w:lang w:val="en-US" w:eastAsia="zh-CN" w:bidi="ar-SA"/>
              </w:rPr>
              <w:t>建设单位于20</w:t>
            </w:r>
            <w:r>
              <w:rPr>
                <w:rFonts w:hint="eastAsia" w:ascii="Times New Roman" w:hAnsi="Times New Roman" w:eastAsia="宋体" w:cs="Times New Roman"/>
                <w:b w:val="0"/>
                <w:snapToGrid/>
                <w:color w:val="auto"/>
                <w:kern w:val="2"/>
                <w:sz w:val="21"/>
                <w:szCs w:val="21"/>
                <w:lang w:val="en-US" w:eastAsia="zh-CN" w:bidi="ar-SA"/>
              </w:rPr>
              <w:t>22</w:t>
            </w:r>
            <w:r>
              <w:rPr>
                <w:rFonts w:hint="default" w:ascii="Times New Roman" w:hAnsi="Times New Roman" w:eastAsia="宋体" w:cs="Times New Roman"/>
                <w:b w:val="0"/>
                <w:snapToGrid/>
                <w:color w:val="auto"/>
                <w:kern w:val="2"/>
                <w:sz w:val="21"/>
                <w:szCs w:val="21"/>
                <w:lang w:val="en-US" w:eastAsia="zh-CN" w:bidi="ar-SA"/>
              </w:rPr>
              <w:t>年6月委托编制了《软包装彩印项目环境影响报告表》，并于2022年8月25日取得《常州市生态环境局关于&lt;常州安圣印务有限公司软包装彩印项目建设项目环境影响报告表&gt;的批复》（常州市生态环境局，常金环审〔2022〕59号），</w:t>
            </w:r>
            <w:r>
              <w:rPr>
                <w:rFonts w:hint="eastAsia" w:ascii="Times New Roman" w:hAnsi="Times New Roman" w:eastAsia="宋体" w:cs="Times New Roman"/>
                <w:b w:val="0"/>
                <w:snapToGrid/>
                <w:color w:val="auto"/>
                <w:kern w:val="2"/>
                <w:sz w:val="21"/>
                <w:szCs w:val="21"/>
                <w:lang w:val="en-US" w:eastAsia="zh-CN" w:bidi="ar-SA"/>
              </w:rPr>
              <w:t>该项目</w:t>
            </w:r>
            <w:r>
              <w:rPr>
                <w:rFonts w:hint="default" w:ascii="Times New Roman" w:hAnsi="Times New Roman" w:eastAsia="宋体" w:cs="Times New Roman"/>
                <w:b w:val="0"/>
                <w:snapToGrid/>
                <w:color w:val="auto"/>
                <w:kern w:val="2"/>
                <w:sz w:val="21"/>
                <w:szCs w:val="21"/>
                <w:lang w:val="en-US" w:eastAsia="zh-CN" w:bidi="ar-SA"/>
              </w:rPr>
              <w:t>建成后拟具备年产塑料膜</w:t>
            </w:r>
            <w:r>
              <w:rPr>
                <w:rFonts w:hint="eastAsia" w:ascii="Times New Roman" w:hAnsi="Times New Roman" w:eastAsia="宋体" w:cs="Times New Roman"/>
                <w:b w:val="0"/>
                <w:snapToGrid/>
                <w:color w:val="auto"/>
                <w:kern w:val="2"/>
                <w:sz w:val="21"/>
                <w:szCs w:val="21"/>
                <w:lang w:val="en-US" w:eastAsia="zh-CN" w:bidi="ar-SA"/>
              </w:rPr>
              <w:t>20</w:t>
            </w:r>
            <w:r>
              <w:rPr>
                <w:rFonts w:hint="default" w:ascii="Times New Roman" w:hAnsi="Times New Roman" w:eastAsia="宋体" w:cs="Times New Roman"/>
                <w:b w:val="0"/>
                <w:snapToGrid/>
                <w:color w:val="auto"/>
                <w:kern w:val="2"/>
                <w:sz w:val="21"/>
                <w:szCs w:val="21"/>
                <w:lang w:val="en-US" w:eastAsia="zh-CN" w:bidi="ar-SA"/>
              </w:rPr>
              <w:t>0吨、塑料包装袋</w:t>
            </w:r>
            <w:r>
              <w:rPr>
                <w:rFonts w:hint="eastAsia" w:ascii="Times New Roman" w:hAnsi="Times New Roman" w:eastAsia="宋体" w:cs="Times New Roman"/>
                <w:b w:val="0"/>
                <w:snapToGrid/>
                <w:color w:val="auto"/>
                <w:kern w:val="2"/>
                <w:sz w:val="21"/>
                <w:szCs w:val="21"/>
                <w:lang w:val="en-US" w:eastAsia="zh-CN" w:bidi="ar-SA"/>
              </w:rPr>
              <w:t>30</w:t>
            </w:r>
            <w:r>
              <w:rPr>
                <w:rFonts w:hint="default" w:ascii="Times New Roman" w:hAnsi="Times New Roman" w:eastAsia="宋体" w:cs="Times New Roman"/>
                <w:b w:val="0"/>
                <w:snapToGrid/>
                <w:color w:val="auto"/>
                <w:kern w:val="2"/>
                <w:sz w:val="21"/>
                <w:szCs w:val="21"/>
                <w:lang w:val="en-US" w:eastAsia="zh-CN" w:bidi="ar-SA"/>
              </w:rPr>
              <w:t>0吨的生产能力</w:t>
            </w:r>
            <w:r>
              <w:rPr>
                <w:rFonts w:hint="eastAsia" w:ascii="Times New Roman" w:hAnsi="Times New Roman" w:eastAsia="宋体" w:cs="Times New Roman"/>
                <w:b w:val="0"/>
                <w:snapToGrid/>
                <w:color w:val="auto"/>
                <w:kern w:val="2"/>
                <w:sz w:val="21"/>
                <w:szCs w:val="21"/>
                <w:lang w:val="en-US" w:eastAsia="zh-CN" w:bidi="ar-SA"/>
              </w:rPr>
              <w:t>。建设单位于</w:t>
            </w:r>
            <w:r>
              <w:rPr>
                <w:rFonts w:hint="default" w:ascii="Times New Roman" w:hAnsi="Times New Roman" w:eastAsia="宋体" w:cs="Times New Roman"/>
                <w:b w:val="0"/>
                <w:snapToGrid/>
                <w:color w:val="auto"/>
                <w:kern w:val="2"/>
                <w:sz w:val="21"/>
                <w:szCs w:val="21"/>
                <w:lang w:val="en-US" w:eastAsia="zh-CN" w:bidi="ar-SA"/>
              </w:rPr>
              <w:t>2022年8月24日</w:t>
            </w:r>
            <w:r>
              <w:rPr>
                <w:rFonts w:hint="eastAsia" w:ascii="Times New Roman" w:hAnsi="Times New Roman" w:eastAsia="宋体" w:cs="Times New Roman"/>
                <w:b w:val="0"/>
                <w:snapToGrid/>
                <w:color w:val="auto"/>
                <w:kern w:val="2"/>
                <w:sz w:val="21"/>
                <w:szCs w:val="21"/>
                <w:lang w:val="en-US" w:eastAsia="zh-CN" w:bidi="ar-SA"/>
              </w:rPr>
              <w:t>取得排污许可登记回执（登记编号：</w:t>
            </w:r>
            <w:r>
              <w:rPr>
                <w:rFonts w:hint="default" w:ascii="Times New Roman" w:hAnsi="Times New Roman" w:eastAsia="宋体" w:cs="Times New Roman"/>
                <w:b w:val="0"/>
                <w:snapToGrid/>
                <w:color w:val="auto"/>
                <w:kern w:val="2"/>
                <w:sz w:val="21"/>
                <w:szCs w:val="21"/>
                <w:lang w:val="en-US" w:eastAsia="zh-CN" w:bidi="ar-SA"/>
              </w:rPr>
              <w:t>91320413MA7CYEJB5B001X</w:t>
            </w:r>
            <w:r>
              <w:rPr>
                <w:rFonts w:hint="eastAsia" w:ascii="Times New Roman" w:hAnsi="Times New Roman" w:eastAsia="宋体" w:cs="Times New Roman"/>
                <w:b w:val="0"/>
                <w:snapToGrid/>
                <w:color w:val="auto"/>
                <w:kern w:val="2"/>
                <w:sz w:val="21"/>
                <w:szCs w:val="21"/>
                <w:lang w:val="en-US" w:eastAsia="zh-CN" w:bidi="ar-SA"/>
              </w:rPr>
              <w:t>），于2023年2月20日取得突发环境事件应急预案备案表（备案编号：320482-2023-040L），并于2023年4月8日组织专家等人员进行现场验收，并通过竣工环保自主验收，验收产能为</w:t>
            </w:r>
            <w:r>
              <w:rPr>
                <w:rFonts w:hint="default" w:ascii="Times New Roman" w:hAnsi="Times New Roman" w:eastAsia="宋体" w:cs="Times New Roman"/>
                <w:b w:val="0"/>
                <w:snapToGrid/>
                <w:color w:val="auto"/>
                <w:kern w:val="2"/>
                <w:sz w:val="21"/>
                <w:szCs w:val="21"/>
                <w:lang w:val="en-US" w:eastAsia="zh-CN" w:bidi="ar-SA"/>
              </w:rPr>
              <w:t>年产塑料膜</w:t>
            </w:r>
            <w:r>
              <w:rPr>
                <w:rFonts w:hint="eastAsia" w:ascii="Times New Roman" w:hAnsi="Times New Roman" w:eastAsia="宋体" w:cs="Times New Roman"/>
                <w:b w:val="0"/>
                <w:snapToGrid/>
                <w:color w:val="auto"/>
                <w:kern w:val="2"/>
                <w:sz w:val="21"/>
                <w:szCs w:val="21"/>
                <w:lang w:val="en-US" w:eastAsia="zh-CN" w:bidi="ar-SA"/>
              </w:rPr>
              <w:t>120</w:t>
            </w:r>
            <w:r>
              <w:rPr>
                <w:rFonts w:hint="default" w:ascii="Times New Roman" w:hAnsi="Times New Roman" w:eastAsia="宋体" w:cs="Times New Roman"/>
                <w:b w:val="0"/>
                <w:snapToGrid/>
                <w:color w:val="auto"/>
                <w:kern w:val="2"/>
                <w:sz w:val="21"/>
                <w:szCs w:val="21"/>
                <w:lang w:val="en-US" w:eastAsia="zh-CN" w:bidi="ar-SA"/>
              </w:rPr>
              <w:t>吨、塑料包装袋</w:t>
            </w:r>
            <w:r>
              <w:rPr>
                <w:rFonts w:hint="eastAsia" w:ascii="Times New Roman" w:hAnsi="Times New Roman" w:eastAsia="宋体" w:cs="Times New Roman"/>
                <w:b w:val="0"/>
                <w:snapToGrid/>
                <w:color w:val="auto"/>
                <w:kern w:val="2"/>
                <w:sz w:val="21"/>
                <w:szCs w:val="21"/>
                <w:lang w:val="en-US" w:eastAsia="zh-CN" w:bidi="ar-SA"/>
              </w:rPr>
              <w:t>18</w:t>
            </w:r>
            <w:r>
              <w:rPr>
                <w:rFonts w:hint="default" w:ascii="Times New Roman" w:hAnsi="Times New Roman" w:eastAsia="宋体" w:cs="Times New Roman"/>
                <w:b w:val="0"/>
                <w:snapToGrid/>
                <w:color w:val="auto"/>
                <w:kern w:val="2"/>
                <w:sz w:val="21"/>
                <w:szCs w:val="21"/>
                <w:lang w:val="en-US" w:eastAsia="zh-CN" w:bidi="ar-SA"/>
              </w:rPr>
              <w:t>0吨</w:t>
            </w:r>
            <w:r>
              <w:rPr>
                <w:rFonts w:hint="eastAsia" w:ascii="Times New Roman" w:hAnsi="Times New Roman" w:eastAsia="宋体" w:cs="Times New Roman"/>
                <w:b w:val="0"/>
                <w:snapToGrid/>
                <w:color w:val="auto"/>
                <w:kern w:val="2"/>
                <w:sz w:val="21"/>
                <w:szCs w:val="21"/>
                <w:lang w:val="en-US" w:eastAsia="zh-CN" w:bidi="ar-SA"/>
              </w:rPr>
              <w:t>，剩余产能</w:t>
            </w:r>
            <w:r>
              <w:rPr>
                <w:rFonts w:hint="eastAsia" w:eastAsia="宋体" w:cs="Times New Roman"/>
                <w:b w:val="0"/>
                <w:snapToGrid/>
                <w:color w:val="auto"/>
                <w:kern w:val="2"/>
                <w:sz w:val="21"/>
                <w:szCs w:val="21"/>
                <w:lang w:val="en-US" w:eastAsia="zh-CN" w:bidi="ar-SA"/>
              </w:rPr>
              <w:t>尚在</w:t>
            </w:r>
            <w:r>
              <w:rPr>
                <w:rFonts w:hint="eastAsia" w:ascii="Times New Roman" w:hAnsi="Times New Roman" w:eastAsia="宋体" w:cs="Times New Roman"/>
                <w:b w:val="0"/>
                <w:snapToGrid/>
                <w:color w:val="auto"/>
                <w:kern w:val="2"/>
                <w:sz w:val="21"/>
                <w:szCs w:val="21"/>
                <w:lang w:val="en-US" w:eastAsia="zh-CN" w:bidi="ar-SA"/>
              </w:rPr>
              <w:t>建设</w:t>
            </w:r>
            <w:r>
              <w:rPr>
                <w:rFonts w:hint="eastAsia" w:eastAsia="宋体" w:cs="Times New Roman"/>
                <w:b w:val="0"/>
                <w:snapToGrid/>
                <w:color w:val="auto"/>
                <w:kern w:val="2"/>
                <w:sz w:val="21"/>
                <w:szCs w:val="21"/>
                <w:lang w:val="en-US" w:eastAsia="zh-CN" w:bidi="ar-SA"/>
              </w:rPr>
              <w:t>中</w:t>
            </w:r>
            <w:r>
              <w:rPr>
                <w:rFonts w:hint="default" w:ascii="Times New Roman" w:hAnsi="Times New Roman" w:eastAsia="宋体" w:cs="Times New Roman"/>
                <w:b w:val="0"/>
                <w:snapToGrid/>
                <w:color w:val="auto"/>
                <w:kern w:val="2"/>
                <w:sz w:val="21"/>
                <w:szCs w:val="21"/>
                <w:lang w:val="en-US" w:eastAsia="zh-CN" w:bidi="ar-SA"/>
              </w:rPr>
              <w:t>。</w:t>
            </w:r>
          </w:p>
          <w:p w14:paraId="05565203">
            <w:pPr>
              <w:pStyle w:val="7"/>
              <w:adjustRightInd w:val="0"/>
              <w:snapToGrid w:val="0"/>
              <w:ind w:firstLine="0" w:firstLineChars="0"/>
              <w:jc w:val="center"/>
              <w:rPr>
                <w:rFonts w:hint="default" w:ascii="Times New Roman" w:hAnsi="Times New Roman" w:cs="Times New Roman" w:eastAsiaTheme="minorEastAsia"/>
                <w:b/>
                <w:bCs/>
                <w:color w:val="auto"/>
                <w:sz w:val="21"/>
                <w:szCs w:val="21"/>
                <w:highlight w:val="none"/>
              </w:rPr>
            </w:pPr>
          </w:p>
          <w:p w14:paraId="00E734DC">
            <w:pPr>
              <w:pStyle w:val="7"/>
              <w:adjustRightInd w:val="0"/>
              <w:snapToGrid w:val="0"/>
              <w:ind w:firstLine="0" w:firstLineChars="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表2-</w:t>
            </w:r>
            <w:r>
              <w:rPr>
                <w:rFonts w:hint="default" w:ascii="Times New Roman" w:hAnsi="Times New Roman" w:cs="Times New Roman" w:eastAsiaTheme="minorEastAsia"/>
                <w:b/>
                <w:bCs/>
                <w:color w:val="auto"/>
                <w:sz w:val="21"/>
                <w:szCs w:val="21"/>
                <w:highlight w:val="none"/>
                <w:lang w:val="en-US" w:eastAsia="zh-CN"/>
              </w:rPr>
              <w:t xml:space="preserve">7 </w:t>
            </w:r>
            <w:r>
              <w:rPr>
                <w:rFonts w:hint="default" w:ascii="Times New Roman" w:hAnsi="Times New Roman" w:cs="Times New Roman" w:eastAsiaTheme="minorEastAsia"/>
                <w:b/>
                <w:bCs/>
                <w:color w:val="auto"/>
                <w:sz w:val="21"/>
                <w:szCs w:val="21"/>
                <w:highlight w:val="none"/>
              </w:rPr>
              <w:t xml:space="preserve"> 原有项目环保手续情况及产品方案一览表</w:t>
            </w:r>
          </w:p>
          <w:tbl>
            <w:tblPr>
              <w:tblStyle w:val="31"/>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48"/>
              <w:gridCol w:w="3383"/>
              <w:gridCol w:w="643"/>
              <w:gridCol w:w="907"/>
              <w:gridCol w:w="2145"/>
              <w:gridCol w:w="702"/>
            </w:tblGrid>
            <w:tr w14:paraId="19D0E5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8" w:type="dxa"/>
                  <w:noWrap w:val="0"/>
                  <w:vAlign w:val="center"/>
                </w:tcPr>
                <w:p w14:paraId="343638CB">
                  <w:pPr>
                    <w:tabs>
                      <w:tab w:val="left" w:pos="10080"/>
                    </w:tabs>
                    <w:jc w:val="center"/>
                    <w:rPr>
                      <w:rFonts w:hint="default" w:ascii="Times New Roman" w:hAnsi="Times New Roman" w:cs="Times New Roman" w:eastAsiaTheme="minorEastAsia"/>
                      <w:b/>
                      <w:color w:val="auto"/>
                      <w:kern w:val="0"/>
                      <w:sz w:val="21"/>
                      <w:szCs w:val="21"/>
                      <w:highlight w:val="none"/>
                    </w:rPr>
                  </w:pPr>
                  <w:r>
                    <w:rPr>
                      <w:rFonts w:hint="default" w:ascii="Times New Roman" w:hAnsi="Times New Roman" w:cs="Times New Roman" w:eastAsiaTheme="minorEastAsia"/>
                      <w:b/>
                      <w:color w:val="auto"/>
                      <w:kern w:val="0"/>
                      <w:sz w:val="21"/>
                      <w:szCs w:val="21"/>
                      <w:highlight w:val="none"/>
                    </w:rPr>
                    <w:t>项目名称</w:t>
                  </w:r>
                </w:p>
              </w:tc>
              <w:tc>
                <w:tcPr>
                  <w:tcW w:w="3383" w:type="dxa"/>
                  <w:noWrap w:val="0"/>
                  <w:vAlign w:val="center"/>
                </w:tcPr>
                <w:p w14:paraId="33D894D3">
                  <w:pPr>
                    <w:tabs>
                      <w:tab w:val="left" w:pos="10080"/>
                    </w:tabs>
                    <w:jc w:val="center"/>
                    <w:rPr>
                      <w:rFonts w:hint="default" w:ascii="Times New Roman" w:hAnsi="Times New Roman" w:cs="Times New Roman" w:eastAsiaTheme="minorEastAsia"/>
                      <w:b/>
                      <w:color w:val="auto"/>
                      <w:kern w:val="0"/>
                      <w:sz w:val="21"/>
                      <w:szCs w:val="21"/>
                      <w:highlight w:val="none"/>
                    </w:rPr>
                  </w:pPr>
                  <w:r>
                    <w:rPr>
                      <w:rFonts w:hint="default" w:ascii="Times New Roman" w:hAnsi="Times New Roman" w:cs="Times New Roman" w:eastAsiaTheme="minorEastAsia"/>
                      <w:b/>
                      <w:color w:val="auto"/>
                      <w:kern w:val="0"/>
                      <w:sz w:val="21"/>
                      <w:szCs w:val="21"/>
                      <w:highlight w:val="none"/>
                    </w:rPr>
                    <w:t>审批部门、文号、时间</w:t>
                  </w:r>
                </w:p>
              </w:tc>
              <w:tc>
                <w:tcPr>
                  <w:tcW w:w="643" w:type="dxa"/>
                  <w:noWrap w:val="0"/>
                  <w:vAlign w:val="center"/>
                </w:tcPr>
                <w:p w14:paraId="784EB96D">
                  <w:pPr>
                    <w:tabs>
                      <w:tab w:val="left" w:pos="10080"/>
                    </w:tabs>
                    <w:jc w:val="center"/>
                    <w:rPr>
                      <w:rFonts w:hint="default" w:ascii="Times New Roman" w:hAnsi="Times New Roman" w:cs="Times New Roman" w:eastAsiaTheme="minorEastAsia"/>
                      <w:b/>
                      <w:color w:val="auto"/>
                      <w:kern w:val="0"/>
                      <w:sz w:val="21"/>
                      <w:szCs w:val="21"/>
                      <w:highlight w:val="none"/>
                    </w:rPr>
                  </w:pPr>
                  <w:r>
                    <w:rPr>
                      <w:rFonts w:hint="default" w:ascii="Times New Roman" w:hAnsi="Times New Roman" w:cs="Times New Roman" w:eastAsiaTheme="minorEastAsia"/>
                      <w:b/>
                      <w:color w:val="auto"/>
                      <w:kern w:val="0"/>
                      <w:sz w:val="21"/>
                      <w:szCs w:val="21"/>
                      <w:highlight w:val="none"/>
                    </w:rPr>
                    <w:t>产品名称</w:t>
                  </w:r>
                </w:p>
              </w:tc>
              <w:tc>
                <w:tcPr>
                  <w:tcW w:w="907" w:type="dxa"/>
                  <w:noWrap w:val="0"/>
                  <w:vAlign w:val="center"/>
                </w:tcPr>
                <w:p w14:paraId="5E48E4EE">
                  <w:pPr>
                    <w:tabs>
                      <w:tab w:val="left" w:pos="10080"/>
                    </w:tabs>
                    <w:jc w:val="center"/>
                    <w:rPr>
                      <w:rFonts w:hint="default" w:ascii="Times New Roman" w:hAnsi="Times New Roman" w:cs="Times New Roman" w:eastAsiaTheme="minorEastAsia"/>
                      <w:b/>
                      <w:color w:val="auto"/>
                      <w:kern w:val="0"/>
                      <w:sz w:val="21"/>
                      <w:szCs w:val="21"/>
                      <w:highlight w:val="none"/>
                    </w:rPr>
                  </w:pPr>
                  <w:r>
                    <w:rPr>
                      <w:rFonts w:hint="default" w:ascii="Times New Roman" w:hAnsi="Times New Roman" w:cs="Times New Roman" w:eastAsiaTheme="minorEastAsia"/>
                      <w:b/>
                      <w:color w:val="auto"/>
                      <w:kern w:val="0"/>
                      <w:sz w:val="21"/>
                      <w:szCs w:val="21"/>
                      <w:highlight w:val="none"/>
                    </w:rPr>
                    <w:t>环评批复产能</w:t>
                  </w:r>
                </w:p>
              </w:tc>
              <w:tc>
                <w:tcPr>
                  <w:tcW w:w="2145" w:type="dxa"/>
                  <w:noWrap w:val="0"/>
                  <w:vAlign w:val="center"/>
                </w:tcPr>
                <w:p w14:paraId="777885A8">
                  <w:pPr>
                    <w:tabs>
                      <w:tab w:val="left" w:pos="10080"/>
                    </w:tabs>
                    <w:jc w:val="center"/>
                    <w:rPr>
                      <w:rFonts w:hint="default" w:ascii="Times New Roman" w:hAnsi="Times New Roman" w:cs="Times New Roman" w:eastAsiaTheme="minorEastAsia"/>
                      <w:b/>
                      <w:color w:val="auto"/>
                      <w:kern w:val="0"/>
                      <w:sz w:val="21"/>
                      <w:szCs w:val="21"/>
                      <w:highlight w:val="none"/>
                    </w:rPr>
                  </w:pPr>
                  <w:r>
                    <w:rPr>
                      <w:rFonts w:hint="default" w:ascii="Times New Roman" w:hAnsi="Times New Roman" w:cs="Times New Roman" w:eastAsiaTheme="minorEastAsia"/>
                      <w:b/>
                      <w:color w:val="auto"/>
                      <w:kern w:val="0"/>
                      <w:sz w:val="21"/>
                      <w:szCs w:val="21"/>
                      <w:highlight w:val="none"/>
                    </w:rPr>
                    <w:t>验收情况</w:t>
                  </w:r>
                </w:p>
              </w:tc>
              <w:tc>
                <w:tcPr>
                  <w:tcW w:w="702" w:type="dxa"/>
                  <w:noWrap w:val="0"/>
                  <w:vAlign w:val="center"/>
                </w:tcPr>
                <w:p w14:paraId="36174716">
                  <w:pPr>
                    <w:tabs>
                      <w:tab w:val="left" w:pos="10080"/>
                    </w:tabs>
                    <w:jc w:val="center"/>
                    <w:rPr>
                      <w:rFonts w:hint="default" w:ascii="Times New Roman" w:hAnsi="Times New Roman" w:cs="Times New Roman" w:eastAsiaTheme="minorEastAsia"/>
                      <w:b/>
                      <w:color w:val="auto"/>
                      <w:kern w:val="0"/>
                      <w:sz w:val="21"/>
                      <w:szCs w:val="21"/>
                      <w:highlight w:val="none"/>
                    </w:rPr>
                  </w:pPr>
                  <w:r>
                    <w:rPr>
                      <w:b/>
                      <w:color w:val="auto"/>
                      <w:kern w:val="0"/>
                      <w:sz w:val="21"/>
                      <w:szCs w:val="21"/>
                      <w:highlight w:val="none"/>
                    </w:rPr>
                    <w:t>验收产能</w:t>
                  </w:r>
                </w:p>
              </w:tc>
            </w:tr>
            <w:tr w14:paraId="73B5BD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8" w:type="dxa"/>
                  <w:vMerge w:val="restart"/>
                  <w:noWrap w:val="0"/>
                  <w:vAlign w:val="center"/>
                </w:tcPr>
                <w:p w14:paraId="207C0758">
                  <w:pPr>
                    <w:adjustRightInd w:val="0"/>
                    <w:snapToGrid w:val="0"/>
                    <w:jc w:val="center"/>
                    <w:rPr>
                      <w:rFonts w:hint="default" w:ascii="Times New Roman" w:hAnsi="Times New Roman" w:cs="Times New Roman" w:eastAsiaTheme="minorEastAsia"/>
                      <w:color w:val="auto"/>
                      <w:kern w:val="2"/>
                      <w:sz w:val="21"/>
                      <w:szCs w:val="21"/>
                      <w:lang w:eastAsia="zh-CN"/>
                    </w:rPr>
                  </w:pPr>
                  <w:r>
                    <w:rPr>
                      <w:rFonts w:hint="default" w:ascii="Times New Roman" w:hAnsi="Times New Roman" w:cs="Times New Roman" w:eastAsiaTheme="minorEastAsia"/>
                      <w:color w:val="auto"/>
                      <w:kern w:val="2"/>
                      <w:sz w:val="21"/>
                      <w:szCs w:val="21"/>
                      <w:lang w:val="en-US" w:eastAsia="zh-CN"/>
                    </w:rPr>
                    <w:t>软包装彩印项目</w:t>
                  </w:r>
                </w:p>
              </w:tc>
              <w:tc>
                <w:tcPr>
                  <w:tcW w:w="3383" w:type="dxa"/>
                  <w:vMerge w:val="restart"/>
                  <w:noWrap w:val="0"/>
                  <w:vAlign w:val="center"/>
                </w:tcPr>
                <w:p w14:paraId="03BED099">
                  <w:pPr>
                    <w:adjustRightInd w:val="0"/>
                    <w:snapToGrid w:val="0"/>
                    <w:jc w:val="center"/>
                    <w:rPr>
                      <w:rFonts w:hint="default" w:ascii="Times New Roman" w:hAnsi="Times New Roman" w:cs="Times New Roman" w:eastAsiaTheme="minorEastAsia"/>
                      <w:color w:val="auto"/>
                      <w:kern w:val="2"/>
                      <w:sz w:val="21"/>
                      <w:szCs w:val="21"/>
                      <w:lang w:eastAsia="zh-CN"/>
                    </w:rPr>
                  </w:pPr>
                  <w:r>
                    <w:rPr>
                      <w:rFonts w:hint="default" w:ascii="Times New Roman" w:hAnsi="Times New Roman" w:cs="Times New Roman" w:eastAsiaTheme="minorEastAsia"/>
                      <w:color w:val="auto"/>
                      <w:kern w:val="2"/>
                      <w:sz w:val="21"/>
                      <w:szCs w:val="21"/>
                      <w:lang w:eastAsia="zh-CN"/>
                    </w:rPr>
                    <w:t>常州市生态环境局，</w:t>
                  </w:r>
                  <w:r>
                    <w:rPr>
                      <w:rFonts w:hint="default" w:ascii="Times New Roman" w:hAnsi="Times New Roman" w:cs="Times New Roman" w:eastAsiaTheme="minorEastAsia"/>
                      <w:color w:val="auto"/>
                      <w:kern w:val="2"/>
                      <w:sz w:val="21"/>
                      <w:szCs w:val="21"/>
                      <w:lang w:val="en-US" w:eastAsia="zh-CN"/>
                    </w:rPr>
                    <w:t>常金环审〔2022〕59号</w:t>
                  </w:r>
                  <w:r>
                    <w:rPr>
                      <w:rFonts w:hint="default" w:ascii="Times New Roman" w:hAnsi="Times New Roman" w:cs="Times New Roman" w:eastAsiaTheme="minorEastAsia"/>
                      <w:color w:val="auto"/>
                      <w:kern w:val="2"/>
                      <w:sz w:val="21"/>
                      <w:szCs w:val="21"/>
                      <w:lang w:eastAsia="zh-CN"/>
                    </w:rPr>
                    <w:t>，</w:t>
                  </w:r>
                  <w:r>
                    <w:rPr>
                      <w:rFonts w:hint="default" w:ascii="Times New Roman" w:hAnsi="Times New Roman" w:cs="Times New Roman" w:eastAsiaTheme="minorEastAsia"/>
                      <w:color w:val="auto"/>
                      <w:kern w:val="2"/>
                      <w:sz w:val="21"/>
                      <w:szCs w:val="21"/>
                      <w:lang w:val="en-US" w:eastAsia="zh-CN"/>
                    </w:rPr>
                    <w:t>2022年8月25日</w:t>
                  </w:r>
                </w:p>
              </w:tc>
              <w:tc>
                <w:tcPr>
                  <w:tcW w:w="643" w:type="dxa"/>
                  <w:noWrap w:val="0"/>
                  <w:vAlign w:val="center"/>
                </w:tcPr>
                <w:p w14:paraId="7184B9F0">
                  <w:pPr>
                    <w:adjustRightInd w:val="0"/>
                    <w:snapToGrid w:val="0"/>
                    <w:jc w:val="center"/>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塑料膜</w:t>
                  </w:r>
                </w:p>
              </w:tc>
              <w:tc>
                <w:tcPr>
                  <w:tcW w:w="907" w:type="dxa"/>
                  <w:noWrap w:val="0"/>
                  <w:vAlign w:val="center"/>
                </w:tcPr>
                <w:p w14:paraId="641B15F4">
                  <w:pPr>
                    <w:adjustRightInd w:val="0"/>
                    <w:snapToGrid w:val="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200t</w:t>
                  </w:r>
                  <w:r>
                    <w:rPr>
                      <w:rFonts w:hint="default" w:ascii="Times New Roman" w:hAnsi="Times New Roman" w:cs="Times New Roman" w:eastAsiaTheme="minorEastAsia"/>
                      <w:color w:val="auto"/>
                      <w:kern w:val="2"/>
                      <w:sz w:val="21"/>
                      <w:szCs w:val="21"/>
                      <w:lang w:eastAsia="zh-CN"/>
                    </w:rPr>
                    <w:t>/a</w:t>
                  </w:r>
                </w:p>
              </w:tc>
              <w:tc>
                <w:tcPr>
                  <w:tcW w:w="2145" w:type="dxa"/>
                  <w:vMerge w:val="restart"/>
                  <w:noWrap w:val="0"/>
                  <w:vAlign w:val="center"/>
                </w:tcPr>
                <w:p w14:paraId="2496008A">
                  <w:pPr>
                    <w:pStyle w:val="11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color w:val="auto"/>
                      <w:kern w:val="0"/>
                      <w:sz w:val="21"/>
                      <w:szCs w:val="21"/>
                      <w:highlight w:val="none"/>
                    </w:rPr>
                  </w:pPr>
                  <w:r>
                    <w:rPr>
                      <w:rFonts w:hint="eastAsia" w:ascii="Times New Roman" w:hAnsi="Times New Roman" w:eastAsia="宋体" w:cs="Times New Roman"/>
                      <w:b w:val="0"/>
                      <w:snapToGrid/>
                      <w:color w:val="auto"/>
                      <w:kern w:val="2"/>
                      <w:sz w:val="21"/>
                      <w:szCs w:val="21"/>
                      <w:lang w:val="en-US" w:eastAsia="zh-CN" w:bidi="ar-SA"/>
                    </w:rPr>
                    <w:t>2023年4月8日通过“三同时”自主验收</w:t>
                  </w:r>
                </w:p>
              </w:tc>
              <w:tc>
                <w:tcPr>
                  <w:tcW w:w="702" w:type="dxa"/>
                  <w:noWrap w:val="0"/>
                  <w:vAlign w:val="center"/>
                </w:tcPr>
                <w:p w14:paraId="7B07BB76">
                  <w:pPr>
                    <w:pStyle w:val="11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val="0"/>
                      <w:bCs/>
                      <w:color w:val="auto"/>
                      <w:sz w:val="21"/>
                      <w:szCs w:val="21"/>
                      <w:highlight w:val="none"/>
                      <w:lang w:val="en-US" w:eastAsia="zh-CN"/>
                    </w:rPr>
                  </w:pPr>
                  <w:r>
                    <w:rPr>
                      <w:rFonts w:hint="eastAsia" w:cs="Times New Roman" w:eastAsiaTheme="minorEastAsia"/>
                      <w:b w:val="0"/>
                      <w:bCs/>
                      <w:color w:val="auto"/>
                      <w:sz w:val="21"/>
                      <w:szCs w:val="21"/>
                      <w:highlight w:val="none"/>
                      <w:lang w:val="en-US" w:eastAsia="zh-CN"/>
                    </w:rPr>
                    <w:t>120</w:t>
                  </w:r>
                  <w:r>
                    <w:rPr>
                      <w:rFonts w:hint="eastAsia" w:ascii="Times New Roman" w:hAnsi="Times New Roman" w:cs="Times New Roman" w:eastAsiaTheme="minorEastAsia"/>
                      <w:b w:val="0"/>
                      <w:bCs/>
                      <w:color w:val="auto"/>
                      <w:kern w:val="2"/>
                      <w:sz w:val="21"/>
                      <w:szCs w:val="21"/>
                      <w:lang w:val="en-US" w:eastAsia="zh-CN"/>
                    </w:rPr>
                    <w:t>t</w:t>
                  </w:r>
                  <w:r>
                    <w:rPr>
                      <w:rFonts w:hint="default" w:ascii="Times New Roman" w:hAnsi="Times New Roman" w:cs="Times New Roman" w:eastAsiaTheme="minorEastAsia"/>
                      <w:b w:val="0"/>
                      <w:bCs/>
                      <w:color w:val="auto"/>
                      <w:kern w:val="2"/>
                      <w:sz w:val="21"/>
                      <w:szCs w:val="21"/>
                      <w:lang w:eastAsia="zh-CN"/>
                    </w:rPr>
                    <w:t>/a</w:t>
                  </w:r>
                </w:p>
              </w:tc>
            </w:tr>
            <w:tr w14:paraId="151607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8" w:type="dxa"/>
                  <w:vMerge w:val="continue"/>
                  <w:noWrap w:val="0"/>
                  <w:vAlign w:val="center"/>
                </w:tcPr>
                <w:p w14:paraId="378AD4C0">
                  <w:pPr>
                    <w:adjustRightInd w:val="0"/>
                    <w:snapToGrid w:val="0"/>
                    <w:jc w:val="center"/>
                    <w:rPr>
                      <w:rFonts w:hint="default" w:ascii="Times New Roman" w:hAnsi="Times New Roman" w:cs="Times New Roman" w:eastAsiaTheme="minorEastAsia"/>
                      <w:color w:val="auto"/>
                      <w:kern w:val="2"/>
                      <w:sz w:val="21"/>
                      <w:szCs w:val="21"/>
                      <w:lang w:eastAsia="zh-CN"/>
                    </w:rPr>
                  </w:pPr>
                </w:p>
              </w:tc>
              <w:tc>
                <w:tcPr>
                  <w:tcW w:w="3383" w:type="dxa"/>
                  <w:vMerge w:val="continue"/>
                  <w:noWrap w:val="0"/>
                  <w:vAlign w:val="center"/>
                </w:tcPr>
                <w:p w14:paraId="03B0711E">
                  <w:pPr>
                    <w:adjustRightInd w:val="0"/>
                    <w:snapToGrid w:val="0"/>
                    <w:jc w:val="center"/>
                    <w:rPr>
                      <w:rFonts w:hint="default" w:ascii="Times New Roman" w:hAnsi="Times New Roman" w:cs="Times New Roman" w:eastAsiaTheme="minorEastAsia"/>
                      <w:color w:val="auto"/>
                      <w:kern w:val="2"/>
                      <w:sz w:val="21"/>
                      <w:szCs w:val="21"/>
                      <w:lang w:eastAsia="zh-CN"/>
                    </w:rPr>
                  </w:pPr>
                </w:p>
              </w:tc>
              <w:tc>
                <w:tcPr>
                  <w:tcW w:w="643" w:type="dxa"/>
                  <w:noWrap w:val="0"/>
                  <w:vAlign w:val="center"/>
                </w:tcPr>
                <w:p w14:paraId="766C3BC0">
                  <w:pPr>
                    <w:adjustRightInd w:val="0"/>
                    <w:snapToGrid w:val="0"/>
                    <w:jc w:val="center"/>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塑料包装袋</w:t>
                  </w:r>
                </w:p>
              </w:tc>
              <w:tc>
                <w:tcPr>
                  <w:tcW w:w="907" w:type="dxa"/>
                  <w:noWrap w:val="0"/>
                  <w:vAlign w:val="center"/>
                </w:tcPr>
                <w:p w14:paraId="4E22F779">
                  <w:pPr>
                    <w:adjustRightInd w:val="0"/>
                    <w:snapToGrid w:val="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300t</w:t>
                  </w:r>
                  <w:r>
                    <w:rPr>
                      <w:rFonts w:hint="default" w:ascii="Times New Roman" w:hAnsi="Times New Roman" w:cs="Times New Roman" w:eastAsiaTheme="minorEastAsia"/>
                      <w:color w:val="auto"/>
                      <w:kern w:val="2"/>
                      <w:sz w:val="21"/>
                      <w:szCs w:val="21"/>
                      <w:lang w:eastAsia="zh-CN"/>
                    </w:rPr>
                    <w:t>/a</w:t>
                  </w:r>
                </w:p>
              </w:tc>
              <w:tc>
                <w:tcPr>
                  <w:tcW w:w="2145" w:type="dxa"/>
                  <w:vMerge w:val="continue"/>
                  <w:noWrap w:val="0"/>
                  <w:vAlign w:val="center"/>
                </w:tcPr>
                <w:p w14:paraId="53D52B24">
                  <w:pPr>
                    <w:tabs>
                      <w:tab w:val="left" w:pos="10080"/>
                    </w:tabs>
                    <w:jc w:val="center"/>
                    <w:rPr>
                      <w:rFonts w:hint="default" w:ascii="Times New Roman" w:hAnsi="Times New Roman" w:cs="Times New Roman" w:eastAsiaTheme="minorEastAsia"/>
                      <w:bCs/>
                      <w:color w:val="auto"/>
                      <w:sz w:val="21"/>
                      <w:szCs w:val="21"/>
                      <w:highlight w:val="none"/>
                    </w:rPr>
                  </w:pPr>
                </w:p>
              </w:tc>
              <w:tc>
                <w:tcPr>
                  <w:tcW w:w="702" w:type="dxa"/>
                  <w:noWrap w:val="0"/>
                  <w:vAlign w:val="center"/>
                </w:tcPr>
                <w:p w14:paraId="39E83997">
                  <w:pPr>
                    <w:tabs>
                      <w:tab w:val="left" w:pos="10080"/>
                    </w:tabs>
                    <w:jc w:val="center"/>
                    <w:rPr>
                      <w:rFonts w:hint="default" w:ascii="Times New Roman" w:hAnsi="Times New Roman" w:cs="Times New Roman" w:eastAsiaTheme="minorEastAsia"/>
                      <w:b w:val="0"/>
                      <w:bCs/>
                      <w:color w:val="auto"/>
                      <w:sz w:val="21"/>
                      <w:szCs w:val="21"/>
                      <w:highlight w:val="none"/>
                      <w:lang w:val="en-US" w:eastAsia="zh-CN"/>
                    </w:rPr>
                  </w:pPr>
                  <w:r>
                    <w:rPr>
                      <w:rFonts w:hint="eastAsia" w:cs="Times New Roman" w:eastAsiaTheme="minorEastAsia"/>
                      <w:b w:val="0"/>
                      <w:bCs/>
                      <w:color w:val="auto"/>
                      <w:sz w:val="21"/>
                      <w:szCs w:val="21"/>
                      <w:highlight w:val="none"/>
                      <w:lang w:val="en-US" w:eastAsia="zh-CN"/>
                    </w:rPr>
                    <w:t>180</w:t>
                  </w:r>
                  <w:r>
                    <w:rPr>
                      <w:rFonts w:hint="eastAsia" w:ascii="Times New Roman" w:hAnsi="Times New Roman" w:cs="Times New Roman" w:eastAsiaTheme="minorEastAsia"/>
                      <w:b w:val="0"/>
                      <w:bCs/>
                      <w:color w:val="auto"/>
                      <w:kern w:val="2"/>
                      <w:sz w:val="21"/>
                      <w:szCs w:val="21"/>
                      <w:lang w:val="en-US" w:eastAsia="zh-CN"/>
                    </w:rPr>
                    <w:t>t</w:t>
                  </w:r>
                  <w:r>
                    <w:rPr>
                      <w:rFonts w:hint="default" w:ascii="Times New Roman" w:hAnsi="Times New Roman" w:cs="Times New Roman" w:eastAsiaTheme="minorEastAsia"/>
                      <w:b w:val="0"/>
                      <w:bCs/>
                      <w:color w:val="auto"/>
                      <w:kern w:val="2"/>
                      <w:sz w:val="21"/>
                      <w:szCs w:val="21"/>
                      <w:lang w:eastAsia="zh-CN"/>
                    </w:rPr>
                    <w:t>/a</w:t>
                  </w:r>
                </w:p>
              </w:tc>
            </w:tr>
          </w:tbl>
          <w:p w14:paraId="2F6187B4">
            <w:pPr>
              <w:pStyle w:val="7"/>
              <w:keepNext w:val="0"/>
              <w:keepLines w:val="0"/>
              <w:pageBreakBefore w:val="0"/>
              <w:widowControl w:val="0"/>
              <w:kinsoku/>
              <w:wordWrap/>
              <w:overflowPunct/>
              <w:topLinePunct w:val="0"/>
              <w:autoSpaceDE/>
              <w:autoSpaceDN/>
              <w:bidi w:val="0"/>
              <w:adjustRightInd w:val="0"/>
              <w:snapToGrid w:val="0"/>
              <w:spacing w:before="120" w:beforeLines="50" w:line="500" w:lineRule="exact"/>
              <w:ind w:firstLine="422"/>
              <w:textAlignment w:val="auto"/>
              <w:rPr>
                <w:rFonts w:hint="default" w:ascii="Times New Roman" w:hAnsi="Times New Roman" w:cs="Times New Roman" w:eastAsiaTheme="minorEastAsia"/>
                <w:b w:val="0"/>
                <w:bCs/>
                <w:snapToGrid w:val="0"/>
                <w:color w:val="auto"/>
                <w:kern w:val="2"/>
                <w:sz w:val="21"/>
                <w:szCs w:val="21"/>
                <w:highlight w:val="none"/>
                <w:lang w:val="en-US" w:eastAsia="zh-CN" w:bidi="ar-SA"/>
              </w:rPr>
            </w:pPr>
            <w:r>
              <w:rPr>
                <w:rFonts w:hint="default" w:ascii="Times New Roman" w:hAnsi="Times New Roman" w:cs="Times New Roman" w:eastAsiaTheme="minorEastAsia"/>
                <w:b w:val="0"/>
                <w:bCs/>
                <w:snapToGrid w:val="0"/>
                <w:color w:val="auto"/>
                <w:kern w:val="2"/>
                <w:sz w:val="21"/>
                <w:szCs w:val="21"/>
                <w:highlight w:val="none"/>
                <w:lang w:val="en-US" w:eastAsia="zh-CN" w:bidi="ar-SA"/>
              </w:rPr>
              <w:t>二、原有项目建设内容</w:t>
            </w:r>
          </w:p>
          <w:p w14:paraId="2353104B">
            <w:pPr>
              <w:pStyle w:val="7"/>
              <w:keepNext w:val="0"/>
              <w:keepLines w:val="0"/>
              <w:pageBreakBefore w:val="0"/>
              <w:widowControl w:val="0"/>
              <w:kinsoku/>
              <w:wordWrap/>
              <w:overflowPunct/>
              <w:topLinePunct w:val="0"/>
              <w:autoSpaceDE/>
              <w:autoSpaceDN/>
              <w:bidi w:val="0"/>
              <w:adjustRightInd w:val="0"/>
              <w:snapToGrid w:val="0"/>
              <w:spacing w:line="500" w:lineRule="exact"/>
              <w:ind w:firstLine="422"/>
              <w:textAlignment w:val="auto"/>
              <w:rPr>
                <w:rFonts w:hint="default" w:ascii="Times New Roman" w:hAnsi="Times New Roman" w:cs="Times New Roman" w:eastAsiaTheme="minorEastAsia"/>
                <w:b w:val="0"/>
                <w:bCs/>
                <w:snapToGrid w:val="0"/>
                <w:color w:val="auto"/>
                <w:kern w:val="2"/>
                <w:sz w:val="21"/>
                <w:szCs w:val="21"/>
                <w:highlight w:val="none"/>
                <w:lang w:val="en-US" w:eastAsia="zh-CN" w:bidi="ar-SA"/>
              </w:rPr>
            </w:pPr>
            <w:r>
              <w:rPr>
                <w:rFonts w:hint="eastAsia" w:ascii="Times New Roman" w:hAnsi="Times New Roman" w:eastAsia="宋体" w:cs="Times New Roman"/>
                <w:b w:val="0"/>
                <w:snapToGrid/>
                <w:color w:val="auto"/>
                <w:kern w:val="2"/>
                <w:sz w:val="21"/>
                <w:szCs w:val="21"/>
                <w:lang w:val="en-US" w:eastAsia="zh-CN" w:bidi="ar-SA"/>
              </w:rPr>
              <w:t>1、</w:t>
            </w:r>
            <w:r>
              <w:rPr>
                <w:rFonts w:hint="default" w:ascii="Times New Roman" w:hAnsi="Times New Roman" w:cs="Times New Roman" w:eastAsiaTheme="minorEastAsia"/>
                <w:b w:val="0"/>
                <w:bCs/>
                <w:snapToGrid w:val="0"/>
                <w:color w:val="auto"/>
                <w:kern w:val="2"/>
                <w:sz w:val="21"/>
                <w:szCs w:val="21"/>
                <w:highlight w:val="none"/>
                <w:lang w:val="en-US" w:eastAsia="zh-CN" w:bidi="ar-SA"/>
              </w:rPr>
              <w:t>原辅材料</w:t>
            </w:r>
          </w:p>
          <w:p w14:paraId="072425B0">
            <w:pPr>
              <w:pStyle w:val="7"/>
              <w:adjustRightInd w:val="0"/>
              <w:snapToGrid w:val="0"/>
              <w:ind w:firstLine="0" w:firstLineChars="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表2-</w:t>
            </w:r>
            <w:r>
              <w:rPr>
                <w:rFonts w:hint="default" w:ascii="Times New Roman" w:hAnsi="Times New Roman" w:cs="Times New Roman" w:eastAsiaTheme="minorEastAsia"/>
                <w:b/>
                <w:bCs/>
                <w:color w:val="auto"/>
                <w:sz w:val="21"/>
                <w:szCs w:val="21"/>
                <w:highlight w:val="none"/>
                <w:lang w:val="en-US" w:eastAsia="zh-CN"/>
              </w:rPr>
              <w:t>8</w:t>
            </w:r>
            <w:r>
              <w:rPr>
                <w:rFonts w:hint="default" w:ascii="Times New Roman" w:hAnsi="Times New Roman" w:cs="Times New Roman" w:eastAsiaTheme="minorEastAsia"/>
                <w:b/>
                <w:bCs/>
                <w:color w:val="auto"/>
                <w:sz w:val="21"/>
                <w:szCs w:val="21"/>
                <w:highlight w:val="none"/>
              </w:rPr>
              <w:t xml:space="preserve"> 原有项目主要原辅材料表</w:t>
            </w:r>
          </w:p>
          <w:tbl>
            <w:tblPr>
              <w:tblStyle w:val="31"/>
              <w:tblW w:w="4998" w:type="pct"/>
              <w:jc w:val="center"/>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169"/>
              <w:gridCol w:w="1092"/>
              <w:gridCol w:w="2439"/>
              <w:gridCol w:w="1317"/>
              <w:gridCol w:w="1318"/>
              <w:gridCol w:w="1318"/>
            </w:tblGrid>
            <w:tr w14:paraId="3E4890BC">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69" w:hRule="atLeast"/>
                <w:jc w:val="center"/>
              </w:trPr>
              <w:tc>
                <w:tcPr>
                  <w:tcW w:w="1169" w:type="dxa"/>
                  <w:vMerge w:val="restart"/>
                  <w:noWrap w:val="0"/>
                  <w:vAlign w:val="center"/>
                </w:tcPr>
                <w:p w14:paraId="12F52946">
                  <w:pPr>
                    <w:jc w:val="center"/>
                    <w:rPr>
                      <w:b/>
                      <w:bCs/>
                      <w:color w:val="auto"/>
                      <w:sz w:val="21"/>
                      <w:szCs w:val="21"/>
                      <w:highlight w:val="none"/>
                    </w:rPr>
                  </w:pPr>
                  <w:r>
                    <w:rPr>
                      <w:rFonts w:hint="eastAsia"/>
                      <w:b/>
                      <w:bCs/>
                      <w:color w:val="auto"/>
                      <w:sz w:val="21"/>
                      <w:szCs w:val="21"/>
                      <w:highlight w:val="none"/>
                    </w:rPr>
                    <w:t>产品名称</w:t>
                  </w:r>
                </w:p>
              </w:tc>
              <w:tc>
                <w:tcPr>
                  <w:tcW w:w="1092" w:type="dxa"/>
                  <w:vMerge w:val="restart"/>
                  <w:noWrap w:val="0"/>
                  <w:vAlign w:val="center"/>
                </w:tcPr>
                <w:p w14:paraId="02656DFF">
                  <w:pPr>
                    <w:jc w:val="center"/>
                    <w:rPr>
                      <w:b/>
                      <w:bCs/>
                      <w:color w:val="auto"/>
                      <w:sz w:val="21"/>
                      <w:szCs w:val="21"/>
                      <w:highlight w:val="none"/>
                    </w:rPr>
                  </w:pPr>
                  <w:r>
                    <w:rPr>
                      <w:b/>
                      <w:bCs/>
                      <w:color w:val="auto"/>
                      <w:sz w:val="21"/>
                      <w:szCs w:val="21"/>
                      <w:highlight w:val="none"/>
                    </w:rPr>
                    <w:t>名称</w:t>
                  </w:r>
                </w:p>
              </w:tc>
              <w:tc>
                <w:tcPr>
                  <w:tcW w:w="2439" w:type="dxa"/>
                  <w:vMerge w:val="restart"/>
                  <w:noWrap w:val="0"/>
                  <w:vAlign w:val="center"/>
                </w:tcPr>
                <w:p w14:paraId="557383BE">
                  <w:pPr>
                    <w:jc w:val="cente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成分</w:t>
                  </w:r>
                </w:p>
              </w:tc>
              <w:tc>
                <w:tcPr>
                  <w:tcW w:w="1317" w:type="dxa"/>
                  <w:vMerge w:val="restart"/>
                  <w:noWrap w:val="0"/>
                  <w:vAlign w:val="center"/>
                </w:tcPr>
                <w:p w14:paraId="14DB0D18">
                  <w:pPr>
                    <w:jc w:val="center"/>
                    <w:rPr>
                      <w:b/>
                      <w:bCs/>
                      <w:color w:val="auto"/>
                      <w:sz w:val="21"/>
                      <w:szCs w:val="21"/>
                      <w:highlight w:val="none"/>
                    </w:rPr>
                  </w:pPr>
                  <w:r>
                    <w:rPr>
                      <w:rFonts w:hint="eastAsia"/>
                      <w:b/>
                      <w:bCs/>
                      <w:color w:val="auto"/>
                      <w:sz w:val="21"/>
                      <w:szCs w:val="21"/>
                      <w:highlight w:val="none"/>
                    </w:rPr>
                    <w:t>环评设计消耗量t/a</w:t>
                  </w:r>
                </w:p>
              </w:tc>
              <w:tc>
                <w:tcPr>
                  <w:tcW w:w="2636" w:type="dxa"/>
                  <w:gridSpan w:val="2"/>
                  <w:noWrap w:val="0"/>
                  <w:vAlign w:val="center"/>
                </w:tcPr>
                <w:p w14:paraId="2442BBB6">
                  <w:pPr>
                    <w:jc w:val="center"/>
                    <w:rPr>
                      <w:rFonts w:hint="eastAsia"/>
                      <w:b/>
                      <w:bCs/>
                      <w:color w:val="auto"/>
                      <w:sz w:val="21"/>
                      <w:szCs w:val="21"/>
                      <w:highlight w:val="none"/>
                    </w:rPr>
                  </w:pPr>
                  <w:r>
                    <w:rPr>
                      <w:rFonts w:hint="eastAsia"/>
                      <w:b/>
                      <w:bCs/>
                      <w:color w:val="auto"/>
                      <w:sz w:val="21"/>
                      <w:szCs w:val="21"/>
                      <w:highlight w:val="none"/>
                    </w:rPr>
                    <w:t>实际</w:t>
                  </w:r>
                  <w:r>
                    <w:rPr>
                      <w:b/>
                      <w:bCs/>
                      <w:color w:val="auto"/>
                      <w:sz w:val="21"/>
                      <w:szCs w:val="21"/>
                      <w:highlight w:val="none"/>
                    </w:rPr>
                    <w:t>消耗量</w:t>
                  </w:r>
                  <w:r>
                    <w:rPr>
                      <w:rFonts w:hint="eastAsia"/>
                      <w:b/>
                      <w:bCs/>
                      <w:color w:val="auto"/>
                      <w:sz w:val="21"/>
                      <w:szCs w:val="21"/>
                      <w:highlight w:val="none"/>
                    </w:rPr>
                    <w:t>t/a</w:t>
                  </w:r>
                </w:p>
              </w:tc>
            </w:tr>
            <w:tr w14:paraId="598E3B58">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69" w:hRule="atLeast"/>
                <w:jc w:val="center"/>
              </w:trPr>
              <w:tc>
                <w:tcPr>
                  <w:tcW w:w="1169" w:type="dxa"/>
                  <w:vMerge w:val="continue"/>
                  <w:noWrap w:val="0"/>
                  <w:vAlign w:val="center"/>
                </w:tcPr>
                <w:p w14:paraId="7911A320">
                  <w:pPr>
                    <w:jc w:val="center"/>
                    <w:rPr>
                      <w:color w:val="auto"/>
                    </w:rPr>
                  </w:pPr>
                </w:p>
              </w:tc>
              <w:tc>
                <w:tcPr>
                  <w:tcW w:w="1092" w:type="dxa"/>
                  <w:vMerge w:val="continue"/>
                  <w:noWrap w:val="0"/>
                  <w:vAlign w:val="center"/>
                </w:tcPr>
                <w:p w14:paraId="2EEE34DA">
                  <w:pPr>
                    <w:jc w:val="center"/>
                    <w:rPr>
                      <w:color w:val="auto"/>
                    </w:rPr>
                  </w:pPr>
                </w:p>
              </w:tc>
              <w:tc>
                <w:tcPr>
                  <w:tcW w:w="2439" w:type="dxa"/>
                  <w:vMerge w:val="continue"/>
                  <w:noWrap w:val="0"/>
                  <w:vAlign w:val="center"/>
                </w:tcPr>
                <w:p w14:paraId="63E22974">
                  <w:pPr>
                    <w:jc w:val="center"/>
                    <w:rPr>
                      <w:color w:val="auto"/>
                    </w:rPr>
                  </w:pPr>
                </w:p>
              </w:tc>
              <w:tc>
                <w:tcPr>
                  <w:tcW w:w="1317" w:type="dxa"/>
                  <w:vMerge w:val="continue"/>
                  <w:noWrap w:val="0"/>
                  <w:vAlign w:val="center"/>
                </w:tcPr>
                <w:p w14:paraId="4B0A6DF2">
                  <w:pPr>
                    <w:jc w:val="center"/>
                    <w:rPr>
                      <w:color w:val="auto"/>
                    </w:rPr>
                  </w:pPr>
                </w:p>
              </w:tc>
              <w:tc>
                <w:tcPr>
                  <w:tcW w:w="1318" w:type="dxa"/>
                  <w:noWrap w:val="0"/>
                  <w:vAlign w:val="center"/>
                </w:tcPr>
                <w:p w14:paraId="4F869F25">
                  <w:pPr>
                    <w:jc w:val="center"/>
                    <w:rPr>
                      <w:rFonts w:hint="eastAsia" w:eastAsia="宋体"/>
                      <w:b/>
                      <w:bCs/>
                      <w:color w:val="auto"/>
                      <w:lang w:val="en-US" w:eastAsia="zh-CN"/>
                    </w:rPr>
                  </w:pPr>
                  <w:r>
                    <w:rPr>
                      <w:rFonts w:hint="eastAsia"/>
                      <w:b/>
                      <w:bCs/>
                      <w:color w:val="auto"/>
                      <w:lang w:val="en-US" w:eastAsia="zh-CN"/>
                    </w:rPr>
                    <w:t>已建</w:t>
                  </w:r>
                </w:p>
              </w:tc>
              <w:tc>
                <w:tcPr>
                  <w:tcW w:w="1318" w:type="dxa"/>
                  <w:noWrap w:val="0"/>
                  <w:vAlign w:val="center"/>
                </w:tcPr>
                <w:p w14:paraId="3B9798FF">
                  <w:pPr>
                    <w:jc w:val="center"/>
                    <w:rPr>
                      <w:rFonts w:hint="eastAsia" w:eastAsia="宋体"/>
                      <w:b/>
                      <w:bCs/>
                      <w:color w:val="auto"/>
                      <w:lang w:val="en-US" w:eastAsia="zh-CN"/>
                    </w:rPr>
                  </w:pPr>
                  <w:r>
                    <w:rPr>
                      <w:rFonts w:hint="eastAsia"/>
                      <w:b/>
                      <w:bCs/>
                      <w:color w:val="auto"/>
                      <w:lang w:val="en-US" w:eastAsia="zh-CN"/>
                    </w:rPr>
                    <w:t>在建</w:t>
                  </w:r>
                </w:p>
              </w:tc>
            </w:tr>
            <w:tr w14:paraId="2B265EA9">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69" w:type="dxa"/>
                  <w:vMerge w:val="restart"/>
                  <w:noWrap w:val="0"/>
                  <w:vAlign w:val="center"/>
                </w:tcPr>
                <w:p w14:paraId="16F1B24A">
                  <w:pPr>
                    <w:jc w:val="center"/>
                    <w:rPr>
                      <w:color w:val="auto"/>
                      <w:sz w:val="21"/>
                      <w:szCs w:val="21"/>
                      <w:highlight w:val="none"/>
                    </w:rPr>
                  </w:pPr>
                  <w:r>
                    <w:rPr>
                      <w:rFonts w:hint="default" w:ascii="Times New Roman" w:hAnsi="Times New Roman" w:eastAsia="宋体" w:cs="Times New Roman"/>
                      <w:color w:val="auto"/>
                      <w:sz w:val="21"/>
                      <w:szCs w:val="21"/>
                      <w:lang w:val="en-US" w:eastAsia="zh-CN"/>
                    </w:rPr>
                    <w:t>塑料(膜)包装袋</w:t>
                  </w:r>
                </w:p>
              </w:tc>
              <w:tc>
                <w:tcPr>
                  <w:tcW w:w="1092" w:type="dxa"/>
                  <w:noWrap w:val="0"/>
                  <w:vAlign w:val="center"/>
                </w:tcPr>
                <w:p w14:paraId="5518C985">
                  <w:pPr>
                    <w:pStyle w:val="119"/>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PET薄膜</w:t>
                  </w:r>
                </w:p>
              </w:tc>
              <w:tc>
                <w:tcPr>
                  <w:tcW w:w="2439" w:type="dxa"/>
                  <w:noWrap w:val="0"/>
                  <w:vAlign w:val="center"/>
                </w:tcPr>
                <w:p w14:paraId="630D4E49">
                  <w:pPr>
                    <w:widowControl/>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color w:val="auto"/>
                      <w:kern w:val="0"/>
                      <w:sz w:val="21"/>
                      <w:szCs w:val="21"/>
                    </w:rPr>
                    <w:t>聚对苯二甲酸乙二醇酯</w:t>
                  </w:r>
                </w:p>
              </w:tc>
              <w:tc>
                <w:tcPr>
                  <w:tcW w:w="1317" w:type="dxa"/>
                  <w:noWrap w:val="0"/>
                  <w:vAlign w:val="center"/>
                </w:tcPr>
                <w:p w14:paraId="2BB11AD4">
                  <w:pPr>
                    <w:pStyle w:val="119"/>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120</w:t>
                  </w:r>
                </w:p>
              </w:tc>
              <w:tc>
                <w:tcPr>
                  <w:tcW w:w="1318" w:type="dxa"/>
                  <w:noWrap w:val="0"/>
                  <w:vAlign w:val="center"/>
                </w:tcPr>
                <w:p w14:paraId="0D2C318A">
                  <w:pPr>
                    <w:pStyle w:val="119"/>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lang w:val="en-US" w:eastAsia="zh-CN"/>
                    </w:rPr>
                    <w:t>72</w:t>
                  </w:r>
                </w:p>
              </w:tc>
              <w:tc>
                <w:tcPr>
                  <w:tcW w:w="1318" w:type="dxa"/>
                  <w:noWrap w:val="0"/>
                  <w:vAlign w:val="center"/>
                </w:tcPr>
                <w:p w14:paraId="784A8299">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48</w:t>
                  </w:r>
                </w:p>
              </w:tc>
            </w:tr>
            <w:tr w14:paraId="3704C07D">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69" w:type="dxa"/>
                  <w:vMerge w:val="continue"/>
                  <w:noWrap w:val="0"/>
                  <w:vAlign w:val="center"/>
                </w:tcPr>
                <w:p w14:paraId="1CCAA1B5">
                  <w:pPr>
                    <w:jc w:val="center"/>
                    <w:rPr>
                      <w:color w:val="auto"/>
                      <w:sz w:val="21"/>
                      <w:szCs w:val="21"/>
                      <w:highlight w:val="none"/>
                    </w:rPr>
                  </w:pPr>
                </w:p>
              </w:tc>
              <w:tc>
                <w:tcPr>
                  <w:tcW w:w="1092" w:type="dxa"/>
                  <w:noWrap w:val="0"/>
                  <w:vAlign w:val="center"/>
                </w:tcPr>
                <w:p w14:paraId="0A46B2E8">
                  <w:pPr>
                    <w:pStyle w:val="119"/>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BOPP薄膜</w:t>
                  </w:r>
                </w:p>
              </w:tc>
              <w:tc>
                <w:tcPr>
                  <w:tcW w:w="2439" w:type="dxa"/>
                  <w:noWrap w:val="0"/>
                  <w:vAlign w:val="center"/>
                </w:tcPr>
                <w:p w14:paraId="755992CB">
                  <w:pPr>
                    <w:widowControl/>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color w:val="auto"/>
                      <w:sz w:val="21"/>
                      <w:szCs w:val="21"/>
                    </w:rPr>
                    <w:t>聚丙烯</w:t>
                  </w:r>
                </w:p>
              </w:tc>
              <w:tc>
                <w:tcPr>
                  <w:tcW w:w="1317" w:type="dxa"/>
                  <w:noWrap w:val="0"/>
                  <w:vAlign w:val="center"/>
                </w:tcPr>
                <w:p w14:paraId="0BC2C62E">
                  <w:pPr>
                    <w:pStyle w:val="119"/>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100</w:t>
                  </w:r>
                </w:p>
              </w:tc>
              <w:tc>
                <w:tcPr>
                  <w:tcW w:w="1318" w:type="dxa"/>
                  <w:noWrap w:val="0"/>
                  <w:vAlign w:val="center"/>
                </w:tcPr>
                <w:p w14:paraId="63BF2218">
                  <w:pPr>
                    <w:pStyle w:val="119"/>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lang w:val="en-US" w:eastAsia="zh-CN"/>
                    </w:rPr>
                    <w:t>60</w:t>
                  </w:r>
                </w:p>
              </w:tc>
              <w:tc>
                <w:tcPr>
                  <w:tcW w:w="1318" w:type="dxa"/>
                  <w:noWrap w:val="0"/>
                  <w:vAlign w:val="center"/>
                </w:tcPr>
                <w:p w14:paraId="679788B3">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r>
            <w:tr w14:paraId="51EDF64A">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69" w:type="dxa"/>
                  <w:vMerge w:val="continue"/>
                  <w:noWrap w:val="0"/>
                  <w:vAlign w:val="center"/>
                </w:tcPr>
                <w:p w14:paraId="43828458">
                  <w:pPr>
                    <w:jc w:val="center"/>
                    <w:rPr>
                      <w:color w:val="auto"/>
                      <w:sz w:val="21"/>
                      <w:szCs w:val="21"/>
                      <w:highlight w:val="none"/>
                    </w:rPr>
                  </w:pPr>
                </w:p>
              </w:tc>
              <w:tc>
                <w:tcPr>
                  <w:tcW w:w="1092" w:type="dxa"/>
                  <w:noWrap w:val="0"/>
                  <w:vAlign w:val="center"/>
                </w:tcPr>
                <w:p w14:paraId="29BE3045">
                  <w:pPr>
                    <w:pStyle w:val="119"/>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PE薄膜</w:t>
                  </w:r>
                </w:p>
              </w:tc>
              <w:tc>
                <w:tcPr>
                  <w:tcW w:w="2439" w:type="dxa"/>
                  <w:noWrap w:val="0"/>
                  <w:vAlign w:val="center"/>
                </w:tcPr>
                <w:p w14:paraId="1948639F">
                  <w:pPr>
                    <w:widowControl/>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color w:val="auto"/>
                      <w:sz w:val="21"/>
                      <w:szCs w:val="21"/>
                    </w:rPr>
                    <w:t>聚乙烯</w:t>
                  </w:r>
                </w:p>
              </w:tc>
              <w:tc>
                <w:tcPr>
                  <w:tcW w:w="1317" w:type="dxa"/>
                  <w:noWrap w:val="0"/>
                  <w:vAlign w:val="center"/>
                </w:tcPr>
                <w:p w14:paraId="55E53CB9">
                  <w:pPr>
                    <w:pStyle w:val="119"/>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250</w:t>
                  </w:r>
                </w:p>
              </w:tc>
              <w:tc>
                <w:tcPr>
                  <w:tcW w:w="1318" w:type="dxa"/>
                  <w:noWrap w:val="0"/>
                  <w:vAlign w:val="center"/>
                </w:tcPr>
                <w:p w14:paraId="278D8A6A">
                  <w:pPr>
                    <w:pStyle w:val="119"/>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lang w:val="en-US" w:eastAsia="zh-CN"/>
                    </w:rPr>
                    <w:t>150</w:t>
                  </w:r>
                </w:p>
              </w:tc>
              <w:tc>
                <w:tcPr>
                  <w:tcW w:w="1318" w:type="dxa"/>
                  <w:noWrap w:val="0"/>
                  <w:vAlign w:val="center"/>
                </w:tcPr>
                <w:p w14:paraId="5C232159">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100</w:t>
                  </w:r>
                </w:p>
              </w:tc>
            </w:tr>
            <w:tr w14:paraId="296CD7A4">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69" w:type="dxa"/>
                  <w:vMerge w:val="continue"/>
                  <w:noWrap w:val="0"/>
                  <w:vAlign w:val="center"/>
                </w:tcPr>
                <w:p w14:paraId="15A96DBD">
                  <w:pPr>
                    <w:jc w:val="center"/>
                    <w:rPr>
                      <w:color w:val="auto"/>
                      <w:sz w:val="21"/>
                      <w:szCs w:val="21"/>
                      <w:highlight w:val="none"/>
                    </w:rPr>
                  </w:pPr>
                </w:p>
              </w:tc>
              <w:tc>
                <w:tcPr>
                  <w:tcW w:w="1092" w:type="dxa"/>
                  <w:noWrap w:val="0"/>
                  <w:vAlign w:val="center"/>
                </w:tcPr>
                <w:p w14:paraId="6463C02C">
                  <w:pPr>
                    <w:pStyle w:val="119"/>
                    <w:bidi w:val="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PA薄膜</w:t>
                  </w:r>
                </w:p>
              </w:tc>
              <w:tc>
                <w:tcPr>
                  <w:tcW w:w="2439" w:type="dxa"/>
                  <w:noWrap w:val="0"/>
                  <w:vAlign w:val="center"/>
                </w:tcPr>
                <w:p w14:paraId="60547741">
                  <w:pPr>
                    <w:widowControl/>
                    <w:spacing w:line="320" w:lineRule="exact"/>
                    <w:jc w:val="center"/>
                    <w:rPr>
                      <w:rFonts w:hint="default" w:ascii="Times New Roman" w:hAnsi="Times New Roman" w:eastAsia="宋体" w:cs="Times New Roman"/>
                      <w:color w:val="auto"/>
                      <w:sz w:val="21"/>
                      <w:szCs w:val="21"/>
                      <w:highlight w:val="none"/>
                    </w:rPr>
                  </w:pPr>
                  <w:r>
                    <w:rPr>
                      <w:color w:val="auto"/>
                      <w:sz w:val="21"/>
                      <w:szCs w:val="21"/>
                    </w:rPr>
                    <w:t>聚酰胺</w:t>
                  </w:r>
                </w:p>
              </w:tc>
              <w:tc>
                <w:tcPr>
                  <w:tcW w:w="1317" w:type="dxa"/>
                  <w:noWrap w:val="0"/>
                  <w:vAlign w:val="center"/>
                </w:tcPr>
                <w:p w14:paraId="4857CB27">
                  <w:pPr>
                    <w:pStyle w:val="119"/>
                    <w:bidi w:val="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30</w:t>
                  </w:r>
                </w:p>
              </w:tc>
              <w:tc>
                <w:tcPr>
                  <w:tcW w:w="1318" w:type="dxa"/>
                  <w:noWrap w:val="0"/>
                  <w:vAlign w:val="center"/>
                </w:tcPr>
                <w:p w14:paraId="47CCDE29">
                  <w:pPr>
                    <w:pStyle w:val="119"/>
                    <w:bidi w:val="0"/>
                    <w:ind w:firstLine="0" w:firstLineChars="0"/>
                    <w:rPr>
                      <w:rFonts w:hint="default" w:ascii="Times New Roman" w:hAnsi="Times New Roman" w:eastAsia="宋体" w:cs="Times New Roman"/>
                      <w:color w:val="auto"/>
                      <w:sz w:val="21"/>
                      <w:szCs w:val="21"/>
                      <w:highlight w:val="none"/>
                    </w:rPr>
                  </w:pPr>
                  <w:r>
                    <w:rPr>
                      <w:rFonts w:hint="eastAsia" w:cs="Times New Roman"/>
                      <w:color w:val="auto"/>
                      <w:sz w:val="21"/>
                      <w:szCs w:val="21"/>
                      <w:lang w:val="en-US" w:eastAsia="zh-CN"/>
                    </w:rPr>
                    <w:t>18</w:t>
                  </w:r>
                </w:p>
              </w:tc>
              <w:tc>
                <w:tcPr>
                  <w:tcW w:w="1318" w:type="dxa"/>
                  <w:noWrap w:val="0"/>
                  <w:vAlign w:val="center"/>
                </w:tcPr>
                <w:p w14:paraId="3C53F376">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w:t>
                  </w:r>
                </w:p>
              </w:tc>
            </w:tr>
            <w:tr w14:paraId="0B4EC977">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69" w:type="dxa"/>
                  <w:vMerge w:val="continue"/>
                  <w:noWrap w:val="0"/>
                  <w:vAlign w:val="center"/>
                </w:tcPr>
                <w:p w14:paraId="3D41810F">
                  <w:pPr>
                    <w:jc w:val="center"/>
                    <w:rPr>
                      <w:color w:val="auto"/>
                      <w:sz w:val="21"/>
                      <w:szCs w:val="21"/>
                      <w:highlight w:val="none"/>
                    </w:rPr>
                  </w:pPr>
                </w:p>
              </w:tc>
              <w:tc>
                <w:tcPr>
                  <w:tcW w:w="1092" w:type="dxa"/>
                  <w:noWrap w:val="0"/>
                  <w:vAlign w:val="center"/>
                </w:tcPr>
                <w:p w14:paraId="42670778">
                  <w:pPr>
                    <w:pStyle w:val="119"/>
                    <w:bidi w:val="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水性油墨</w:t>
                  </w:r>
                </w:p>
              </w:tc>
              <w:tc>
                <w:tcPr>
                  <w:tcW w:w="2439" w:type="dxa"/>
                  <w:noWrap w:val="0"/>
                  <w:vAlign w:val="center"/>
                </w:tcPr>
                <w:p w14:paraId="3A444CFC">
                  <w:pPr>
                    <w:pStyle w:val="49"/>
                    <w:adjustRightInd w:val="0"/>
                    <w:snapToGrid w:val="0"/>
                    <w:rPr>
                      <w:rFonts w:hint="default" w:ascii="Times New Roman" w:hAnsi="Times New Roman" w:eastAsia="宋体" w:cs="Times New Roman"/>
                      <w:color w:val="auto"/>
                      <w:sz w:val="21"/>
                      <w:szCs w:val="21"/>
                      <w:highlight w:val="none"/>
                    </w:rPr>
                  </w:pPr>
                  <w:r>
                    <w:rPr>
                      <w:rFonts w:ascii="Times New Roman" w:hAnsi="Times New Roman" w:eastAsia="宋体"/>
                      <w:color w:val="auto"/>
                      <w:sz w:val="21"/>
                      <w:szCs w:val="21"/>
                    </w:rPr>
                    <w:t>聚氨酯树脂40%，钛白粉37%，水6%，乙醇17%</w:t>
                  </w:r>
                </w:p>
              </w:tc>
              <w:tc>
                <w:tcPr>
                  <w:tcW w:w="1317" w:type="dxa"/>
                  <w:noWrap w:val="0"/>
                  <w:vAlign w:val="center"/>
                </w:tcPr>
                <w:p w14:paraId="7B2C6671">
                  <w:pPr>
                    <w:pStyle w:val="119"/>
                    <w:bidi w:val="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10</w:t>
                  </w:r>
                </w:p>
              </w:tc>
              <w:tc>
                <w:tcPr>
                  <w:tcW w:w="1318" w:type="dxa"/>
                  <w:noWrap w:val="0"/>
                  <w:vAlign w:val="center"/>
                </w:tcPr>
                <w:p w14:paraId="72CCF1C8">
                  <w:pPr>
                    <w:pStyle w:val="119"/>
                    <w:bidi w:val="0"/>
                    <w:ind w:firstLine="0" w:firstLineChars="0"/>
                    <w:rPr>
                      <w:rFonts w:hint="default" w:ascii="Times New Roman" w:hAnsi="Times New Roman" w:eastAsia="宋体" w:cs="Times New Roman"/>
                      <w:color w:val="auto"/>
                      <w:sz w:val="21"/>
                      <w:szCs w:val="21"/>
                      <w:highlight w:val="none"/>
                    </w:rPr>
                  </w:pPr>
                  <w:r>
                    <w:rPr>
                      <w:rFonts w:hint="eastAsia" w:cs="Times New Roman"/>
                      <w:color w:val="auto"/>
                      <w:sz w:val="21"/>
                      <w:szCs w:val="21"/>
                      <w:lang w:val="en-US" w:eastAsia="zh-CN"/>
                    </w:rPr>
                    <w:t>6</w:t>
                  </w:r>
                </w:p>
              </w:tc>
              <w:tc>
                <w:tcPr>
                  <w:tcW w:w="1318" w:type="dxa"/>
                  <w:noWrap w:val="0"/>
                  <w:vAlign w:val="center"/>
                </w:tcPr>
                <w:p w14:paraId="2A2C0C6E">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w:t>
                  </w:r>
                </w:p>
              </w:tc>
            </w:tr>
            <w:tr w14:paraId="36CAC0A5">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69" w:type="dxa"/>
                  <w:vMerge w:val="continue"/>
                  <w:noWrap w:val="0"/>
                  <w:vAlign w:val="center"/>
                </w:tcPr>
                <w:p w14:paraId="4A2618C9">
                  <w:pPr>
                    <w:jc w:val="center"/>
                    <w:rPr>
                      <w:color w:val="auto"/>
                      <w:sz w:val="21"/>
                      <w:szCs w:val="21"/>
                      <w:highlight w:val="none"/>
                    </w:rPr>
                  </w:pPr>
                </w:p>
              </w:tc>
              <w:tc>
                <w:tcPr>
                  <w:tcW w:w="1092" w:type="dxa"/>
                  <w:noWrap w:val="0"/>
                  <w:vAlign w:val="center"/>
                </w:tcPr>
                <w:p w14:paraId="197AC4BC">
                  <w:pPr>
                    <w:pStyle w:val="119"/>
                    <w:bidi w:val="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水性胶水</w:t>
                  </w:r>
                </w:p>
              </w:tc>
              <w:tc>
                <w:tcPr>
                  <w:tcW w:w="2439" w:type="dxa"/>
                  <w:noWrap w:val="0"/>
                  <w:vAlign w:val="center"/>
                </w:tcPr>
                <w:p w14:paraId="7D49006F">
                  <w:pPr>
                    <w:pStyle w:val="49"/>
                    <w:adjustRightInd w:val="0"/>
                    <w:snapToGrid w:val="0"/>
                    <w:rPr>
                      <w:rFonts w:hint="default" w:ascii="Times New Roman" w:hAnsi="Times New Roman" w:eastAsia="宋体" w:cs="Times New Roman"/>
                      <w:color w:val="auto"/>
                      <w:sz w:val="21"/>
                      <w:szCs w:val="21"/>
                      <w:highlight w:val="none"/>
                    </w:rPr>
                  </w:pPr>
                  <w:r>
                    <w:rPr>
                      <w:rFonts w:ascii="Times New Roman" w:hAnsi="Times New Roman" w:eastAsia="宋体"/>
                      <w:color w:val="auto"/>
                      <w:sz w:val="21"/>
                      <w:szCs w:val="21"/>
                    </w:rPr>
                    <w:t>丙烯酸酯共聚物55.0~65.0%，水35.0~45.0%，水性助剂1.0～ 10.0％</w:t>
                  </w:r>
                </w:p>
              </w:tc>
              <w:tc>
                <w:tcPr>
                  <w:tcW w:w="1317" w:type="dxa"/>
                  <w:noWrap w:val="0"/>
                  <w:vAlign w:val="center"/>
                </w:tcPr>
                <w:p w14:paraId="1DD52E99">
                  <w:pPr>
                    <w:pStyle w:val="119"/>
                    <w:bidi w:val="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12</w:t>
                  </w:r>
                </w:p>
              </w:tc>
              <w:tc>
                <w:tcPr>
                  <w:tcW w:w="1318" w:type="dxa"/>
                  <w:noWrap w:val="0"/>
                  <w:vAlign w:val="center"/>
                </w:tcPr>
                <w:p w14:paraId="626F3E01">
                  <w:pPr>
                    <w:pStyle w:val="119"/>
                    <w:bidi w:val="0"/>
                    <w:ind w:firstLine="0" w:firstLineChars="0"/>
                    <w:rPr>
                      <w:rFonts w:hint="default" w:ascii="Times New Roman" w:hAnsi="Times New Roman" w:eastAsia="宋体" w:cs="Times New Roman"/>
                      <w:color w:val="auto"/>
                      <w:sz w:val="21"/>
                      <w:szCs w:val="21"/>
                      <w:highlight w:val="none"/>
                    </w:rPr>
                  </w:pPr>
                  <w:r>
                    <w:rPr>
                      <w:rFonts w:hint="eastAsia" w:cs="Times New Roman"/>
                      <w:color w:val="auto"/>
                      <w:sz w:val="21"/>
                      <w:szCs w:val="21"/>
                      <w:lang w:val="en-US" w:eastAsia="zh-CN"/>
                    </w:rPr>
                    <w:t>7.2</w:t>
                  </w:r>
                </w:p>
              </w:tc>
              <w:tc>
                <w:tcPr>
                  <w:tcW w:w="1318" w:type="dxa"/>
                  <w:noWrap w:val="0"/>
                  <w:vAlign w:val="center"/>
                </w:tcPr>
                <w:p w14:paraId="393B8F08">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4.8</w:t>
                  </w:r>
                </w:p>
              </w:tc>
            </w:tr>
            <w:tr w14:paraId="70D4B5AF">
              <w:tblPrEx>
                <w:tblBorders>
                  <w:top w:val="single" w:color="auto" w:sz="4" w:space="0"/>
                  <w:left w:val="none" w:color="auto" w:sz="0" w:space="0"/>
                  <w:bottom w:val="single" w:color="auto"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69" w:type="dxa"/>
                  <w:vMerge w:val="continue"/>
                  <w:noWrap w:val="0"/>
                  <w:vAlign w:val="center"/>
                </w:tcPr>
                <w:p w14:paraId="6848A8FE">
                  <w:pPr>
                    <w:jc w:val="center"/>
                    <w:rPr>
                      <w:color w:val="auto"/>
                      <w:sz w:val="21"/>
                      <w:szCs w:val="21"/>
                      <w:highlight w:val="none"/>
                    </w:rPr>
                  </w:pPr>
                </w:p>
              </w:tc>
              <w:tc>
                <w:tcPr>
                  <w:tcW w:w="1092" w:type="dxa"/>
                  <w:noWrap w:val="0"/>
                  <w:vAlign w:val="center"/>
                </w:tcPr>
                <w:p w14:paraId="14B0C9A7">
                  <w:pPr>
                    <w:pStyle w:val="119"/>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乙醇</w:t>
                  </w:r>
                </w:p>
              </w:tc>
              <w:tc>
                <w:tcPr>
                  <w:tcW w:w="2439" w:type="dxa"/>
                  <w:noWrap w:val="0"/>
                  <w:vAlign w:val="center"/>
                </w:tcPr>
                <w:p w14:paraId="151790A2">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kern w:val="0"/>
                      <w:sz w:val="21"/>
                      <w:szCs w:val="21"/>
                      <w:lang w:val="en-US" w:eastAsia="zh-CN"/>
                    </w:rPr>
                    <w:t>95%</w:t>
                  </w:r>
                </w:p>
              </w:tc>
              <w:tc>
                <w:tcPr>
                  <w:tcW w:w="1317" w:type="dxa"/>
                  <w:noWrap w:val="0"/>
                  <w:vAlign w:val="center"/>
                </w:tcPr>
                <w:p w14:paraId="5A32DFBF">
                  <w:pPr>
                    <w:pStyle w:val="119"/>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0.4</w:t>
                  </w:r>
                </w:p>
              </w:tc>
              <w:tc>
                <w:tcPr>
                  <w:tcW w:w="1318" w:type="dxa"/>
                  <w:noWrap w:val="0"/>
                  <w:vAlign w:val="center"/>
                </w:tcPr>
                <w:p w14:paraId="299BE508">
                  <w:pPr>
                    <w:pStyle w:val="119"/>
                    <w:bidi w:val="0"/>
                    <w:ind w:firstLine="0" w:firstLineChars="0"/>
                    <w:rPr>
                      <w:rFonts w:hint="default" w:eastAsia="宋体"/>
                      <w:color w:val="auto"/>
                      <w:sz w:val="21"/>
                      <w:szCs w:val="21"/>
                      <w:highlight w:val="none"/>
                      <w:lang w:val="en-US" w:eastAsia="zh-CN"/>
                    </w:rPr>
                  </w:pPr>
                  <w:r>
                    <w:rPr>
                      <w:rFonts w:hint="eastAsia" w:cs="Times New Roman"/>
                      <w:color w:val="auto"/>
                      <w:sz w:val="21"/>
                      <w:szCs w:val="21"/>
                      <w:lang w:val="en-US" w:eastAsia="zh-CN"/>
                    </w:rPr>
                    <w:t>0.24</w:t>
                  </w:r>
                </w:p>
              </w:tc>
              <w:tc>
                <w:tcPr>
                  <w:tcW w:w="1318" w:type="dxa"/>
                  <w:noWrap w:val="0"/>
                  <w:vAlign w:val="center"/>
                </w:tcPr>
                <w:p w14:paraId="17C5152B">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0.16</w:t>
                  </w:r>
                </w:p>
              </w:tc>
            </w:tr>
          </w:tbl>
          <w:p w14:paraId="7EE5E799">
            <w:pPr>
              <w:pStyle w:val="7"/>
              <w:numPr>
                <w:ilvl w:val="0"/>
                <w:numId w:val="0"/>
              </w:numPr>
              <w:adjustRightInd w:val="0"/>
              <w:snapToGrid w:val="0"/>
              <w:spacing w:before="120" w:beforeLines="50" w:line="360" w:lineRule="auto"/>
              <w:ind w:firstLine="420" w:firstLineChars="200"/>
              <w:rPr>
                <w:rFonts w:hint="default" w:ascii="Times New Roman" w:hAnsi="Times New Roman" w:cs="Times New Roman" w:eastAsiaTheme="minorEastAsia"/>
                <w:b w:val="0"/>
                <w:bCs w:val="0"/>
                <w:color w:val="auto"/>
                <w:sz w:val="21"/>
                <w:szCs w:val="21"/>
                <w:highlight w:val="none"/>
              </w:rPr>
            </w:pPr>
            <w:r>
              <w:rPr>
                <w:rFonts w:hint="eastAsia" w:ascii="Times New Roman" w:hAnsi="Times New Roman" w:cs="Times New Roman" w:eastAsiaTheme="minorEastAsia"/>
                <w:b w:val="0"/>
                <w:bCs/>
                <w:snapToGrid w:val="0"/>
                <w:color w:val="auto"/>
                <w:kern w:val="2"/>
                <w:sz w:val="21"/>
                <w:szCs w:val="21"/>
                <w:highlight w:val="none"/>
                <w:lang w:val="en-US" w:eastAsia="zh-CN" w:bidi="ar-SA"/>
              </w:rPr>
              <w:t>2、</w:t>
            </w:r>
            <w:r>
              <w:rPr>
                <w:rFonts w:hint="default" w:ascii="Times New Roman" w:hAnsi="Times New Roman" w:cs="Times New Roman" w:eastAsiaTheme="minorEastAsia"/>
                <w:b w:val="0"/>
                <w:bCs w:val="0"/>
                <w:color w:val="auto"/>
                <w:sz w:val="21"/>
                <w:szCs w:val="21"/>
                <w:highlight w:val="none"/>
              </w:rPr>
              <w:t>主要设备</w:t>
            </w:r>
          </w:p>
          <w:p w14:paraId="79C15BC9">
            <w:pPr>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表2-</w:t>
            </w:r>
            <w:r>
              <w:rPr>
                <w:rFonts w:hint="default" w:ascii="Times New Roman" w:hAnsi="Times New Roman" w:cs="Times New Roman" w:eastAsiaTheme="minorEastAsia"/>
                <w:b/>
                <w:bCs/>
                <w:color w:val="auto"/>
                <w:sz w:val="21"/>
                <w:szCs w:val="21"/>
                <w:highlight w:val="none"/>
                <w:lang w:val="en-US" w:eastAsia="zh-CN"/>
              </w:rPr>
              <w:t xml:space="preserve">9 </w:t>
            </w:r>
            <w:r>
              <w:rPr>
                <w:rFonts w:hint="default" w:ascii="Times New Roman" w:hAnsi="Times New Roman" w:cs="Times New Roman" w:eastAsiaTheme="minorEastAsia"/>
                <w:b/>
                <w:bCs/>
                <w:color w:val="auto"/>
                <w:sz w:val="21"/>
                <w:szCs w:val="21"/>
                <w:highlight w:val="none"/>
              </w:rPr>
              <w:t xml:space="preserve"> 原有项目主要设备表</w:t>
            </w:r>
          </w:p>
          <w:tbl>
            <w:tblPr>
              <w:tblStyle w:val="31"/>
              <w:tblW w:w="4998"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09"/>
              <w:gridCol w:w="2382"/>
              <w:gridCol w:w="1572"/>
              <w:gridCol w:w="947"/>
              <w:gridCol w:w="1158"/>
              <w:gridCol w:w="1285"/>
            </w:tblGrid>
            <w:tr w14:paraId="6364158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756" w:type="pct"/>
                  <w:vMerge w:val="restart"/>
                  <w:noWrap w:val="0"/>
                  <w:vAlign w:val="center"/>
                </w:tcPr>
                <w:p w14:paraId="085194D1">
                  <w:pPr>
                    <w:jc w:val="center"/>
                    <w:rPr>
                      <w:b/>
                      <w:bCs/>
                      <w:color w:val="auto"/>
                      <w:sz w:val="21"/>
                      <w:szCs w:val="21"/>
                      <w:highlight w:val="none"/>
                    </w:rPr>
                  </w:pPr>
                  <w:r>
                    <w:rPr>
                      <w:b/>
                      <w:bCs/>
                      <w:color w:val="auto"/>
                      <w:sz w:val="21"/>
                      <w:szCs w:val="21"/>
                      <w:highlight w:val="none"/>
                    </w:rPr>
                    <w:t>类别</w:t>
                  </w:r>
                </w:p>
              </w:tc>
              <w:tc>
                <w:tcPr>
                  <w:tcW w:w="1376" w:type="pct"/>
                  <w:vMerge w:val="restart"/>
                  <w:noWrap w:val="0"/>
                  <w:vAlign w:val="center"/>
                </w:tcPr>
                <w:p w14:paraId="43E3DF49">
                  <w:pPr>
                    <w:jc w:val="center"/>
                    <w:rPr>
                      <w:b/>
                      <w:bCs/>
                      <w:color w:val="auto"/>
                      <w:sz w:val="21"/>
                      <w:szCs w:val="21"/>
                      <w:highlight w:val="none"/>
                    </w:rPr>
                  </w:pPr>
                  <w:r>
                    <w:rPr>
                      <w:b/>
                      <w:bCs/>
                      <w:color w:val="auto"/>
                      <w:sz w:val="21"/>
                      <w:szCs w:val="21"/>
                      <w:highlight w:val="none"/>
                    </w:rPr>
                    <w:t>设备名称</w:t>
                  </w:r>
                </w:p>
              </w:tc>
              <w:tc>
                <w:tcPr>
                  <w:tcW w:w="908" w:type="pct"/>
                  <w:vMerge w:val="restart"/>
                  <w:noWrap w:val="0"/>
                  <w:vAlign w:val="center"/>
                </w:tcPr>
                <w:p w14:paraId="6D24CF68">
                  <w:pPr>
                    <w:jc w:val="center"/>
                    <w:rPr>
                      <w:b/>
                      <w:bCs/>
                      <w:color w:val="auto"/>
                      <w:sz w:val="21"/>
                      <w:szCs w:val="21"/>
                      <w:highlight w:val="none"/>
                    </w:rPr>
                  </w:pPr>
                  <w:r>
                    <w:rPr>
                      <w:b/>
                      <w:bCs/>
                      <w:color w:val="auto"/>
                      <w:sz w:val="21"/>
                      <w:szCs w:val="21"/>
                      <w:highlight w:val="none"/>
                    </w:rPr>
                    <w:t>规格型号</w:t>
                  </w:r>
                </w:p>
              </w:tc>
              <w:tc>
                <w:tcPr>
                  <w:tcW w:w="547" w:type="pct"/>
                  <w:vMerge w:val="restart"/>
                  <w:noWrap w:val="0"/>
                  <w:vAlign w:val="center"/>
                </w:tcPr>
                <w:p w14:paraId="15D95C72">
                  <w:pPr>
                    <w:jc w:val="center"/>
                    <w:rPr>
                      <w:b/>
                      <w:bCs/>
                      <w:color w:val="auto"/>
                      <w:sz w:val="21"/>
                      <w:szCs w:val="21"/>
                      <w:highlight w:val="none"/>
                    </w:rPr>
                  </w:pPr>
                  <w:r>
                    <w:rPr>
                      <w:rFonts w:hint="eastAsia"/>
                      <w:b/>
                      <w:bCs/>
                      <w:color w:val="auto"/>
                      <w:sz w:val="21"/>
                      <w:szCs w:val="21"/>
                      <w:highlight w:val="none"/>
                    </w:rPr>
                    <w:t>环评设计数量</w:t>
                  </w:r>
                  <w:r>
                    <w:rPr>
                      <w:rFonts w:hint="default" w:ascii="Times New Roman" w:hAnsi="Times New Roman" w:eastAsia="宋体" w:cs="Times New Roman"/>
                      <w:b/>
                      <w:bCs/>
                      <w:color w:val="auto"/>
                      <w:sz w:val="21"/>
                      <w:szCs w:val="21"/>
                      <w:lang w:val="en-US" w:eastAsia="zh-CN"/>
                    </w:rPr>
                    <w:t>（台）</w:t>
                  </w:r>
                </w:p>
              </w:tc>
              <w:tc>
                <w:tcPr>
                  <w:tcW w:w="1411" w:type="pct"/>
                  <w:gridSpan w:val="2"/>
                  <w:noWrap w:val="0"/>
                  <w:vAlign w:val="center"/>
                </w:tcPr>
                <w:p w14:paraId="76E6F242">
                  <w:pPr>
                    <w:jc w:val="center"/>
                    <w:rPr>
                      <w:rFonts w:hint="eastAsia"/>
                      <w:b/>
                      <w:bCs/>
                      <w:color w:val="auto"/>
                      <w:sz w:val="21"/>
                      <w:szCs w:val="21"/>
                      <w:highlight w:val="none"/>
                    </w:rPr>
                  </w:pPr>
                  <w:r>
                    <w:rPr>
                      <w:rFonts w:hint="eastAsia"/>
                      <w:b/>
                      <w:bCs/>
                      <w:color w:val="auto"/>
                      <w:sz w:val="21"/>
                      <w:szCs w:val="21"/>
                      <w:highlight w:val="none"/>
                    </w:rPr>
                    <w:t>实际</w:t>
                  </w:r>
                  <w:r>
                    <w:rPr>
                      <w:b/>
                      <w:bCs/>
                      <w:color w:val="auto"/>
                      <w:sz w:val="21"/>
                      <w:szCs w:val="21"/>
                      <w:highlight w:val="none"/>
                    </w:rPr>
                    <w:t>数量</w:t>
                  </w:r>
                  <w:r>
                    <w:rPr>
                      <w:rFonts w:hint="default" w:ascii="Times New Roman" w:hAnsi="Times New Roman" w:eastAsia="宋体" w:cs="Times New Roman"/>
                      <w:b/>
                      <w:bCs/>
                      <w:color w:val="auto"/>
                      <w:sz w:val="21"/>
                      <w:szCs w:val="21"/>
                      <w:lang w:val="en-US" w:eastAsia="zh-CN"/>
                    </w:rPr>
                    <w:t>（台）</w:t>
                  </w:r>
                </w:p>
              </w:tc>
            </w:tr>
            <w:tr w14:paraId="6B6A9B5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756" w:type="pct"/>
                  <w:vMerge w:val="continue"/>
                  <w:noWrap w:val="0"/>
                  <w:vAlign w:val="center"/>
                </w:tcPr>
                <w:p w14:paraId="3A978672">
                  <w:pPr>
                    <w:jc w:val="center"/>
                    <w:rPr>
                      <w:color w:val="auto"/>
                    </w:rPr>
                  </w:pPr>
                </w:p>
              </w:tc>
              <w:tc>
                <w:tcPr>
                  <w:tcW w:w="1376" w:type="pct"/>
                  <w:vMerge w:val="continue"/>
                  <w:noWrap w:val="0"/>
                  <w:vAlign w:val="center"/>
                </w:tcPr>
                <w:p w14:paraId="266A9D1D">
                  <w:pPr>
                    <w:jc w:val="center"/>
                    <w:rPr>
                      <w:color w:val="auto"/>
                    </w:rPr>
                  </w:pPr>
                </w:p>
              </w:tc>
              <w:tc>
                <w:tcPr>
                  <w:tcW w:w="908" w:type="pct"/>
                  <w:vMerge w:val="continue"/>
                  <w:noWrap w:val="0"/>
                  <w:vAlign w:val="center"/>
                </w:tcPr>
                <w:p w14:paraId="497F89B9">
                  <w:pPr>
                    <w:jc w:val="center"/>
                    <w:rPr>
                      <w:color w:val="auto"/>
                    </w:rPr>
                  </w:pPr>
                </w:p>
              </w:tc>
              <w:tc>
                <w:tcPr>
                  <w:tcW w:w="547" w:type="pct"/>
                  <w:vMerge w:val="continue"/>
                  <w:noWrap w:val="0"/>
                  <w:vAlign w:val="center"/>
                </w:tcPr>
                <w:p w14:paraId="4C85E94B">
                  <w:pPr>
                    <w:jc w:val="center"/>
                    <w:rPr>
                      <w:color w:val="auto"/>
                    </w:rPr>
                  </w:pPr>
                </w:p>
              </w:tc>
              <w:tc>
                <w:tcPr>
                  <w:tcW w:w="669" w:type="pct"/>
                  <w:noWrap w:val="0"/>
                  <w:vAlign w:val="center"/>
                </w:tcPr>
                <w:p w14:paraId="34B53C2A">
                  <w:pPr>
                    <w:jc w:val="center"/>
                    <w:rPr>
                      <w:color w:val="auto"/>
                    </w:rPr>
                  </w:pPr>
                  <w:r>
                    <w:rPr>
                      <w:rFonts w:hint="eastAsia"/>
                      <w:b/>
                      <w:bCs/>
                      <w:color w:val="auto"/>
                      <w:lang w:val="en-US" w:eastAsia="zh-CN"/>
                    </w:rPr>
                    <w:t>已建</w:t>
                  </w:r>
                </w:p>
              </w:tc>
              <w:tc>
                <w:tcPr>
                  <w:tcW w:w="742" w:type="pct"/>
                  <w:noWrap w:val="0"/>
                  <w:vAlign w:val="center"/>
                </w:tcPr>
                <w:p w14:paraId="3E036FA1">
                  <w:pPr>
                    <w:pStyle w:val="119"/>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在建</w:t>
                  </w:r>
                </w:p>
              </w:tc>
            </w:tr>
            <w:tr w14:paraId="1CDF750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56" w:type="pct"/>
                  <w:vMerge w:val="restart"/>
                  <w:noWrap w:val="0"/>
                  <w:vAlign w:val="center"/>
                </w:tcPr>
                <w:p w14:paraId="75F75845">
                  <w:pPr>
                    <w:jc w:val="center"/>
                    <w:rPr>
                      <w:rFonts w:hint="eastAsia"/>
                      <w:color w:val="auto"/>
                      <w:sz w:val="21"/>
                      <w:szCs w:val="21"/>
                      <w:highlight w:val="none"/>
                    </w:rPr>
                  </w:pPr>
                  <w:r>
                    <w:rPr>
                      <w:color w:val="auto"/>
                      <w:sz w:val="21"/>
                      <w:szCs w:val="21"/>
                      <w:highlight w:val="none"/>
                    </w:rPr>
                    <w:t>生产设备</w:t>
                  </w:r>
                </w:p>
              </w:tc>
              <w:tc>
                <w:tcPr>
                  <w:tcW w:w="1376" w:type="pct"/>
                  <w:noWrap w:val="0"/>
                  <w:vAlign w:val="center"/>
                </w:tcPr>
                <w:p w14:paraId="5A676C63">
                  <w:pPr>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SA"/>
                    </w:rPr>
                    <w:t>中封三边封制袋机</w:t>
                  </w:r>
                </w:p>
              </w:tc>
              <w:tc>
                <w:tcPr>
                  <w:tcW w:w="908" w:type="pct"/>
                  <w:noWrap w:val="0"/>
                  <w:vAlign w:val="center"/>
                </w:tcPr>
                <w:p w14:paraId="12470FC5">
                  <w:pPr>
                    <w:widowControl/>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SA"/>
                    </w:rPr>
                    <w:t>WSD-450A</w:t>
                  </w:r>
                </w:p>
              </w:tc>
              <w:tc>
                <w:tcPr>
                  <w:tcW w:w="547" w:type="pct"/>
                  <w:noWrap w:val="0"/>
                  <w:vAlign w:val="center"/>
                </w:tcPr>
                <w:p w14:paraId="387B80F5">
                  <w:pPr>
                    <w:widowControl/>
                    <w:spacing w:line="240" w:lineRule="auto"/>
                    <w:ind w:left="0" w:leftChars="0" w:firstLine="0" w:firstLineChars="0"/>
                    <w:jc w:val="center"/>
                    <w:textAlignment w:val="center"/>
                    <w:rPr>
                      <w:color w:val="auto"/>
                      <w:sz w:val="21"/>
                      <w:szCs w:val="21"/>
                      <w:highlight w:val="none"/>
                    </w:rPr>
                  </w:pPr>
                  <w:r>
                    <w:rPr>
                      <w:rFonts w:hint="default" w:ascii="Times New Roman" w:hAnsi="Times New Roman" w:eastAsia="宋体" w:cs="Times New Roman"/>
                      <w:color w:val="auto"/>
                      <w:kern w:val="0"/>
                      <w:sz w:val="21"/>
                      <w:szCs w:val="21"/>
                      <w:lang w:val="en-US" w:eastAsia="zh-CN" w:bidi="ar-SA"/>
                    </w:rPr>
                    <w:t>3</w:t>
                  </w:r>
                </w:p>
              </w:tc>
              <w:tc>
                <w:tcPr>
                  <w:tcW w:w="669" w:type="pct"/>
                  <w:noWrap w:val="0"/>
                  <w:vAlign w:val="center"/>
                </w:tcPr>
                <w:p w14:paraId="1E20EE6E">
                  <w:pPr>
                    <w:pStyle w:val="119"/>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2</w:t>
                  </w:r>
                </w:p>
              </w:tc>
              <w:tc>
                <w:tcPr>
                  <w:tcW w:w="1285" w:type="dxa"/>
                  <w:noWrap w:val="0"/>
                  <w:vAlign w:val="center"/>
                </w:tcPr>
                <w:p w14:paraId="2AC5132A">
                  <w:pPr>
                    <w:pStyle w:val="119"/>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539325B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56" w:type="pct"/>
                  <w:vMerge w:val="continue"/>
                  <w:noWrap w:val="0"/>
                  <w:vAlign w:val="center"/>
                </w:tcPr>
                <w:p w14:paraId="4599221B">
                  <w:pPr>
                    <w:jc w:val="center"/>
                    <w:rPr>
                      <w:color w:val="auto"/>
                      <w:sz w:val="21"/>
                      <w:szCs w:val="21"/>
                      <w:highlight w:val="none"/>
                    </w:rPr>
                  </w:pPr>
                </w:p>
              </w:tc>
              <w:tc>
                <w:tcPr>
                  <w:tcW w:w="1376" w:type="pct"/>
                  <w:noWrap w:val="0"/>
                  <w:vAlign w:val="center"/>
                </w:tcPr>
                <w:p w14:paraId="62DF8019">
                  <w:pPr>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SA"/>
                    </w:rPr>
                    <w:t>多功能制袋机</w:t>
                  </w:r>
                </w:p>
              </w:tc>
              <w:tc>
                <w:tcPr>
                  <w:tcW w:w="908" w:type="pct"/>
                  <w:noWrap w:val="0"/>
                  <w:vAlign w:val="center"/>
                </w:tcPr>
                <w:p w14:paraId="139E3C50">
                  <w:pPr>
                    <w:widowControl/>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SA"/>
                    </w:rPr>
                    <w:t>WSD-600A</w:t>
                  </w:r>
                </w:p>
              </w:tc>
              <w:tc>
                <w:tcPr>
                  <w:tcW w:w="547" w:type="pct"/>
                  <w:noWrap w:val="0"/>
                  <w:vAlign w:val="center"/>
                </w:tcPr>
                <w:p w14:paraId="5FBB787B">
                  <w:pPr>
                    <w:widowControl/>
                    <w:spacing w:line="240" w:lineRule="auto"/>
                    <w:ind w:left="0" w:leftChars="0" w:firstLine="0" w:firstLineChars="0"/>
                    <w:jc w:val="center"/>
                    <w:textAlignment w:val="center"/>
                    <w:rPr>
                      <w:color w:val="auto"/>
                      <w:sz w:val="21"/>
                      <w:szCs w:val="21"/>
                      <w:highlight w:val="none"/>
                    </w:rPr>
                  </w:pPr>
                  <w:r>
                    <w:rPr>
                      <w:rFonts w:hint="default" w:ascii="Times New Roman" w:hAnsi="Times New Roman" w:eastAsia="宋体" w:cs="Times New Roman"/>
                      <w:color w:val="auto"/>
                      <w:kern w:val="0"/>
                      <w:sz w:val="21"/>
                      <w:szCs w:val="21"/>
                      <w:lang w:val="en-US" w:eastAsia="zh-CN" w:bidi="ar-SA"/>
                    </w:rPr>
                    <w:t>3</w:t>
                  </w:r>
                </w:p>
              </w:tc>
              <w:tc>
                <w:tcPr>
                  <w:tcW w:w="669" w:type="pct"/>
                  <w:noWrap w:val="0"/>
                  <w:vAlign w:val="center"/>
                </w:tcPr>
                <w:p w14:paraId="5415F395">
                  <w:pPr>
                    <w:pStyle w:val="119"/>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1</w:t>
                  </w:r>
                </w:p>
              </w:tc>
              <w:tc>
                <w:tcPr>
                  <w:tcW w:w="1285" w:type="dxa"/>
                  <w:noWrap w:val="0"/>
                  <w:vAlign w:val="center"/>
                </w:tcPr>
                <w:p w14:paraId="7C46F0C4">
                  <w:pPr>
                    <w:pStyle w:val="119"/>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r>
            <w:tr w14:paraId="21A5911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56" w:type="pct"/>
                  <w:vMerge w:val="continue"/>
                  <w:noWrap w:val="0"/>
                  <w:vAlign w:val="center"/>
                </w:tcPr>
                <w:p w14:paraId="4D752CFA">
                  <w:pPr>
                    <w:jc w:val="center"/>
                    <w:rPr>
                      <w:color w:val="auto"/>
                      <w:sz w:val="21"/>
                      <w:szCs w:val="21"/>
                      <w:highlight w:val="none"/>
                    </w:rPr>
                  </w:pPr>
                </w:p>
              </w:tc>
              <w:tc>
                <w:tcPr>
                  <w:tcW w:w="1376" w:type="pct"/>
                  <w:noWrap w:val="0"/>
                  <w:vAlign w:val="center"/>
                </w:tcPr>
                <w:p w14:paraId="3291807F">
                  <w:pPr>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SA"/>
                    </w:rPr>
                    <w:t>全自动干式复合机</w:t>
                  </w:r>
                </w:p>
              </w:tc>
              <w:tc>
                <w:tcPr>
                  <w:tcW w:w="908" w:type="pct"/>
                  <w:noWrap w:val="0"/>
                  <w:vAlign w:val="center"/>
                </w:tcPr>
                <w:p w14:paraId="7702ABB2">
                  <w:pPr>
                    <w:widowControl/>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SA"/>
                    </w:rPr>
                    <w:t>BGF-1050</w:t>
                  </w:r>
                </w:p>
              </w:tc>
              <w:tc>
                <w:tcPr>
                  <w:tcW w:w="547" w:type="pct"/>
                  <w:noWrap w:val="0"/>
                  <w:vAlign w:val="center"/>
                </w:tcPr>
                <w:p w14:paraId="31517953">
                  <w:pPr>
                    <w:widowControl/>
                    <w:spacing w:line="240" w:lineRule="auto"/>
                    <w:ind w:left="0" w:leftChars="0" w:firstLine="0" w:firstLineChars="0"/>
                    <w:jc w:val="center"/>
                    <w:textAlignment w:val="center"/>
                    <w:rPr>
                      <w:color w:val="auto"/>
                      <w:sz w:val="21"/>
                      <w:szCs w:val="21"/>
                      <w:highlight w:val="none"/>
                    </w:rPr>
                  </w:pPr>
                  <w:r>
                    <w:rPr>
                      <w:rFonts w:hint="default" w:ascii="Times New Roman" w:hAnsi="Times New Roman" w:eastAsia="宋体" w:cs="Times New Roman"/>
                      <w:color w:val="auto"/>
                      <w:kern w:val="0"/>
                      <w:sz w:val="21"/>
                      <w:szCs w:val="21"/>
                      <w:lang w:val="en-US" w:eastAsia="zh-CN" w:bidi="ar-SA"/>
                    </w:rPr>
                    <w:t>2</w:t>
                  </w:r>
                </w:p>
              </w:tc>
              <w:tc>
                <w:tcPr>
                  <w:tcW w:w="669" w:type="pct"/>
                  <w:noWrap w:val="0"/>
                  <w:vAlign w:val="center"/>
                </w:tcPr>
                <w:p w14:paraId="21FB15B4">
                  <w:pPr>
                    <w:pStyle w:val="119"/>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2</w:t>
                  </w:r>
                </w:p>
              </w:tc>
              <w:tc>
                <w:tcPr>
                  <w:tcW w:w="1285" w:type="dxa"/>
                  <w:noWrap w:val="0"/>
                  <w:vAlign w:val="center"/>
                </w:tcPr>
                <w:p w14:paraId="2F73C422">
                  <w:pPr>
                    <w:pStyle w:val="119"/>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14:paraId="65918B9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56" w:type="pct"/>
                  <w:vMerge w:val="continue"/>
                  <w:noWrap w:val="0"/>
                  <w:vAlign w:val="center"/>
                </w:tcPr>
                <w:p w14:paraId="65469D1B">
                  <w:pPr>
                    <w:jc w:val="center"/>
                    <w:rPr>
                      <w:color w:val="auto"/>
                      <w:sz w:val="21"/>
                      <w:szCs w:val="21"/>
                      <w:highlight w:val="none"/>
                    </w:rPr>
                  </w:pPr>
                </w:p>
              </w:tc>
              <w:tc>
                <w:tcPr>
                  <w:tcW w:w="1376" w:type="pct"/>
                  <w:noWrap w:val="0"/>
                  <w:vAlign w:val="center"/>
                </w:tcPr>
                <w:p w14:paraId="25E7E238">
                  <w:pPr>
                    <w:widowControl/>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SA"/>
                    </w:rPr>
                    <w:t>高速机组式凹版印刷机</w:t>
                  </w:r>
                </w:p>
              </w:tc>
              <w:tc>
                <w:tcPr>
                  <w:tcW w:w="908" w:type="pct"/>
                  <w:noWrap w:val="0"/>
                  <w:vAlign w:val="center"/>
                </w:tcPr>
                <w:p w14:paraId="40441844">
                  <w:pPr>
                    <w:widowControl/>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SA"/>
                    </w:rPr>
                    <w:t>GD09-1050</w:t>
                  </w:r>
                </w:p>
              </w:tc>
              <w:tc>
                <w:tcPr>
                  <w:tcW w:w="547" w:type="pct"/>
                  <w:noWrap w:val="0"/>
                  <w:vAlign w:val="center"/>
                </w:tcPr>
                <w:p w14:paraId="017826B6">
                  <w:pPr>
                    <w:widowControl/>
                    <w:spacing w:line="240" w:lineRule="auto"/>
                    <w:ind w:left="0" w:leftChars="0" w:firstLine="0" w:firstLineChars="0"/>
                    <w:jc w:val="center"/>
                    <w:textAlignment w:val="center"/>
                    <w:rPr>
                      <w:color w:val="auto"/>
                      <w:sz w:val="21"/>
                      <w:szCs w:val="21"/>
                      <w:highlight w:val="none"/>
                    </w:rPr>
                  </w:pPr>
                  <w:r>
                    <w:rPr>
                      <w:rFonts w:hint="default" w:ascii="Times New Roman" w:hAnsi="Times New Roman" w:eastAsia="宋体" w:cs="Times New Roman"/>
                      <w:color w:val="auto"/>
                      <w:kern w:val="0"/>
                      <w:sz w:val="21"/>
                      <w:szCs w:val="21"/>
                      <w:lang w:val="en-US" w:eastAsia="zh-CN" w:bidi="ar-SA"/>
                    </w:rPr>
                    <w:t>3</w:t>
                  </w:r>
                </w:p>
              </w:tc>
              <w:tc>
                <w:tcPr>
                  <w:tcW w:w="669" w:type="pct"/>
                  <w:noWrap w:val="0"/>
                  <w:vAlign w:val="center"/>
                </w:tcPr>
                <w:p w14:paraId="155DDB01">
                  <w:pPr>
                    <w:pStyle w:val="119"/>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1</w:t>
                  </w:r>
                </w:p>
              </w:tc>
              <w:tc>
                <w:tcPr>
                  <w:tcW w:w="1285" w:type="dxa"/>
                  <w:tcBorders>
                    <w:bottom w:val="single" w:color="auto" w:sz="4" w:space="0"/>
                  </w:tcBorders>
                  <w:noWrap w:val="0"/>
                  <w:vAlign w:val="center"/>
                </w:tcPr>
                <w:p w14:paraId="2C288004">
                  <w:pPr>
                    <w:pStyle w:val="119"/>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r>
            <w:tr w14:paraId="7D00A46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56" w:type="pct"/>
                  <w:vMerge w:val="continue"/>
                  <w:noWrap w:val="0"/>
                  <w:vAlign w:val="center"/>
                </w:tcPr>
                <w:p w14:paraId="4FC45221">
                  <w:pPr>
                    <w:jc w:val="center"/>
                    <w:rPr>
                      <w:color w:val="auto"/>
                      <w:sz w:val="21"/>
                      <w:szCs w:val="21"/>
                      <w:highlight w:val="none"/>
                    </w:rPr>
                  </w:pPr>
                </w:p>
              </w:tc>
              <w:tc>
                <w:tcPr>
                  <w:tcW w:w="1376" w:type="pct"/>
                  <w:noWrap w:val="0"/>
                  <w:vAlign w:val="center"/>
                </w:tcPr>
                <w:p w14:paraId="2431C12C">
                  <w:pPr>
                    <w:widowControl/>
                    <w:ind w:left="0" w:leftChars="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SA"/>
                    </w:rPr>
                    <w:t>冷风胶印刷机</w:t>
                  </w:r>
                </w:p>
              </w:tc>
              <w:tc>
                <w:tcPr>
                  <w:tcW w:w="908" w:type="pct"/>
                  <w:noWrap w:val="0"/>
                  <w:vAlign w:val="center"/>
                </w:tcPr>
                <w:p w14:paraId="21020AA9">
                  <w:pPr>
                    <w:widowControl/>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SA"/>
                    </w:rPr>
                    <w:t>DG-6</w:t>
                  </w:r>
                </w:p>
              </w:tc>
              <w:tc>
                <w:tcPr>
                  <w:tcW w:w="547" w:type="pct"/>
                  <w:noWrap w:val="0"/>
                  <w:vAlign w:val="center"/>
                </w:tcPr>
                <w:p w14:paraId="535F7C5E">
                  <w:pPr>
                    <w:widowControl/>
                    <w:spacing w:line="240" w:lineRule="auto"/>
                    <w:ind w:left="0" w:leftChars="0" w:firstLine="0" w:firstLineChars="0"/>
                    <w:jc w:val="center"/>
                    <w:textAlignment w:val="center"/>
                    <w:rPr>
                      <w:color w:val="auto"/>
                      <w:sz w:val="21"/>
                      <w:szCs w:val="21"/>
                      <w:highlight w:val="none"/>
                    </w:rPr>
                  </w:pPr>
                  <w:r>
                    <w:rPr>
                      <w:rFonts w:hint="default" w:ascii="Times New Roman" w:hAnsi="Times New Roman" w:eastAsia="宋体" w:cs="Times New Roman"/>
                      <w:color w:val="auto"/>
                      <w:kern w:val="0"/>
                      <w:sz w:val="21"/>
                      <w:szCs w:val="21"/>
                      <w:lang w:val="en-US" w:eastAsia="zh-CN" w:bidi="ar-SA"/>
                    </w:rPr>
                    <w:t>1</w:t>
                  </w:r>
                </w:p>
              </w:tc>
              <w:tc>
                <w:tcPr>
                  <w:tcW w:w="669" w:type="pct"/>
                  <w:noWrap w:val="0"/>
                  <w:vAlign w:val="center"/>
                </w:tcPr>
                <w:p w14:paraId="5778A9A8">
                  <w:pPr>
                    <w:pStyle w:val="119"/>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1</w:t>
                  </w:r>
                </w:p>
              </w:tc>
              <w:tc>
                <w:tcPr>
                  <w:tcW w:w="1285" w:type="dxa"/>
                  <w:tcBorders>
                    <w:top w:val="single" w:color="auto" w:sz="4" w:space="0"/>
                  </w:tcBorders>
                  <w:noWrap w:val="0"/>
                  <w:vAlign w:val="center"/>
                </w:tcPr>
                <w:p w14:paraId="022321A7">
                  <w:pPr>
                    <w:pStyle w:val="119"/>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14:paraId="2205E24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56" w:type="pct"/>
                  <w:vMerge w:val="continue"/>
                  <w:noWrap w:val="0"/>
                  <w:vAlign w:val="center"/>
                </w:tcPr>
                <w:p w14:paraId="0B0C6017">
                  <w:pPr>
                    <w:jc w:val="center"/>
                    <w:rPr>
                      <w:color w:val="auto"/>
                      <w:sz w:val="21"/>
                      <w:szCs w:val="21"/>
                      <w:highlight w:val="none"/>
                    </w:rPr>
                  </w:pPr>
                </w:p>
              </w:tc>
              <w:tc>
                <w:tcPr>
                  <w:tcW w:w="1376" w:type="pct"/>
                  <w:noWrap w:val="0"/>
                  <w:vAlign w:val="center"/>
                </w:tcPr>
                <w:p w14:paraId="4F543C8F">
                  <w:pPr>
                    <w:widowControl/>
                    <w:ind w:left="0" w:leftChars="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lang w:val="en-US" w:eastAsia="zh-CN" w:bidi="ar-SA"/>
                    </w:rPr>
                    <w:t>复合机</w:t>
                  </w:r>
                </w:p>
              </w:tc>
              <w:tc>
                <w:tcPr>
                  <w:tcW w:w="908" w:type="pct"/>
                  <w:noWrap w:val="0"/>
                  <w:vAlign w:val="center"/>
                </w:tcPr>
                <w:p w14:paraId="7007BE71">
                  <w:pPr>
                    <w:widowControl/>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SA"/>
                    </w:rPr>
                    <w:t>IS1300E</w:t>
                  </w:r>
                </w:p>
              </w:tc>
              <w:tc>
                <w:tcPr>
                  <w:tcW w:w="547" w:type="pct"/>
                  <w:noWrap w:val="0"/>
                  <w:vAlign w:val="center"/>
                </w:tcPr>
                <w:p w14:paraId="3FDC72D0">
                  <w:pPr>
                    <w:widowControl/>
                    <w:spacing w:line="240" w:lineRule="auto"/>
                    <w:ind w:left="0" w:leftChars="0" w:firstLine="0" w:firstLineChars="0"/>
                    <w:jc w:val="center"/>
                    <w:textAlignment w:val="center"/>
                    <w:rPr>
                      <w:color w:val="auto"/>
                      <w:sz w:val="21"/>
                      <w:szCs w:val="21"/>
                      <w:highlight w:val="none"/>
                    </w:rPr>
                  </w:pPr>
                  <w:r>
                    <w:rPr>
                      <w:rFonts w:hint="default" w:ascii="Times New Roman" w:hAnsi="Times New Roman" w:eastAsia="宋体" w:cs="Times New Roman"/>
                      <w:color w:val="auto"/>
                      <w:kern w:val="0"/>
                      <w:sz w:val="21"/>
                      <w:szCs w:val="21"/>
                      <w:lang w:val="en-US" w:eastAsia="zh-CN" w:bidi="ar-SA"/>
                    </w:rPr>
                    <w:t>3</w:t>
                  </w:r>
                </w:p>
              </w:tc>
              <w:tc>
                <w:tcPr>
                  <w:tcW w:w="669" w:type="pct"/>
                  <w:noWrap w:val="0"/>
                  <w:vAlign w:val="center"/>
                </w:tcPr>
                <w:p w14:paraId="3937E378">
                  <w:pPr>
                    <w:pStyle w:val="119"/>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1</w:t>
                  </w:r>
                </w:p>
              </w:tc>
              <w:tc>
                <w:tcPr>
                  <w:tcW w:w="1285" w:type="dxa"/>
                  <w:noWrap w:val="0"/>
                  <w:vAlign w:val="center"/>
                </w:tcPr>
                <w:p w14:paraId="4458F513">
                  <w:pPr>
                    <w:pStyle w:val="119"/>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r>
            <w:tr w14:paraId="50C827F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56" w:type="pct"/>
                  <w:vMerge w:val="continue"/>
                  <w:noWrap w:val="0"/>
                  <w:vAlign w:val="center"/>
                </w:tcPr>
                <w:p w14:paraId="432C6473">
                  <w:pPr>
                    <w:jc w:val="center"/>
                    <w:rPr>
                      <w:color w:val="auto"/>
                      <w:sz w:val="21"/>
                      <w:szCs w:val="21"/>
                      <w:highlight w:val="none"/>
                    </w:rPr>
                  </w:pPr>
                </w:p>
              </w:tc>
              <w:tc>
                <w:tcPr>
                  <w:tcW w:w="1376" w:type="pct"/>
                  <w:noWrap w:val="0"/>
                  <w:vAlign w:val="center"/>
                </w:tcPr>
                <w:p w14:paraId="4D2F2269">
                  <w:pPr>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SA"/>
                    </w:rPr>
                    <w:t>复合膜熟化室</w:t>
                  </w:r>
                </w:p>
              </w:tc>
              <w:tc>
                <w:tcPr>
                  <w:tcW w:w="908" w:type="pct"/>
                  <w:noWrap w:val="0"/>
                  <w:vAlign w:val="center"/>
                </w:tcPr>
                <w:p w14:paraId="71BDBB72">
                  <w:pPr>
                    <w:widowControl/>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SA"/>
                    </w:rPr>
                    <w:t>6m×1.4m×1.85m</w:t>
                  </w:r>
                </w:p>
              </w:tc>
              <w:tc>
                <w:tcPr>
                  <w:tcW w:w="547" w:type="pct"/>
                  <w:noWrap w:val="0"/>
                  <w:vAlign w:val="center"/>
                </w:tcPr>
                <w:p w14:paraId="2064DEAD">
                  <w:pPr>
                    <w:widowControl/>
                    <w:spacing w:line="240" w:lineRule="auto"/>
                    <w:ind w:left="0" w:leftChars="0" w:firstLine="0" w:firstLineChars="0"/>
                    <w:jc w:val="center"/>
                    <w:textAlignment w:val="center"/>
                    <w:rPr>
                      <w:color w:val="auto"/>
                      <w:sz w:val="21"/>
                      <w:szCs w:val="21"/>
                      <w:highlight w:val="none"/>
                    </w:rPr>
                  </w:pPr>
                  <w:r>
                    <w:rPr>
                      <w:rFonts w:hint="default" w:ascii="Times New Roman" w:hAnsi="Times New Roman" w:eastAsia="宋体" w:cs="Times New Roman"/>
                      <w:color w:val="auto"/>
                      <w:kern w:val="0"/>
                      <w:sz w:val="21"/>
                      <w:szCs w:val="21"/>
                      <w:lang w:val="en-US" w:eastAsia="zh-CN" w:bidi="ar-SA"/>
                    </w:rPr>
                    <w:t>3</w:t>
                  </w:r>
                </w:p>
              </w:tc>
              <w:tc>
                <w:tcPr>
                  <w:tcW w:w="669" w:type="pct"/>
                  <w:noWrap w:val="0"/>
                  <w:vAlign w:val="center"/>
                </w:tcPr>
                <w:p w14:paraId="58A34B87">
                  <w:pPr>
                    <w:pStyle w:val="119"/>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2</w:t>
                  </w:r>
                </w:p>
              </w:tc>
              <w:tc>
                <w:tcPr>
                  <w:tcW w:w="1285" w:type="dxa"/>
                  <w:tcBorders>
                    <w:top w:val="single" w:color="auto" w:sz="4" w:space="0"/>
                  </w:tcBorders>
                  <w:noWrap w:val="0"/>
                  <w:vAlign w:val="center"/>
                </w:tcPr>
                <w:p w14:paraId="650CD8D0">
                  <w:pPr>
                    <w:pStyle w:val="119"/>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1919CFF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56" w:type="pct"/>
                  <w:noWrap w:val="0"/>
                  <w:vAlign w:val="center"/>
                </w:tcPr>
                <w:p w14:paraId="12344D34">
                  <w:pPr>
                    <w:jc w:val="center"/>
                    <w:rPr>
                      <w:color w:val="auto"/>
                      <w:sz w:val="21"/>
                      <w:szCs w:val="21"/>
                      <w:highlight w:val="none"/>
                    </w:rPr>
                  </w:pPr>
                  <w:r>
                    <w:rPr>
                      <w:color w:val="auto"/>
                      <w:sz w:val="21"/>
                      <w:szCs w:val="21"/>
                      <w:highlight w:val="none"/>
                    </w:rPr>
                    <w:t>公辅设备</w:t>
                  </w:r>
                </w:p>
              </w:tc>
              <w:tc>
                <w:tcPr>
                  <w:tcW w:w="1376" w:type="pct"/>
                  <w:noWrap w:val="0"/>
                  <w:vAlign w:val="center"/>
                </w:tcPr>
                <w:p w14:paraId="06D07D8B">
                  <w:pPr>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lang w:val="en-US" w:eastAsia="zh-CN" w:bidi="ar-SA"/>
                    </w:rPr>
                    <w:t>分切机</w:t>
                  </w:r>
                </w:p>
              </w:tc>
              <w:tc>
                <w:tcPr>
                  <w:tcW w:w="908" w:type="pct"/>
                  <w:noWrap w:val="0"/>
                  <w:vAlign w:val="center"/>
                </w:tcPr>
                <w:p w14:paraId="72BF15CD">
                  <w:pPr>
                    <w:widowControl/>
                    <w:ind w:left="0" w:leftChars="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547" w:type="pct"/>
                  <w:noWrap w:val="0"/>
                  <w:vAlign w:val="center"/>
                </w:tcPr>
                <w:p w14:paraId="76E635CF">
                  <w:pPr>
                    <w:widowControl/>
                    <w:spacing w:line="240" w:lineRule="auto"/>
                    <w:ind w:left="0" w:leftChars="0" w:firstLine="0" w:firstLineChars="0"/>
                    <w:jc w:val="center"/>
                    <w:textAlignment w:val="center"/>
                    <w:rPr>
                      <w:color w:val="auto"/>
                      <w:sz w:val="21"/>
                      <w:szCs w:val="21"/>
                      <w:highlight w:val="none"/>
                    </w:rPr>
                  </w:pPr>
                  <w:r>
                    <w:rPr>
                      <w:rFonts w:hint="default" w:ascii="Times New Roman" w:hAnsi="Times New Roman" w:eastAsia="宋体" w:cs="Times New Roman"/>
                      <w:color w:val="auto"/>
                      <w:kern w:val="0"/>
                      <w:sz w:val="21"/>
                      <w:szCs w:val="21"/>
                      <w:lang w:val="en-US" w:eastAsia="zh-CN" w:bidi="ar-SA"/>
                    </w:rPr>
                    <w:t>1</w:t>
                  </w:r>
                </w:p>
              </w:tc>
              <w:tc>
                <w:tcPr>
                  <w:tcW w:w="669" w:type="pct"/>
                  <w:noWrap w:val="0"/>
                  <w:vAlign w:val="center"/>
                </w:tcPr>
                <w:p w14:paraId="13C784F0">
                  <w:pPr>
                    <w:pStyle w:val="119"/>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1</w:t>
                  </w:r>
                </w:p>
              </w:tc>
              <w:tc>
                <w:tcPr>
                  <w:tcW w:w="1285" w:type="dxa"/>
                  <w:noWrap w:val="0"/>
                  <w:vAlign w:val="center"/>
                </w:tcPr>
                <w:p w14:paraId="1E3156CE">
                  <w:pPr>
                    <w:pStyle w:val="119"/>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bl>
          <w:p w14:paraId="6B1E51D2">
            <w:pPr>
              <w:pStyle w:val="7"/>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422"/>
              <w:textAlignment w:val="auto"/>
              <w:rPr>
                <w:rFonts w:hint="default" w:ascii="Times New Roman" w:hAnsi="Times New Roman" w:cs="Times New Roman" w:eastAsiaTheme="minorEastAsia"/>
                <w:b w:val="0"/>
                <w:bCs w:val="0"/>
                <w:color w:val="auto"/>
                <w:sz w:val="21"/>
                <w:szCs w:val="21"/>
                <w:highlight w:val="none"/>
              </w:rPr>
            </w:pPr>
            <w:r>
              <w:rPr>
                <w:rFonts w:hint="eastAsia" w:ascii="Times New Roman" w:hAnsi="Times New Roman" w:cs="Times New Roman" w:eastAsiaTheme="minorEastAsia"/>
                <w:b w:val="0"/>
                <w:bCs w:val="0"/>
                <w:color w:val="auto"/>
                <w:sz w:val="21"/>
                <w:szCs w:val="21"/>
                <w:highlight w:val="none"/>
                <w:lang w:val="en-US" w:eastAsia="zh-CN"/>
              </w:rPr>
              <w:t>3、</w:t>
            </w:r>
            <w:r>
              <w:rPr>
                <w:rFonts w:hint="default" w:ascii="Times New Roman" w:hAnsi="Times New Roman" w:cs="Times New Roman" w:eastAsiaTheme="minorEastAsia"/>
                <w:b w:val="0"/>
                <w:bCs w:val="0"/>
                <w:color w:val="auto"/>
                <w:sz w:val="21"/>
                <w:szCs w:val="21"/>
                <w:highlight w:val="none"/>
              </w:rPr>
              <w:t>生产工艺及产污环节</w:t>
            </w:r>
          </w:p>
          <w:p w14:paraId="215D17E1">
            <w:pPr>
              <w:pStyle w:val="14"/>
              <w:numPr>
                <w:ilvl w:val="0"/>
                <w:numId w:val="0"/>
              </w:num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drawing>
                <wp:inline distT="0" distB="0" distL="114300" distR="114300">
                  <wp:extent cx="635" cy="0"/>
                  <wp:effectExtent l="0" t="0" r="0" b="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0"/>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eastAsiaTheme="minorEastAsia"/>
                <w:color w:val="auto"/>
                <w:sz w:val="21"/>
                <w:szCs w:val="21"/>
              </w:rPr>
              <w:drawing>
                <wp:inline distT="0" distB="0" distL="114300" distR="114300">
                  <wp:extent cx="635" cy="0"/>
                  <wp:effectExtent l="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0"/>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eastAsiaTheme="minorEastAsia"/>
                <w:color w:val="auto"/>
                <w:sz w:val="21"/>
                <w:szCs w:val="21"/>
              </w:rPr>
              <w:drawing>
                <wp:inline distT="0" distB="0" distL="114300" distR="114300">
                  <wp:extent cx="635" cy="0"/>
                  <wp:effectExtent l="0" t="0" r="0" b="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1"/>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eastAsiaTheme="minorEastAsia"/>
                <w:color w:val="auto"/>
                <w:sz w:val="21"/>
                <w:szCs w:val="21"/>
              </w:rPr>
              <w:drawing>
                <wp:inline distT="0" distB="0" distL="114300" distR="114300">
                  <wp:extent cx="635" cy="0"/>
                  <wp:effectExtent l="0" t="0" r="0" b="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21"/>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color w:val="auto"/>
                <w:sz w:val="21"/>
                <w:szCs w:val="21"/>
              </w:rPr>
              <w:drawing>
                <wp:inline distT="0" distB="0" distL="114300" distR="114300">
                  <wp:extent cx="2810510" cy="3945890"/>
                  <wp:effectExtent l="0" t="0" r="8890" b="1270"/>
                  <wp:docPr id="42" name="图片 2" descr="1650433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descr="1650433721(1)"/>
                          <pic:cNvPicPr>
                            <a:picLocks noChangeAspect="1"/>
                          </pic:cNvPicPr>
                        </pic:nvPicPr>
                        <pic:blipFill>
                          <a:blip r:embed="rId22"/>
                          <a:stretch>
                            <a:fillRect/>
                          </a:stretch>
                        </pic:blipFill>
                        <pic:spPr>
                          <a:xfrm>
                            <a:off x="0" y="0"/>
                            <a:ext cx="2810510" cy="3945890"/>
                          </a:xfrm>
                          <a:prstGeom prst="rect">
                            <a:avLst/>
                          </a:prstGeom>
                          <a:noFill/>
                          <a:ln>
                            <a:noFill/>
                          </a:ln>
                        </pic:spPr>
                      </pic:pic>
                    </a:graphicData>
                  </a:graphic>
                </wp:inline>
              </w:drawing>
            </w:r>
          </w:p>
          <w:p w14:paraId="37A67D12">
            <w:pPr>
              <w:pStyle w:val="2"/>
              <w:adjustRightInd w:val="0"/>
              <w:spacing w:before="0" w:after="0" w:line="360" w:lineRule="auto"/>
              <w:ind w:right="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图2-</w:t>
            </w:r>
            <w:r>
              <w:rPr>
                <w:rFonts w:hint="eastAsia" w:cs="Times New Roman" w:eastAsiaTheme="minorEastAsia"/>
                <w:b/>
                <w:color w:val="auto"/>
                <w:sz w:val="21"/>
                <w:szCs w:val="21"/>
                <w:lang w:val="en-US" w:eastAsia="zh-CN"/>
              </w:rPr>
              <w:t>3</w:t>
            </w:r>
            <w:r>
              <w:rPr>
                <w:rFonts w:hint="default" w:ascii="Times New Roman" w:hAnsi="Times New Roman" w:cs="Times New Roman" w:eastAsiaTheme="minorEastAsia"/>
                <w:b/>
                <w:color w:val="auto"/>
                <w:sz w:val="21"/>
                <w:szCs w:val="21"/>
              </w:rPr>
              <w:t xml:space="preserve"> </w:t>
            </w:r>
            <w:r>
              <w:rPr>
                <w:rFonts w:hint="default" w:ascii="Times New Roman" w:hAnsi="Times New Roman" w:cs="Times New Roman" w:eastAsiaTheme="minorEastAsia"/>
                <w:b/>
                <w:color w:val="auto"/>
                <w:sz w:val="21"/>
                <w:szCs w:val="21"/>
                <w:lang w:val="en-US" w:eastAsia="zh-CN"/>
              </w:rPr>
              <w:t>原有</w:t>
            </w:r>
            <w:r>
              <w:rPr>
                <w:rFonts w:hint="default" w:ascii="Times New Roman" w:hAnsi="Times New Roman" w:cs="Times New Roman" w:eastAsiaTheme="minorEastAsia"/>
                <w:b/>
                <w:color w:val="auto"/>
                <w:sz w:val="21"/>
                <w:szCs w:val="21"/>
              </w:rPr>
              <w:t>项目</w:t>
            </w:r>
            <w:r>
              <w:rPr>
                <w:rFonts w:hint="default" w:ascii="Times New Roman" w:hAnsi="Times New Roman" w:cs="Times New Roman" w:eastAsiaTheme="minorEastAsia"/>
                <w:b/>
                <w:bCs/>
                <w:color w:val="auto"/>
                <w:sz w:val="21"/>
                <w:szCs w:val="21"/>
              </w:rPr>
              <w:t>生产工艺流</w:t>
            </w:r>
            <w:r>
              <w:rPr>
                <w:rFonts w:hint="default" w:ascii="Times New Roman" w:hAnsi="Times New Roman" w:cs="Times New Roman" w:eastAsiaTheme="minorEastAsia"/>
                <w:b/>
                <w:color w:val="auto"/>
                <w:sz w:val="21"/>
                <w:szCs w:val="21"/>
              </w:rPr>
              <w:t>程图</w:t>
            </w:r>
          </w:p>
          <w:p w14:paraId="5DD0294E">
            <w:pPr>
              <w:keepNext w:val="0"/>
              <w:keepLines w:val="0"/>
              <w:pageBreakBefore w:val="0"/>
              <w:kinsoku/>
              <w:wordWrap/>
              <w:overflowPunct/>
              <w:topLinePunct w:val="0"/>
              <w:autoSpaceDE/>
              <w:autoSpaceDN/>
              <w:bidi w:val="0"/>
              <w:adjustRightInd w:val="0"/>
              <w:snapToGrid w:val="0"/>
              <w:spacing w:line="500" w:lineRule="exact"/>
              <w:ind w:right="0" w:firstLine="420" w:firstLineChars="200"/>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工艺流程简述：</w:t>
            </w:r>
          </w:p>
          <w:p w14:paraId="1D1C5E5D">
            <w:pPr>
              <w:pStyle w:val="2"/>
              <w:keepNext w:val="0"/>
              <w:keepLines w:val="0"/>
              <w:pageBreakBefore w:val="0"/>
              <w:kinsoku/>
              <w:wordWrap/>
              <w:overflowPunct/>
              <w:topLinePunct w:val="0"/>
              <w:autoSpaceDE/>
              <w:autoSpaceDN/>
              <w:bidi w:val="0"/>
              <w:adjustRightInd w:val="0"/>
              <w:snapToGrid w:val="0"/>
              <w:spacing w:before="0" w:after="0" w:line="500" w:lineRule="exact"/>
              <w:ind w:right="0" w:firstLine="420" w:firstLineChars="200"/>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印刷：通过印刷机将水性油墨转印到承印物（塑料膜）表面上，印刷机采用电加热，加热温度为65℃左右。印刷过程水性油墨中可挥发性组分（乙醇）挥发产生有机废气(G1)；项目印刷机磨辊定期使用抹布蘸</w:t>
            </w:r>
            <w:r>
              <w:rPr>
                <w:rFonts w:hint="eastAsia" w:cs="Times New Roman" w:eastAsiaTheme="minorEastAsia"/>
                <w:color w:val="auto"/>
                <w:kern w:val="2"/>
                <w:sz w:val="21"/>
                <w:szCs w:val="21"/>
                <w:highlight w:val="none"/>
                <w:lang w:val="en-US" w:eastAsia="zh-CN" w:bidi="ar-SA"/>
              </w:rPr>
              <w:t>乙醇</w:t>
            </w:r>
            <w:r>
              <w:rPr>
                <w:rFonts w:hint="default" w:ascii="Times New Roman" w:hAnsi="Times New Roman" w:cs="Times New Roman" w:eastAsiaTheme="minorEastAsia"/>
                <w:color w:val="auto"/>
                <w:kern w:val="2"/>
                <w:sz w:val="21"/>
                <w:szCs w:val="21"/>
                <w:highlight w:val="none"/>
                <w:lang w:val="en-US" w:eastAsia="zh-CN" w:bidi="ar-SA"/>
              </w:rPr>
              <w:t>擦洗,清洁过程产生有机废气（G2）和含油墨废抹布（S1）。</w:t>
            </w:r>
          </w:p>
          <w:p w14:paraId="3F893794">
            <w:pPr>
              <w:pStyle w:val="2"/>
              <w:keepNext w:val="0"/>
              <w:keepLines w:val="0"/>
              <w:pageBreakBefore w:val="0"/>
              <w:kinsoku/>
              <w:wordWrap/>
              <w:overflowPunct/>
              <w:topLinePunct w:val="0"/>
              <w:autoSpaceDE/>
              <w:autoSpaceDN/>
              <w:bidi w:val="0"/>
              <w:adjustRightInd w:val="0"/>
              <w:snapToGrid w:val="0"/>
              <w:spacing w:before="0" w:after="0" w:line="500" w:lineRule="exact"/>
              <w:ind w:right="0" w:firstLine="420" w:firstLineChars="200"/>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复合：部分塑料膜（PET、BOPP）需复合后使用，通过复合机将水性胶水涂布到膜的另一面并与未经处理的薄膜复合到一起。复合过程采用电加热，加热温度为50℃左右。复合过程水性胶水中可挥发性组分挥发产生有机废气(G3)。</w:t>
            </w:r>
          </w:p>
          <w:p w14:paraId="0E6CC3D2">
            <w:pPr>
              <w:pStyle w:val="2"/>
              <w:keepNext w:val="0"/>
              <w:keepLines w:val="0"/>
              <w:pageBreakBefore w:val="0"/>
              <w:kinsoku/>
              <w:wordWrap/>
              <w:overflowPunct/>
              <w:topLinePunct w:val="0"/>
              <w:autoSpaceDE/>
              <w:autoSpaceDN/>
              <w:bidi w:val="0"/>
              <w:adjustRightInd w:val="0"/>
              <w:snapToGrid w:val="0"/>
              <w:spacing w:before="0" w:after="0" w:line="500" w:lineRule="exact"/>
              <w:ind w:right="0" w:firstLine="420" w:firstLineChars="200"/>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熟化：复合后的薄膜运送至密闭固化室（电加热至50℃，恒温12小时）内烘干，熟化过程中水性油墨、水性胶水挥发性有机物继续挥发产生有机废气(G4)。</w:t>
            </w:r>
          </w:p>
          <w:p w14:paraId="0E09B70F">
            <w:pPr>
              <w:pStyle w:val="2"/>
              <w:keepNext w:val="0"/>
              <w:keepLines w:val="0"/>
              <w:pageBreakBefore w:val="0"/>
              <w:kinsoku/>
              <w:wordWrap/>
              <w:overflowPunct/>
              <w:topLinePunct w:val="0"/>
              <w:autoSpaceDE/>
              <w:autoSpaceDN/>
              <w:bidi w:val="0"/>
              <w:adjustRightInd w:val="0"/>
              <w:snapToGrid w:val="0"/>
              <w:spacing w:before="0" w:after="0" w:line="500" w:lineRule="exact"/>
              <w:ind w:right="0" w:firstLine="420" w:firstLineChars="200"/>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分切：复合后的塑料膜经</w:t>
            </w:r>
            <w:r>
              <w:rPr>
                <w:rFonts w:hint="eastAsia" w:cs="Times New Roman" w:eastAsiaTheme="minorEastAsia"/>
                <w:color w:val="auto"/>
                <w:kern w:val="2"/>
                <w:sz w:val="21"/>
                <w:szCs w:val="21"/>
                <w:highlight w:val="none"/>
                <w:lang w:val="en-US" w:eastAsia="zh-CN" w:bidi="ar-SA"/>
              </w:rPr>
              <w:t>复合机</w:t>
            </w:r>
            <w:r>
              <w:rPr>
                <w:rFonts w:hint="default" w:ascii="Times New Roman" w:hAnsi="Times New Roman" w:cs="Times New Roman" w:eastAsiaTheme="minorEastAsia"/>
                <w:color w:val="auto"/>
                <w:kern w:val="2"/>
                <w:sz w:val="21"/>
                <w:szCs w:val="21"/>
                <w:highlight w:val="none"/>
                <w:lang w:val="en-US" w:eastAsia="zh-CN" w:bidi="ar-SA"/>
              </w:rPr>
              <w:t>切片，切成3-5cm宽的长条即为塑料膜成品。此过程产生少量边角料(S2)。</w:t>
            </w:r>
          </w:p>
          <w:p w14:paraId="440FEEFC">
            <w:pPr>
              <w:pStyle w:val="2"/>
              <w:keepNext w:val="0"/>
              <w:keepLines w:val="0"/>
              <w:pageBreakBefore w:val="0"/>
              <w:kinsoku/>
              <w:wordWrap/>
              <w:overflowPunct/>
              <w:topLinePunct w:val="0"/>
              <w:autoSpaceDE/>
              <w:autoSpaceDN/>
              <w:bidi w:val="0"/>
              <w:adjustRightInd w:val="0"/>
              <w:snapToGrid w:val="0"/>
              <w:spacing w:before="0" w:after="0" w:line="500" w:lineRule="exact"/>
              <w:ind w:right="0" w:firstLine="420" w:firstLineChars="200"/>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制袋：部分分切后塑料膜经制袋机制作成各种规格的复合袋，制袋机封口过程产生微量有机废气(G5)。</w:t>
            </w:r>
          </w:p>
          <w:p w14:paraId="11DCFD50">
            <w:pPr>
              <w:keepNext w:val="0"/>
              <w:keepLines w:val="0"/>
              <w:pageBreakBefore w:val="0"/>
              <w:kinsoku/>
              <w:wordWrap/>
              <w:overflowPunct/>
              <w:topLinePunct w:val="0"/>
              <w:autoSpaceDE/>
              <w:autoSpaceDN/>
              <w:bidi w:val="0"/>
              <w:adjustRightInd w:val="0"/>
              <w:snapToGrid w:val="0"/>
              <w:spacing w:line="500" w:lineRule="exact"/>
              <w:ind w:right="0" w:firstLine="420" w:firstLineChars="200"/>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检验：复合袋经人工检验合格后包装入库，此工序产生少量次品(S3)。。</w:t>
            </w:r>
          </w:p>
          <w:p w14:paraId="11C6FA4C">
            <w:pPr>
              <w:pStyle w:val="14"/>
              <w:numPr>
                <w:ilvl w:val="0"/>
                <w:numId w:val="0"/>
              </w:num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drawing>
                <wp:inline distT="0" distB="0" distL="114300" distR="114300">
                  <wp:extent cx="635" cy="0"/>
                  <wp:effectExtent l="0" t="0" r="0" b="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0"/>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eastAsiaTheme="minorEastAsia"/>
                <w:color w:val="auto"/>
                <w:sz w:val="21"/>
                <w:szCs w:val="21"/>
              </w:rPr>
              <w:drawing>
                <wp:inline distT="0" distB="0" distL="114300" distR="114300">
                  <wp:extent cx="635" cy="0"/>
                  <wp:effectExtent l="0" t="0" r="0" b="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20"/>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eastAsiaTheme="minorEastAsia"/>
                <w:color w:val="auto"/>
                <w:sz w:val="21"/>
                <w:szCs w:val="21"/>
              </w:rPr>
              <w:drawing>
                <wp:inline distT="0" distB="0" distL="114300" distR="114300">
                  <wp:extent cx="635" cy="0"/>
                  <wp:effectExtent l="0" t="0" r="0" b="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21"/>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eastAsiaTheme="minorEastAsia"/>
                <w:color w:val="auto"/>
                <w:sz w:val="21"/>
                <w:szCs w:val="21"/>
              </w:rPr>
              <w:drawing>
                <wp:inline distT="0" distB="0" distL="114300" distR="114300">
                  <wp:extent cx="635" cy="0"/>
                  <wp:effectExtent l="0" t="0" r="0" b="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1"/>
                          <a:stretch>
                            <a:fillRect/>
                          </a:stretch>
                        </pic:blipFill>
                        <pic:spPr>
                          <a:xfrm>
                            <a:off x="0" y="0"/>
                            <a:ext cx="635" cy="0"/>
                          </a:xfrm>
                          <a:prstGeom prst="rect">
                            <a:avLst/>
                          </a:prstGeom>
                          <a:noFill/>
                          <a:ln>
                            <a:noFill/>
                          </a:ln>
                        </pic:spPr>
                      </pic:pic>
                    </a:graphicData>
                  </a:graphic>
                </wp:inline>
              </w:drawing>
            </w:r>
          </w:p>
          <w:p w14:paraId="1EBA2E41">
            <w:pPr>
              <w:pStyle w:val="7"/>
              <w:keepNext w:val="0"/>
              <w:keepLines w:val="0"/>
              <w:pageBreakBefore w:val="0"/>
              <w:kinsoku/>
              <w:wordWrap/>
              <w:overflowPunct/>
              <w:topLinePunct w:val="0"/>
              <w:autoSpaceDE/>
              <w:autoSpaceDN/>
              <w:bidi w:val="0"/>
              <w:adjustRightInd w:val="0"/>
              <w:snapToGrid w:val="0"/>
              <w:spacing w:line="500" w:lineRule="exact"/>
              <w:ind w:firstLine="422"/>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bCs/>
                <w:color w:val="auto"/>
                <w:sz w:val="21"/>
                <w:szCs w:val="21"/>
                <w:highlight w:val="none"/>
              </w:rPr>
              <w:t>三、原有项目污染防治措施</w:t>
            </w:r>
          </w:p>
          <w:p w14:paraId="3AC639A7">
            <w:pPr>
              <w:pStyle w:val="94"/>
              <w:keepNext w:val="0"/>
              <w:keepLines w:val="0"/>
              <w:pageBreakBefore w:val="0"/>
              <w:kinsoku/>
              <w:wordWrap/>
              <w:overflowPunct/>
              <w:topLinePunct w:val="0"/>
              <w:autoSpaceDE/>
              <w:autoSpaceDN/>
              <w:bidi w:val="0"/>
              <w:spacing w:line="500" w:lineRule="exact"/>
              <w:ind w:firstLine="420"/>
              <w:jc w:val="both"/>
              <w:textAlignment w:val="auto"/>
              <w:rPr>
                <w:rFonts w:hint="default" w:ascii="Times New Roman" w:hAnsi="Times New Roman" w:cs="Times New Roman" w:eastAsiaTheme="minorEastAsia"/>
                <w:b/>
                <w:bCs/>
                <w:color w:val="auto"/>
                <w:sz w:val="21"/>
                <w:szCs w:val="21"/>
                <w:highlight w:val="none"/>
              </w:rPr>
            </w:pPr>
            <w:r>
              <w:rPr>
                <w:rFonts w:hint="eastAsia" w:ascii="Times New Roman" w:hAnsi="Times New Roman" w:cs="Times New Roman" w:eastAsiaTheme="minorEastAsia"/>
                <w:b/>
                <w:bCs/>
                <w:color w:val="auto"/>
                <w:sz w:val="21"/>
                <w:szCs w:val="21"/>
                <w:highlight w:val="none"/>
              </w:rPr>
              <w:t>1、已建项目</w:t>
            </w:r>
          </w:p>
          <w:p w14:paraId="51AD8071">
            <w:pPr>
              <w:pStyle w:val="7"/>
              <w:keepNext w:val="0"/>
              <w:keepLines w:val="0"/>
              <w:pageBreakBefore w:val="0"/>
              <w:kinsoku/>
              <w:wordWrap/>
              <w:overflowPunct/>
              <w:topLinePunct w:val="0"/>
              <w:autoSpaceDE/>
              <w:autoSpaceDN/>
              <w:bidi w:val="0"/>
              <w:adjustRightInd w:val="0"/>
              <w:snapToGrid w:val="0"/>
              <w:spacing w:line="500" w:lineRule="exact"/>
              <w:ind w:firstLine="422"/>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已建项目为常州安圣印务有限公司软包装彩印项目（</w:t>
            </w:r>
            <w:r>
              <w:rPr>
                <w:rFonts w:hint="default" w:ascii="Times New Roman" w:hAnsi="Times New Roman" w:cs="Times New Roman" w:eastAsiaTheme="minorEastAsia"/>
                <w:color w:val="auto"/>
                <w:kern w:val="2"/>
                <w:sz w:val="21"/>
                <w:szCs w:val="21"/>
                <w:highlight w:val="none"/>
                <w:lang w:val="en-US" w:eastAsia="zh-CN" w:bidi="ar-SA"/>
              </w:rPr>
              <w:t>年产1</w:t>
            </w:r>
            <w:r>
              <w:rPr>
                <w:rFonts w:hint="eastAsia" w:ascii="Times New Roman" w:hAnsi="Times New Roman" w:cs="Times New Roman" w:eastAsiaTheme="minorEastAsia"/>
                <w:color w:val="auto"/>
                <w:kern w:val="2"/>
                <w:sz w:val="21"/>
                <w:szCs w:val="21"/>
                <w:highlight w:val="none"/>
                <w:lang w:val="en-US" w:eastAsia="zh-CN" w:bidi="ar-SA"/>
              </w:rPr>
              <w:t>2</w:t>
            </w:r>
            <w:r>
              <w:rPr>
                <w:rFonts w:hint="default" w:ascii="Times New Roman" w:hAnsi="Times New Roman" w:cs="Times New Roman" w:eastAsiaTheme="minorEastAsia"/>
                <w:color w:val="auto"/>
                <w:kern w:val="2"/>
                <w:sz w:val="21"/>
                <w:szCs w:val="21"/>
                <w:highlight w:val="none"/>
                <w:lang w:val="en-US" w:eastAsia="zh-CN" w:bidi="ar-SA"/>
              </w:rPr>
              <w:t>0吨塑料膜、年产1</w:t>
            </w:r>
            <w:r>
              <w:rPr>
                <w:rFonts w:hint="eastAsia" w:ascii="Times New Roman" w:hAnsi="Times New Roman" w:cs="Times New Roman" w:eastAsiaTheme="minorEastAsia"/>
                <w:color w:val="auto"/>
                <w:kern w:val="2"/>
                <w:sz w:val="21"/>
                <w:szCs w:val="21"/>
                <w:highlight w:val="none"/>
                <w:lang w:val="en-US" w:eastAsia="zh-CN" w:bidi="ar-SA"/>
              </w:rPr>
              <w:t>8</w:t>
            </w:r>
            <w:r>
              <w:rPr>
                <w:rFonts w:hint="default" w:ascii="Times New Roman" w:hAnsi="Times New Roman" w:cs="Times New Roman" w:eastAsiaTheme="minorEastAsia"/>
                <w:color w:val="auto"/>
                <w:kern w:val="2"/>
                <w:sz w:val="21"/>
                <w:szCs w:val="21"/>
                <w:highlight w:val="none"/>
                <w:lang w:val="en-US" w:eastAsia="zh-CN" w:bidi="ar-SA"/>
              </w:rPr>
              <w:t>0吨塑料包装袋</w:t>
            </w:r>
            <w:r>
              <w:rPr>
                <w:rFonts w:hint="eastAsia" w:ascii="Times New Roman" w:hAnsi="Times New Roman" w:cs="Times New Roman" w:eastAsiaTheme="minorEastAsia"/>
                <w:color w:val="auto"/>
                <w:kern w:val="2"/>
                <w:sz w:val="21"/>
                <w:szCs w:val="21"/>
                <w:highlight w:val="none"/>
                <w:lang w:val="en-US" w:eastAsia="zh-CN" w:bidi="ar-SA"/>
              </w:rPr>
              <w:t>）</w:t>
            </w:r>
          </w:p>
          <w:p w14:paraId="3719CAFC">
            <w:pPr>
              <w:pStyle w:val="7"/>
              <w:keepNext w:val="0"/>
              <w:keepLines w:val="0"/>
              <w:pageBreakBefore w:val="0"/>
              <w:kinsoku/>
              <w:wordWrap/>
              <w:overflowPunct/>
              <w:topLinePunct w:val="0"/>
              <w:autoSpaceDE/>
              <w:autoSpaceDN/>
              <w:bidi w:val="0"/>
              <w:adjustRightInd w:val="0"/>
              <w:snapToGrid w:val="0"/>
              <w:spacing w:line="500" w:lineRule="exact"/>
              <w:ind w:firstLine="422"/>
              <w:textAlignment w:val="auto"/>
              <w:rPr>
                <w:b w:val="0"/>
                <w:bCs w:val="0"/>
                <w:color w:val="auto"/>
                <w:sz w:val="21"/>
                <w:szCs w:val="21"/>
                <w:highlight w:val="none"/>
              </w:rPr>
            </w:pPr>
            <w:r>
              <w:rPr>
                <w:rFonts w:hint="eastAsia"/>
                <w:b w:val="0"/>
                <w:bCs w:val="0"/>
                <w:color w:val="auto"/>
                <w:sz w:val="21"/>
                <w:szCs w:val="21"/>
                <w:highlight w:val="none"/>
              </w:rPr>
              <w:t>（1）废气</w:t>
            </w:r>
          </w:p>
          <w:p w14:paraId="5A91A4FB">
            <w:pPr>
              <w:pStyle w:val="7"/>
              <w:keepNext w:val="0"/>
              <w:keepLines w:val="0"/>
              <w:pageBreakBefore w:val="0"/>
              <w:kinsoku/>
              <w:wordWrap/>
              <w:overflowPunct/>
              <w:topLinePunct w:val="0"/>
              <w:autoSpaceDE/>
              <w:autoSpaceDN/>
              <w:bidi w:val="0"/>
              <w:adjustRightInd w:val="0"/>
              <w:snapToGrid w:val="0"/>
              <w:spacing w:line="500" w:lineRule="exact"/>
              <w:ind w:firstLine="42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已建</w:t>
            </w:r>
            <w:r>
              <w:rPr>
                <w:rFonts w:hint="eastAsia"/>
                <w:color w:val="auto"/>
                <w:sz w:val="21"/>
                <w:szCs w:val="21"/>
                <w:highlight w:val="none"/>
              </w:rPr>
              <w:t>项目</w:t>
            </w:r>
            <w:r>
              <w:rPr>
                <w:color w:val="auto"/>
                <w:sz w:val="21"/>
                <w:szCs w:val="21"/>
              </w:rPr>
              <w:t>印刷、复合</w:t>
            </w:r>
            <w:r>
              <w:rPr>
                <w:rFonts w:hint="eastAsia"/>
                <w:color w:val="auto"/>
                <w:sz w:val="21"/>
                <w:szCs w:val="21"/>
              </w:rPr>
              <w:t>、熟化、</w:t>
            </w:r>
            <w:r>
              <w:rPr>
                <w:color w:val="auto"/>
                <w:sz w:val="21"/>
                <w:szCs w:val="21"/>
              </w:rPr>
              <w:t>磨辊</w:t>
            </w:r>
            <w:r>
              <w:rPr>
                <w:rFonts w:hint="eastAsia"/>
                <w:color w:val="auto"/>
                <w:sz w:val="21"/>
                <w:szCs w:val="21"/>
              </w:rPr>
              <w:t>清洗</w:t>
            </w:r>
            <w:r>
              <w:rPr>
                <w:rFonts w:hint="eastAsia"/>
                <w:color w:val="auto"/>
                <w:sz w:val="21"/>
                <w:szCs w:val="21"/>
                <w:lang w:val="en-US" w:eastAsia="zh-CN"/>
              </w:rPr>
              <w:t>废气采用</w:t>
            </w:r>
            <w:r>
              <w:rPr>
                <w:rFonts w:hint="eastAsia" w:cs="Times New Roman" w:eastAsiaTheme="minorEastAsia"/>
                <w:b w:val="0"/>
                <w:bCs w:val="0"/>
                <w:color w:val="auto"/>
                <w:sz w:val="21"/>
                <w:szCs w:val="21"/>
                <w:highlight w:val="none"/>
                <w:lang w:val="en-US" w:eastAsia="zh-CN"/>
              </w:rPr>
              <w:t>密闭空间</w:t>
            </w:r>
            <w:r>
              <w:rPr>
                <w:rFonts w:hint="default" w:ascii="Times New Roman" w:hAnsi="Times New Roman" w:cs="Times New Roman" w:eastAsiaTheme="minorEastAsia"/>
                <w:b w:val="0"/>
                <w:bCs w:val="0"/>
                <w:color w:val="auto"/>
                <w:sz w:val="21"/>
                <w:szCs w:val="21"/>
                <w:highlight w:val="none"/>
                <w:lang w:val="en-US" w:eastAsia="zh-CN"/>
              </w:rPr>
              <w:t>收集后</w:t>
            </w:r>
            <w:r>
              <w:rPr>
                <w:rFonts w:hint="eastAsia" w:ascii="Times New Roman" w:hAnsi="Times New Roman" w:cs="Times New Roman" w:eastAsiaTheme="minorEastAsia"/>
                <w:b w:val="0"/>
                <w:bCs w:val="0"/>
                <w:color w:val="auto"/>
                <w:sz w:val="21"/>
                <w:szCs w:val="21"/>
                <w:highlight w:val="none"/>
                <w:lang w:val="en-US" w:eastAsia="zh-CN"/>
              </w:rPr>
              <w:t>进入</w:t>
            </w:r>
            <w:r>
              <w:rPr>
                <w:rFonts w:hint="default" w:ascii="Times New Roman" w:hAnsi="Times New Roman" w:cs="Times New Roman" w:eastAsiaTheme="minorEastAsia"/>
                <w:b w:val="0"/>
                <w:bCs w:val="0"/>
                <w:color w:val="auto"/>
                <w:sz w:val="21"/>
                <w:szCs w:val="21"/>
                <w:highlight w:val="none"/>
                <w:lang w:val="en-US" w:eastAsia="zh-CN"/>
              </w:rPr>
              <w:t>二级活性炭处理装置处理</w:t>
            </w:r>
            <w:r>
              <w:rPr>
                <w:rFonts w:hint="eastAsia" w:ascii="Times New Roman" w:hAnsi="Times New Roman" w:cs="Times New Roman" w:eastAsiaTheme="minorEastAsia"/>
                <w:b w:val="0"/>
                <w:bCs w:val="0"/>
                <w:color w:val="auto"/>
                <w:sz w:val="21"/>
                <w:szCs w:val="21"/>
                <w:highlight w:val="none"/>
                <w:lang w:val="en-US" w:eastAsia="zh-CN"/>
              </w:rPr>
              <w:t>，尾气</w:t>
            </w:r>
            <w:r>
              <w:rPr>
                <w:rFonts w:hint="default" w:ascii="Times New Roman" w:hAnsi="Times New Roman" w:cs="Times New Roman" w:eastAsiaTheme="minorEastAsia"/>
                <w:b w:val="0"/>
                <w:bCs w:val="0"/>
                <w:color w:val="auto"/>
                <w:sz w:val="21"/>
                <w:szCs w:val="21"/>
                <w:highlight w:val="none"/>
                <w:lang w:val="en-US" w:eastAsia="zh-CN"/>
              </w:rPr>
              <w:t>通过1根15米排气筒排放</w:t>
            </w:r>
            <w:r>
              <w:rPr>
                <w:rFonts w:hint="eastAsia" w:ascii="Times New Roman" w:hAnsi="Times New Roman" w:cs="Times New Roman" w:eastAsiaTheme="minorEastAsia"/>
                <w:b w:val="0"/>
                <w:bCs w:val="0"/>
                <w:color w:val="auto"/>
                <w:sz w:val="21"/>
                <w:szCs w:val="21"/>
                <w:highlight w:val="none"/>
                <w:lang w:val="en-US" w:eastAsia="zh-CN"/>
              </w:rPr>
              <w:t>。</w:t>
            </w:r>
            <w:r>
              <w:rPr>
                <w:rFonts w:hint="eastAsia"/>
                <w:color w:val="auto"/>
                <w:sz w:val="21"/>
                <w:szCs w:val="21"/>
                <w:highlight w:val="none"/>
                <w:lang w:val="en-US" w:eastAsia="zh-CN"/>
              </w:rPr>
              <w:t>未收集的</w:t>
            </w:r>
            <w:r>
              <w:rPr>
                <w:color w:val="auto"/>
                <w:sz w:val="21"/>
                <w:szCs w:val="21"/>
              </w:rPr>
              <w:t>印刷、复合</w:t>
            </w:r>
            <w:r>
              <w:rPr>
                <w:rFonts w:hint="eastAsia"/>
                <w:color w:val="auto"/>
                <w:sz w:val="21"/>
                <w:szCs w:val="21"/>
              </w:rPr>
              <w:t>、熟化、</w:t>
            </w:r>
            <w:r>
              <w:rPr>
                <w:color w:val="auto"/>
                <w:sz w:val="21"/>
                <w:szCs w:val="21"/>
              </w:rPr>
              <w:t>磨辊</w:t>
            </w:r>
            <w:r>
              <w:rPr>
                <w:rFonts w:hint="eastAsia"/>
                <w:color w:val="auto"/>
                <w:sz w:val="21"/>
                <w:szCs w:val="21"/>
              </w:rPr>
              <w:t>清洗</w:t>
            </w:r>
            <w:r>
              <w:rPr>
                <w:rFonts w:hint="eastAsia"/>
                <w:color w:val="auto"/>
                <w:sz w:val="21"/>
                <w:szCs w:val="21"/>
                <w:lang w:val="en-US" w:eastAsia="zh-CN"/>
              </w:rPr>
              <w:t>废气在厂区无组织排放。</w:t>
            </w:r>
          </w:p>
          <w:p w14:paraId="3B6E0AED">
            <w:pPr>
              <w:pStyle w:val="7"/>
              <w:keepNext w:val="0"/>
              <w:keepLines w:val="0"/>
              <w:pageBreakBefore w:val="0"/>
              <w:kinsoku/>
              <w:wordWrap/>
              <w:overflowPunct/>
              <w:topLinePunct w:val="0"/>
              <w:autoSpaceDE/>
              <w:autoSpaceDN/>
              <w:bidi w:val="0"/>
              <w:adjustRightInd w:val="0"/>
              <w:snapToGrid w:val="0"/>
              <w:spacing w:line="500" w:lineRule="exact"/>
              <w:ind w:firstLine="420"/>
              <w:textAlignment w:val="auto"/>
              <w:rPr>
                <w:b/>
                <w:bCs/>
                <w:color w:val="auto"/>
                <w:sz w:val="21"/>
                <w:szCs w:val="21"/>
                <w:highlight w:val="none"/>
              </w:rPr>
            </w:pPr>
            <w:r>
              <w:rPr>
                <w:rFonts w:hint="eastAsia"/>
                <w:color w:val="auto"/>
                <w:sz w:val="21"/>
                <w:szCs w:val="21"/>
                <w:highlight w:val="none"/>
                <w:lang w:val="en-US" w:eastAsia="zh-CN"/>
              </w:rPr>
              <w:t>已建</w:t>
            </w:r>
            <w:r>
              <w:rPr>
                <w:rFonts w:hint="eastAsia"/>
                <w:color w:val="auto"/>
                <w:sz w:val="21"/>
                <w:szCs w:val="21"/>
                <w:highlight w:val="none"/>
              </w:rPr>
              <w:t>项目废气监测结果见下表。</w:t>
            </w:r>
          </w:p>
          <w:p w14:paraId="3106F821">
            <w:pPr>
              <w:pStyle w:val="2"/>
              <w:keepNext w:val="0"/>
              <w:keepLines w:val="0"/>
              <w:pageBreakBefore w:val="0"/>
              <w:widowControl/>
              <w:kinsoku/>
              <w:wordWrap/>
              <w:overflowPunct/>
              <w:topLinePunct w:val="0"/>
              <w:autoSpaceDE/>
              <w:autoSpaceDN/>
              <w:bidi w:val="0"/>
              <w:adjustRightInd w:val="0"/>
              <w:snapToGrid w:val="0"/>
              <w:spacing w:before="0" w:after="0" w:line="500" w:lineRule="exact"/>
              <w:ind w:right="0"/>
              <w:jc w:val="center"/>
              <w:textAlignment w:val="auto"/>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表2-1</w:t>
            </w:r>
            <w:r>
              <w:rPr>
                <w:rFonts w:hint="eastAsia" w:cs="Times New Roman"/>
                <w:b/>
                <w:bCs/>
                <w:color w:val="auto"/>
                <w:sz w:val="21"/>
                <w:szCs w:val="21"/>
                <w:highlight w:val="none"/>
                <w:lang w:val="en-US" w:eastAsia="zh-CN"/>
              </w:rPr>
              <w:t>0</w:t>
            </w:r>
            <w:r>
              <w:rPr>
                <w:rFonts w:hint="eastAsia" w:ascii="Times New Roman" w:hAnsi="Times New Roman" w:eastAsia="宋体" w:cs="Times New Roman"/>
                <w:b/>
                <w:bCs/>
                <w:color w:val="auto"/>
                <w:sz w:val="21"/>
                <w:szCs w:val="21"/>
                <w:highlight w:val="none"/>
              </w:rPr>
              <w:t xml:space="preserve"> 有组织废气监测结果</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154"/>
              <w:gridCol w:w="2039"/>
              <w:gridCol w:w="1026"/>
              <w:gridCol w:w="1026"/>
              <w:gridCol w:w="1026"/>
              <w:gridCol w:w="976"/>
              <w:gridCol w:w="979"/>
            </w:tblGrid>
            <w:tr w14:paraId="6B4BC1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7" w:type="pct"/>
                  <w:vMerge w:val="restart"/>
                  <w:tcBorders>
                    <w:tl2br w:val="nil"/>
                    <w:tr2bl w:val="nil"/>
                  </w:tcBorders>
                  <w:noWrap w:val="0"/>
                  <w:vAlign w:val="center"/>
                </w:tcPr>
                <w:p w14:paraId="3EF0589D">
                  <w:pPr>
                    <w:pStyle w:val="121"/>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监测点位</w:t>
                  </w:r>
                </w:p>
              </w:tc>
              <w:tc>
                <w:tcPr>
                  <w:tcW w:w="542" w:type="pct"/>
                  <w:vMerge w:val="restart"/>
                  <w:tcBorders>
                    <w:tl2br w:val="nil"/>
                    <w:tr2bl w:val="nil"/>
                  </w:tcBorders>
                  <w:noWrap w:val="0"/>
                  <w:vAlign w:val="center"/>
                </w:tcPr>
                <w:p w14:paraId="2525D35E">
                  <w:pPr>
                    <w:pStyle w:val="121"/>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监测日期</w:t>
                  </w:r>
                </w:p>
              </w:tc>
              <w:tc>
                <w:tcPr>
                  <w:tcW w:w="1314" w:type="pct"/>
                  <w:vMerge w:val="restart"/>
                  <w:tcBorders>
                    <w:tl2br w:val="nil"/>
                    <w:tr2bl w:val="nil"/>
                  </w:tcBorders>
                  <w:noWrap w:val="0"/>
                  <w:vAlign w:val="center"/>
                </w:tcPr>
                <w:p w14:paraId="02842995">
                  <w:pPr>
                    <w:pStyle w:val="121"/>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监测项目</w:t>
                  </w:r>
                </w:p>
              </w:tc>
              <w:tc>
                <w:tcPr>
                  <w:tcW w:w="1488" w:type="pct"/>
                  <w:gridSpan w:val="3"/>
                  <w:tcBorders>
                    <w:tl2br w:val="nil"/>
                    <w:tr2bl w:val="nil"/>
                  </w:tcBorders>
                  <w:noWrap w:val="0"/>
                  <w:vAlign w:val="center"/>
                </w:tcPr>
                <w:p w14:paraId="768609A0">
                  <w:pPr>
                    <w:pStyle w:val="121"/>
                    <w:bidi w:val="0"/>
                    <w:spacing w:line="240" w:lineRule="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出口</w:t>
                  </w:r>
                </w:p>
              </w:tc>
              <w:tc>
                <w:tcPr>
                  <w:tcW w:w="667" w:type="pct"/>
                  <w:vMerge w:val="restart"/>
                  <w:tcBorders>
                    <w:tl2br w:val="nil"/>
                    <w:tr2bl w:val="nil"/>
                  </w:tcBorders>
                  <w:noWrap w:val="0"/>
                  <w:vAlign w:val="center"/>
                </w:tcPr>
                <w:p w14:paraId="036D2286">
                  <w:pPr>
                    <w:pStyle w:val="121"/>
                    <w:bidi w:val="0"/>
                    <w:spacing w:line="240" w:lineRule="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排放</w:t>
                  </w:r>
                  <w:r>
                    <w:rPr>
                      <w:rFonts w:hint="default" w:ascii="Times New Roman" w:hAnsi="Times New Roman" w:cs="Times New Roman"/>
                      <w:color w:val="auto"/>
                      <w:sz w:val="21"/>
                      <w:szCs w:val="21"/>
                      <w:lang w:eastAsia="zh-CN"/>
                    </w:rPr>
                    <w:t>限值</w:t>
                  </w:r>
                </w:p>
              </w:tc>
              <w:tc>
                <w:tcPr>
                  <w:tcW w:w="669" w:type="pct"/>
                  <w:vMerge w:val="restart"/>
                  <w:tcBorders>
                    <w:tl2br w:val="nil"/>
                    <w:tr2bl w:val="nil"/>
                  </w:tcBorders>
                  <w:noWrap w:val="0"/>
                  <w:vAlign w:val="center"/>
                </w:tcPr>
                <w:p w14:paraId="7A5E573D">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auto"/>
                    <w:outlineLvl w:val="9"/>
                    <w:rPr>
                      <w:rFonts w:hint="default" w:ascii="Times New Roman" w:hAnsi="Times New Roman" w:eastAsia="宋体" w:cs="Times New Roman"/>
                      <w:b/>
                      <w:bCs/>
                      <w:color w:val="auto"/>
                      <w:kern w:val="2"/>
                      <w:sz w:val="21"/>
                      <w:szCs w:val="21"/>
                      <w:lang w:eastAsia="zh-CN"/>
                    </w:rPr>
                  </w:pPr>
                  <w:r>
                    <w:rPr>
                      <w:rFonts w:hint="default" w:ascii="Times New Roman" w:hAnsi="Times New Roman" w:eastAsia="宋体" w:cs="Times New Roman"/>
                      <w:b/>
                      <w:bCs/>
                      <w:color w:val="auto"/>
                      <w:kern w:val="2"/>
                      <w:sz w:val="21"/>
                      <w:szCs w:val="21"/>
                    </w:rPr>
                    <w:t>达标情况</w:t>
                  </w:r>
                </w:p>
              </w:tc>
            </w:tr>
            <w:tr w14:paraId="776EE1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7" w:type="pct"/>
                  <w:vMerge w:val="continue"/>
                  <w:tcBorders>
                    <w:tl2br w:val="nil"/>
                    <w:tr2bl w:val="nil"/>
                  </w:tcBorders>
                  <w:noWrap w:val="0"/>
                  <w:vAlign w:val="center"/>
                </w:tcPr>
                <w:p w14:paraId="76B94701">
                  <w:pPr>
                    <w:keepNext w:val="0"/>
                    <w:keepLines w:val="0"/>
                    <w:pageBreakBefore w:val="0"/>
                    <w:kinsoku/>
                    <w:wordWrap/>
                    <w:overflowPunct/>
                    <w:topLinePunct w:val="0"/>
                    <w:autoSpaceDE/>
                    <w:autoSpaceDN/>
                    <w:bidi w:val="0"/>
                    <w:adjustRightInd/>
                    <w:snapToGrid w:val="0"/>
                    <w:spacing w:line="240" w:lineRule="auto"/>
                    <w:ind w:right="0" w:rightChars="0" w:firstLine="420"/>
                    <w:jc w:val="center"/>
                    <w:outlineLvl w:val="9"/>
                    <w:rPr>
                      <w:rFonts w:hint="default" w:ascii="Times New Roman" w:hAnsi="Times New Roman" w:eastAsia="宋体" w:cs="Times New Roman"/>
                      <w:b/>
                      <w:bCs/>
                      <w:color w:val="auto"/>
                      <w:kern w:val="2"/>
                      <w:sz w:val="21"/>
                      <w:szCs w:val="21"/>
                    </w:rPr>
                  </w:pPr>
                </w:p>
              </w:tc>
              <w:tc>
                <w:tcPr>
                  <w:tcW w:w="542" w:type="pct"/>
                  <w:vMerge w:val="continue"/>
                  <w:tcBorders>
                    <w:tl2br w:val="nil"/>
                    <w:tr2bl w:val="nil"/>
                  </w:tcBorders>
                  <w:noWrap w:val="0"/>
                  <w:vAlign w:val="center"/>
                </w:tcPr>
                <w:p w14:paraId="324EA1BE">
                  <w:pPr>
                    <w:keepNext w:val="0"/>
                    <w:keepLines w:val="0"/>
                    <w:pageBreakBefore w:val="0"/>
                    <w:kinsoku/>
                    <w:wordWrap/>
                    <w:overflowPunct/>
                    <w:topLinePunct w:val="0"/>
                    <w:autoSpaceDE/>
                    <w:autoSpaceDN/>
                    <w:bidi w:val="0"/>
                    <w:adjustRightInd/>
                    <w:snapToGrid w:val="0"/>
                    <w:spacing w:line="240" w:lineRule="auto"/>
                    <w:ind w:right="0" w:rightChars="0" w:firstLine="420"/>
                    <w:jc w:val="center"/>
                    <w:outlineLvl w:val="9"/>
                    <w:rPr>
                      <w:rFonts w:hint="default" w:ascii="Times New Roman" w:hAnsi="Times New Roman" w:eastAsia="宋体" w:cs="Times New Roman"/>
                      <w:b/>
                      <w:bCs/>
                      <w:color w:val="auto"/>
                      <w:kern w:val="2"/>
                      <w:sz w:val="21"/>
                      <w:szCs w:val="21"/>
                    </w:rPr>
                  </w:pPr>
                </w:p>
              </w:tc>
              <w:tc>
                <w:tcPr>
                  <w:tcW w:w="1314" w:type="pct"/>
                  <w:vMerge w:val="continue"/>
                  <w:tcBorders>
                    <w:tl2br w:val="nil"/>
                    <w:tr2bl w:val="nil"/>
                  </w:tcBorders>
                  <w:noWrap w:val="0"/>
                  <w:vAlign w:val="center"/>
                </w:tcPr>
                <w:p w14:paraId="1EF7DE2C">
                  <w:pPr>
                    <w:keepNext w:val="0"/>
                    <w:keepLines w:val="0"/>
                    <w:pageBreakBefore w:val="0"/>
                    <w:kinsoku/>
                    <w:wordWrap/>
                    <w:overflowPunct/>
                    <w:topLinePunct w:val="0"/>
                    <w:autoSpaceDE/>
                    <w:autoSpaceDN/>
                    <w:bidi w:val="0"/>
                    <w:adjustRightInd/>
                    <w:snapToGrid w:val="0"/>
                    <w:spacing w:line="240" w:lineRule="auto"/>
                    <w:ind w:right="0" w:rightChars="0" w:firstLine="420"/>
                    <w:jc w:val="center"/>
                    <w:outlineLvl w:val="9"/>
                    <w:rPr>
                      <w:rFonts w:hint="default" w:ascii="Times New Roman" w:hAnsi="Times New Roman" w:eastAsia="宋体" w:cs="Times New Roman"/>
                      <w:b/>
                      <w:bCs/>
                      <w:color w:val="auto"/>
                      <w:kern w:val="2"/>
                      <w:sz w:val="21"/>
                      <w:szCs w:val="21"/>
                    </w:rPr>
                  </w:pPr>
                </w:p>
              </w:tc>
              <w:tc>
                <w:tcPr>
                  <w:tcW w:w="409" w:type="pct"/>
                  <w:tcBorders>
                    <w:tl2br w:val="nil"/>
                    <w:tr2bl w:val="nil"/>
                  </w:tcBorders>
                  <w:noWrap w:val="0"/>
                  <w:vAlign w:val="center"/>
                </w:tcPr>
                <w:p w14:paraId="0D98C11F">
                  <w:pPr>
                    <w:pStyle w:val="121"/>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第一次</w:t>
                  </w:r>
                </w:p>
              </w:tc>
              <w:tc>
                <w:tcPr>
                  <w:tcW w:w="534" w:type="pct"/>
                  <w:tcBorders>
                    <w:tl2br w:val="nil"/>
                    <w:tr2bl w:val="nil"/>
                  </w:tcBorders>
                  <w:noWrap w:val="0"/>
                  <w:vAlign w:val="center"/>
                </w:tcPr>
                <w:p w14:paraId="1AE435D7">
                  <w:pPr>
                    <w:pStyle w:val="121"/>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二</w:t>
                  </w:r>
                  <w:r>
                    <w:rPr>
                      <w:rFonts w:hint="default" w:ascii="Times New Roman" w:hAnsi="Times New Roman" w:cs="Times New Roman"/>
                      <w:color w:val="auto"/>
                      <w:sz w:val="21"/>
                      <w:szCs w:val="21"/>
                    </w:rPr>
                    <w:t>次</w:t>
                  </w:r>
                </w:p>
              </w:tc>
              <w:tc>
                <w:tcPr>
                  <w:tcW w:w="544" w:type="pct"/>
                  <w:tcBorders>
                    <w:tl2br w:val="nil"/>
                    <w:tr2bl w:val="nil"/>
                  </w:tcBorders>
                  <w:noWrap w:val="0"/>
                  <w:vAlign w:val="center"/>
                </w:tcPr>
                <w:p w14:paraId="6CB272B6">
                  <w:pPr>
                    <w:pStyle w:val="121"/>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z w:val="21"/>
                      <w:szCs w:val="21"/>
                      <w:lang w:eastAsia="zh-CN"/>
                    </w:rPr>
                    <w:t>三</w:t>
                  </w:r>
                  <w:r>
                    <w:rPr>
                      <w:rFonts w:hint="default" w:ascii="Times New Roman" w:hAnsi="Times New Roman" w:cs="Times New Roman"/>
                      <w:color w:val="auto"/>
                      <w:sz w:val="21"/>
                      <w:szCs w:val="21"/>
                    </w:rPr>
                    <w:t>次</w:t>
                  </w:r>
                </w:p>
              </w:tc>
              <w:tc>
                <w:tcPr>
                  <w:tcW w:w="667" w:type="pct"/>
                  <w:vMerge w:val="continue"/>
                  <w:tcBorders>
                    <w:tl2br w:val="nil"/>
                    <w:tr2bl w:val="nil"/>
                  </w:tcBorders>
                  <w:noWrap w:val="0"/>
                  <w:vAlign w:val="center"/>
                </w:tcPr>
                <w:p w14:paraId="714462CE">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rPr>
                  </w:pPr>
                </w:p>
              </w:tc>
              <w:tc>
                <w:tcPr>
                  <w:tcW w:w="669" w:type="pct"/>
                  <w:vMerge w:val="continue"/>
                  <w:tcBorders>
                    <w:tl2br w:val="nil"/>
                    <w:tr2bl w:val="nil"/>
                  </w:tcBorders>
                  <w:noWrap w:val="0"/>
                  <w:vAlign w:val="center"/>
                </w:tcPr>
                <w:p w14:paraId="6D0ECF0B">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rPr>
                  </w:pPr>
                </w:p>
              </w:tc>
            </w:tr>
            <w:tr w14:paraId="50D979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7" w:type="pct"/>
                  <w:vMerge w:val="restart"/>
                  <w:tcBorders>
                    <w:tl2br w:val="nil"/>
                    <w:tr2bl w:val="nil"/>
                  </w:tcBorders>
                  <w:noWrap w:val="0"/>
                  <w:vAlign w:val="center"/>
                </w:tcPr>
                <w:p w14:paraId="6B2CE6C3">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混</w:t>
                  </w:r>
                </w:p>
                <w:p w14:paraId="1ECF4474">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w:t>
                  </w:r>
                </w:p>
                <w:p w14:paraId="4EB13C3F">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w:t>
                  </w:r>
                </w:p>
                <w:p w14:paraId="37607FBC">
                  <w:pPr>
                    <w:pStyle w:val="119"/>
                    <w:bidi w:val="0"/>
                    <w:spacing w:line="240" w:lineRule="auto"/>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气</w:t>
                  </w:r>
                </w:p>
                <w:p w14:paraId="5F13DA39">
                  <w:pPr>
                    <w:pStyle w:val="119"/>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w:t>
                  </w:r>
                </w:p>
                <w:p w14:paraId="4105CE10">
                  <w:pPr>
                    <w:pStyle w:val="119"/>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气</w:t>
                  </w:r>
                </w:p>
                <w:p w14:paraId="2AC6E597">
                  <w:pPr>
                    <w:pStyle w:val="119"/>
                    <w:bidi w:val="0"/>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筒</w:t>
                  </w:r>
                </w:p>
              </w:tc>
              <w:tc>
                <w:tcPr>
                  <w:tcW w:w="833" w:type="dxa"/>
                  <w:vMerge w:val="restart"/>
                  <w:tcBorders>
                    <w:tl2br w:val="nil"/>
                    <w:tr2bl w:val="nil"/>
                  </w:tcBorders>
                  <w:noWrap w:val="0"/>
                  <w:vAlign w:val="center"/>
                </w:tcPr>
                <w:p w14:paraId="01AC6EA9">
                  <w:pPr>
                    <w:pStyle w:val="119"/>
                    <w:bidi w:val="0"/>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2022</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11</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17</w:t>
                  </w:r>
                </w:p>
              </w:tc>
              <w:tc>
                <w:tcPr>
                  <w:tcW w:w="1314" w:type="pct"/>
                  <w:tcBorders>
                    <w:tl2br w:val="nil"/>
                    <w:tr2bl w:val="nil"/>
                  </w:tcBorders>
                  <w:noWrap w:val="0"/>
                  <w:vAlign w:val="center"/>
                </w:tcPr>
                <w:p w14:paraId="08FE6B4A">
                  <w:pPr>
                    <w:pStyle w:val="119"/>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标干废气流量（m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w:t>
                  </w:r>
                </w:p>
              </w:tc>
              <w:tc>
                <w:tcPr>
                  <w:tcW w:w="409" w:type="pct"/>
                  <w:tcBorders>
                    <w:tl2br w:val="nil"/>
                    <w:tr2bl w:val="nil"/>
                  </w:tcBorders>
                  <w:noWrap w:val="0"/>
                  <w:vAlign w:val="center"/>
                </w:tcPr>
                <w:p w14:paraId="12B9671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kern w:val="0"/>
                      <w:sz w:val="21"/>
                      <w:szCs w:val="21"/>
                      <w:lang w:val="en-US" w:eastAsia="zh-CN" w:bidi="ar-SA"/>
                    </w:rPr>
                    <w:t>17636</w:t>
                  </w:r>
                </w:p>
              </w:tc>
              <w:tc>
                <w:tcPr>
                  <w:tcW w:w="534" w:type="pct"/>
                  <w:tcBorders>
                    <w:tl2br w:val="nil"/>
                    <w:tr2bl w:val="nil"/>
                  </w:tcBorders>
                  <w:noWrap w:val="0"/>
                  <w:vAlign w:val="center"/>
                </w:tcPr>
                <w:p w14:paraId="74C973C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kern w:val="0"/>
                      <w:sz w:val="21"/>
                      <w:szCs w:val="21"/>
                      <w:lang w:val="en-US" w:eastAsia="zh-CN" w:bidi="ar-SA"/>
                    </w:rPr>
                    <w:t>17738</w:t>
                  </w:r>
                </w:p>
              </w:tc>
              <w:tc>
                <w:tcPr>
                  <w:tcW w:w="544" w:type="pct"/>
                  <w:tcBorders>
                    <w:tl2br w:val="nil"/>
                    <w:tr2bl w:val="nil"/>
                  </w:tcBorders>
                  <w:noWrap w:val="0"/>
                  <w:vAlign w:val="center"/>
                </w:tcPr>
                <w:p w14:paraId="2FF1367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kern w:val="0"/>
                      <w:sz w:val="21"/>
                      <w:szCs w:val="21"/>
                      <w:lang w:val="en-US" w:eastAsia="zh-CN" w:bidi="ar-SA"/>
                    </w:rPr>
                    <w:t>17754</w:t>
                  </w:r>
                </w:p>
              </w:tc>
              <w:tc>
                <w:tcPr>
                  <w:tcW w:w="667" w:type="pct"/>
                  <w:tcBorders>
                    <w:tl2br w:val="nil"/>
                    <w:tr2bl w:val="nil"/>
                  </w:tcBorders>
                  <w:noWrap w:val="0"/>
                  <w:vAlign w:val="center"/>
                </w:tcPr>
                <w:p w14:paraId="08F3941E">
                  <w:pPr>
                    <w:pStyle w:val="119"/>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69" w:type="pct"/>
                  <w:tcBorders>
                    <w:tl2br w:val="nil"/>
                    <w:tr2bl w:val="nil"/>
                  </w:tcBorders>
                  <w:noWrap w:val="0"/>
                  <w:vAlign w:val="center"/>
                </w:tcPr>
                <w:p w14:paraId="52CD0AB6">
                  <w:pPr>
                    <w:pStyle w:val="119"/>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6E6F50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17" w:type="pct"/>
                  <w:vMerge w:val="continue"/>
                  <w:tcBorders>
                    <w:tl2br w:val="nil"/>
                    <w:tr2bl w:val="nil"/>
                  </w:tcBorders>
                  <w:noWrap w:val="0"/>
                  <w:vAlign w:val="center"/>
                </w:tcPr>
                <w:p w14:paraId="578AADBD">
                  <w:pPr>
                    <w:pStyle w:val="119"/>
                    <w:bidi w:val="0"/>
                    <w:spacing w:line="240" w:lineRule="auto"/>
                    <w:rPr>
                      <w:rFonts w:hint="default" w:ascii="Times New Roman" w:hAnsi="Times New Roman" w:cs="Times New Roman"/>
                      <w:color w:val="auto"/>
                      <w:sz w:val="21"/>
                      <w:szCs w:val="21"/>
                    </w:rPr>
                  </w:pPr>
                </w:p>
              </w:tc>
              <w:tc>
                <w:tcPr>
                  <w:tcW w:w="542" w:type="pct"/>
                  <w:vMerge w:val="continue"/>
                  <w:tcBorders>
                    <w:tl2br w:val="nil"/>
                    <w:tr2bl w:val="nil"/>
                  </w:tcBorders>
                  <w:noWrap w:val="0"/>
                  <w:vAlign w:val="center"/>
                </w:tcPr>
                <w:p w14:paraId="346341E2">
                  <w:pPr>
                    <w:pStyle w:val="119"/>
                    <w:bidi w:val="0"/>
                    <w:spacing w:line="240" w:lineRule="auto"/>
                    <w:rPr>
                      <w:rFonts w:hint="default" w:ascii="Times New Roman" w:hAnsi="Times New Roman" w:cs="Times New Roman"/>
                      <w:color w:val="auto"/>
                      <w:sz w:val="21"/>
                      <w:szCs w:val="21"/>
                    </w:rPr>
                  </w:pPr>
                </w:p>
              </w:tc>
              <w:tc>
                <w:tcPr>
                  <w:tcW w:w="1314" w:type="pct"/>
                  <w:tcBorders>
                    <w:tl2br w:val="nil"/>
                    <w:tr2bl w:val="nil"/>
                  </w:tcBorders>
                  <w:noWrap w:val="0"/>
                  <w:vAlign w:val="center"/>
                </w:tcPr>
                <w:p w14:paraId="71237688">
                  <w:pPr>
                    <w:pStyle w:val="119"/>
                    <w:bidi w:val="0"/>
                    <w:spacing w:line="240" w:lineRule="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非甲烷总烃</w:t>
                  </w:r>
                  <w:r>
                    <w:rPr>
                      <w:rFonts w:hint="default" w:ascii="Times New Roman" w:hAnsi="Times New Roman" w:cs="Times New Roman"/>
                      <w:color w:val="auto"/>
                      <w:sz w:val="21"/>
                      <w:szCs w:val="21"/>
                      <w:lang w:eastAsia="zh-CN"/>
                    </w:rPr>
                    <w:t>排放</w:t>
                  </w:r>
                  <w:r>
                    <w:rPr>
                      <w:rFonts w:hint="default" w:ascii="Times New Roman" w:hAnsi="Times New Roman" w:cs="Times New Roman"/>
                      <w:color w:val="auto"/>
                      <w:sz w:val="21"/>
                      <w:szCs w:val="21"/>
                    </w:rPr>
                    <w:t>浓度（mg/m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409" w:type="pct"/>
                  <w:tcBorders>
                    <w:tl2br w:val="nil"/>
                    <w:tr2bl w:val="nil"/>
                  </w:tcBorders>
                  <w:noWrap w:val="0"/>
                  <w:vAlign w:val="center"/>
                </w:tcPr>
                <w:p w14:paraId="4E0A709F">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1.52</w:t>
                  </w:r>
                </w:p>
              </w:tc>
              <w:tc>
                <w:tcPr>
                  <w:tcW w:w="534" w:type="pct"/>
                  <w:tcBorders>
                    <w:tl2br w:val="nil"/>
                    <w:tr2bl w:val="nil"/>
                  </w:tcBorders>
                  <w:noWrap w:val="0"/>
                  <w:vAlign w:val="center"/>
                </w:tcPr>
                <w:p w14:paraId="05C04FE4">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1.34</w:t>
                  </w:r>
                </w:p>
              </w:tc>
              <w:tc>
                <w:tcPr>
                  <w:tcW w:w="544" w:type="pct"/>
                  <w:tcBorders>
                    <w:tl2br w:val="nil"/>
                    <w:tr2bl w:val="nil"/>
                  </w:tcBorders>
                  <w:noWrap w:val="0"/>
                  <w:vAlign w:val="center"/>
                </w:tcPr>
                <w:p w14:paraId="470EB8CC">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1.32</w:t>
                  </w:r>
                </w:p>
              </w:tc>
              <w:tc>
                <w:tcPr>
                  <w:tcW w:w="667" w:type="pct"/>
                  <w:tcBorders>
                    <w:tl2br w:val="nil"/>
                    <w:tr2bl w:val="nil"/>
                  </w:tcBorders>
                  <w:noWrap w:val="0"/>
                  <w:vAlign w:val="center"/>
                </w:tcPr>
                <w:p w14:paraId="7BEA4103">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669" w:type="pct"/>
                  <w:tcBorders>
                    <w:tl2br w:val="nil"/>
                    <w:tr2bl w:val="nil"/>
                  </w:tcBorders>
                  <w:noWrap w:val="0"/>
                  <w:vAlign w:val="center"/>
                </w:tcPr>
                <w:p w14:paraId="292FDBEC">
                  <w:pPr>
                    <w:pStyle w:val="119"/>
                    <w:bidi w:val="0"/>
                    <w:spacing w:line="240" w:lineRule="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达标</w:t>
                  </w:r>
                </w:p>
              </w:tc>
            </w:tr>
            <w:tr w14:paraId="30FE75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17" w:type="pct"/>
                  <w:vMerge w:val="continue"/>
                  <w:tcBorders>
                    <w:tl2br w:val="nil"/>
                    <w:tr2bl w:val="nil"/>
                  </w:tcBorders>
                  <w:noWrap w:val="0"/>
                  <w:vAlign w:val="center"/>
                </w:tcPr>
                <w:p w14:paraId="53EA589F">
                  <w:pPr>
                    <w:pStyle w:val="119"/>
                    <w:bidi w:val="0"/>
                    <w:spacing w:line="240" w:lineRule="auto"/>
                    <w:rPr>
                      <w:rFonts w:hint="default" w:ascii="Times New Roman" w:hAnsi="Times New Roman" w:cs="Times New Roman"/>
                      <w:color w:val="auto"/>
                      <w:sz w:val="21"/>
                      <w:szCs w:val="21"/>
                    </w:rPr>
                  </w:pPr>
                </w:p>
              </w:tc>
              <w:tc>
                <w:tcPr>
                  <w:tcW w:w="542" w:type="pct"/>
                  <w:vMerge w:val="continue"/>
                  <w:tcBorders>
                    <w:tl2br w:val="nil"/>
                    <w:tr2bl w:val="nil"/>
                  </w:tcBorders>
                  <w:noWrap w:val="0"/>
                  <w:vAlign w:val="center"/>
                </w:tcPr>
                <w:p w14:paraId="7A365C66">
                  <w:pPr>
                    <w:pStyle w:val="119"/>
                    <w:bidi w:val="0"/>
                    <w:spacing w:line="240" w:lineRule="auto"/>
                    <w:rPr>
                      <w:rFonts w:hint="default" w:ascii="Times New Roman" w:hAnsi="Times New Roman" w:cs="Times New Roman"/>
                      <w:color w:val="auto"/>
                      <w:sz w:val="21"/>
                      <w:szCs w:val="21"/>
                    </w:rPr>
                  </w:pPr>
                </w:p>
              </w:tc>
              <w:tc>
                <w:tcPr>
                  <w:tcW w:w="1314" w:type="pct"/>
                  <w:tcBorders>
                    <w:tl2br w:val="nil"/>
                    <w:tr2bl w:val="nil"/>
                  </w:tcBorders>
                  <w:noWrap w:val="0"/>
                  <w:vAlign w:val="center"/>
                </w:tcPr>
                <w:p w14:paraId="4E78BF61">
                  <w:pPr>
                    <w:pStyle w:val="119"/>
                    <w:bidi w:val="0"/>
                    <w:spacing w:line="240" w:lineRule="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非甲烷总烃</w:t>
                  </w:r>
                  <w:r>
                    <w:rPr>
                      <w:rFonts w:hint="default" w:ascii="Times New Roman" w:hAnsi="Times New Roman" w:cs="Times New Roman"/>
                      <w:color w:val="auto"/>
                      <w:sz w:val="21"/>
                      <w:szCs w:val="21"/>
                    </w:rPr>
                    <w:t>排放速率（kg/h）</w:t>
                  </w:r>
                </w:p>
              </w:tc>
              <w:tc>
                <w:tcPr>
                  <w:tcW w:w="409" w:type="pct"/>
                  <w:tcBorders>
                    <w:tl2br w:val="nil"/>
                    <w:tr2bl w:val="nil"/>
                  </w:tcBorders>
                  <w:noWrap w:val="0"/>
                  <w:vAlign w:val="center"/>
                </w:tcPr>
                <w:p w14:paraId="2A870DA6">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2.68×10</w:t>
                  </w:r>
                  <w:r>
                    <w:rPr>
                      <w:rFonts w:hint="default" w:ascii="Times New Roman" w:hAnsi="Times New Roman" w:cs="Times New Roman"/>
                      <w:color w:val="auto"/>
                      <w:sz w:val="21"/>
                      <w:szCs w:val="21"/>
                      <w:vertAlign w:val="superscript"/>
                      <w:lang w:val="en-US" w:eastAsia="zh-CN"/>
                    </w:rPr>
                    <w:t>-2</w:t>
                  </w:r>
                </w:p>
              </w:tc>
              <w:tc>
                <w:tcPr>
                  <w:tcW w:w="534" w:type="pct"/>
                  <w:tcBorders>
                    <w:tl2br w:val="nil"/>
                    <w:tr2bl w:val="nil"/>
                  </w:tcBorders>
                  <w:noWrap w:val="0"/>
                  <w:vAlign w:val="center"/>
                </w:tcPr>
                <w:p w14:paraId="14101B72">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2.38×10</w:t>
                  </w:r>
                  <w:r>
                    <w:rPr>
                      <w:rFonts w:hint="default" w:ascii="Times New Roman" w:hAnsi="Times New Roman" w:cs="Times New Roman"/>
                      <w:color w:val="auto"/>
                      <w:sz w:val="21"/>
                      <w:szCs w:val="21"/>
                      <w:vertAlign w:val="superscript"/>
                      <w:lang w:val="en-US" w:eastAsia="zh-CN"/>
                    </w:rPr>
                    <w:t>-</w:t>
                  </w:r>
                  <w:r>
                    <w:rPr>
                      <w:rFonts w:hint="default" w:ascii="Times New Roman" w:hAnsi="Times New Roman" w:eastAsia="宋体" w:cs="Times New Roman"/>
                      <w:color w:val="auto"/>
                      <w:sz w:val="21"/>
                      <w:szCs w:val="21"/>
                      <w:vertAlign w:val="superscript"/>
                      <w:lang w:val="en-US" w:eastAsia="zh-CN"/>
                    </w:rPr>
                    <w:t>2</w:t>
                  </w:r>
                </w:p>
              </w:tc>
              <w:tc>
                <w:tcPr>
                  <w:tcW w:w="544" w:type="pct"/>
                  <w:tcBorders>
                    <w:tl2br w:val="nil"/>
                    <w:tr2bl w:val="nil"/>
                  </w:tcBorders>
                  <w:noWrap w:val="0"/>
                  <w:vAlign w:val="center"/>
                </w:tcPr>
                <w:p w14:paraId="7350F6F1">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2.34×10</w:t>
                  </w:r>
                  <w:r>
                    <w:rPr>
                      <w:rFonts w:hint="default" w:ascii="Times New Roman" w:hAnsi="Times New Roman" w:cs="Times New Roman"/>
                      <w:color w:val="auto"/>
                      <w:sz w:val="21"/>
                      <w:szCs w:val="21"/>
                      <w:vertAlign w:val="superscript"/>
                      <w:lang w:val="en-US" w:eastAsia="zh-CN"/>
                    </w:rPr>
                    <w:t>-</w:t>
                  </w:r>
                  <w:r>
                    <w:rPr>
                      <w:rFonts w:hint="default" w:ascii="Times New Roman" w:hAnsi="Times New Roman" w:eastAsia="宋体" w:cs="Times New Roman"/>
                      <w:color w:val="auto"/>
                      <w:sz w:val="21"/>
                      <w:szCs w:val="21"/>
                      <w:vertAlign w:val="superscript"/>
                      <w:lang w:val="en-US" w:eastAsia="zh-CN"/>
                    </w:rPr>
                    <w:t>2</w:t>
                  </w:r>
                </w:p>
              </w:tc>
              <w:tc>
                <w:tcPr>
                  <w:tcW w:w="667" w:type="pct"/>
                  <w:tcBorders>
                    <w:tl2br w:val="nil"/>
                    <w:tr2bl w:val="nil"/>
                  </w:tcBorders>
                  <w:noWrap w:val="0"/>
                  <w:vAlign w:val="center"/>
                </w:tcPr>
                <w:p w14:paraId="24CCF7E3">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669" w:type="pct"/>
                  <w:tcBorders>
                    <w:tl2br w:val="nil"/>
                    <w:tr2bl w:val="nil"/>
                  </w:tcBorders>
                  <w:noWrap w:val="0"/>
                  <w:vAlign w:val="center"/>
                </w:tcPr>
                <w:p w14:paraId="2BE1603C">
                  <w:pPr>
                    <w:pStyle w:val="119"/>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达标</w:t>
                  </w:r>
                </w:p>
              </w:tc>
            </w:tr>
            <w:tr w14:paraId="2D1404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7" w:type="pct"/>
                  <w:vMerge w:val="continue"/>
                  <w:tcBorders>
                    <w:tl2br w:val="nil"/>
                    <w:tr2bl w:val="nil"/>
                  </w:tcBorders>
                  <w:noWrap w:val="0"/>
                  <w:vAlign w:val="center"/>
                </w:tcPr>
                <w:p w14:paraId="7A93BED7">
                  <w:pPr>
                    <w:pStyle w:val="119"/>
                    <w:bidi w:val="0"/>
                    <w:spacing w:line="240" w:lineRule="auto"/>
                    <w:rPr>
                      <w:rFonts w:hint="default" w:ascii="Times New Roman" w:hAnsi="Times New Roman" w:cs="Times New Roman"/>
                      <w:color w:val="auto"/>
                      <w:sz w:val="21"/>
                      <w:szCs w:val="21"/>
                    </w:rPr>
                  </w:pPr>
                </w:p>
              </w:tc>
              <w:tc>
                <w:tcPr>
                  <w:tcW w:w="833" w:type="dxa"/>
                  <w:vMerge w:val="restart"/>
                  <w:tcBorders>
                    <w:tl2br w:val="nil"/>
                    <w:tr2bl w:val="nil"/>
                  </w:tcBorders>
                  <w:noWrap w:val="0"/>
                  <w:vAlign w:val="center"/>
                </w:tcPr>
                <w:p w14:paraId="43D287E8">
                  <w:pPr>
                    <w:pStyle w:val="119"/>
                    <w:bidi w:val="0"/>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2022</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11</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18</w:t>
                  </w:r>
                </w:p>
              </w:tc>
              <w:tc>
                <w:tcPr>
                  <w:tcW w:w="1314" w:type="pct"/>
                  <w:tcBorders>
                    <w:tl2br w:val="nil"/>
                    <w:tr2bl w:val="nil"/>
                  </w:tcBorders>
                  <w:noWrap w:val="0"/>
                  <w:vAlign w:val="center"/>
                </w:tcPr>
                <w:p w14:paraId="30501AC0">
                  <w:pPr>
                    <w:pStyle w:val="119"/>
                    <w:bidi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标干废气流量（m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w:t>
                  </w:r>
                </w:p>
              </w:tc>
              <w:tc>
                <w:tcPr>
                  <w:tcW w:w="409" w:type="pct"/>
                  <w:tcBorders>
                    <w:tl2br w:val="nil"/>
                    <w:tr2bl w:val="nil"/>
                  </w:tcBorders>
                  <w:noWrap w:val="0"/>
                  <w:vAlign w:val="center"/>
                </w:tcPr>
                <w:p w14:paraId="65D131B7">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17728</w:t>
                  </w:r>
                </w:p>
              </w:tc>
              <w:tc>
                <w:tcPr>
                  <w:tcW w:w="534" w:type="pct"/>
                  <w:tcBorders>
                    <w:tl2br w:val="nil"/>
                    <w:tr2bl w:val="nil"/>
                  </w:tcBorders>
                  <w:noWrap w:val="0"/>
                  <w:vAlign w:val="center"/>
                </w:tcPr>
                <w:p w14:paraId="2BB81A94">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17748</w:t>
                  </w:r>
                </w:p>
              </w:tc>
              <w:tc>
                <w:tcPr>
                  <w:tcW w:w="544" w:type="pct"/>
                  <w:tcBorders>
                    <w:tl2br w:val="nil"/>
                    <w:tr2bl w:val="nil"/>
                  </w:tcBorders>
                  <w:noWrap w:val="0"/>
                  <w:vAlign w:val="center"/>
                </w:tcPr>
                <w:p w14:paraId="17B49A37">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17928</w:t>
                  </w:r>
                </w:p>
              </w:tc>
              <w:tc>
                <w:tcPr>
                  <w:tcW w:w="667" w:type="pct"/>
                  <w:tcBorders>
                    <w:tl2br w:val="nil"/>
                    <w:tr2bl w:val="nil"/>
                  </w:tcBorders>
                  <w:noWrap w:val="0"/>
                  <w:vAlign w:val="center"/>
                </w:tcPr>
                <w:p w14:paraId="7591E037">
                  <w:pPr>
                    <w:pStyle w:val="119"/>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69" w:type="pct"/>
                  <w:tcBorders>
                    <w:tl2br w:val="nil"/>
                    <w:tr2bl w:val="nil"/>
                  </w:tcBorders>
                  <w:noWrap w:val="0"/>
                  <w:vAlign w:val="center"/>
                </w:tcPr>
                <w:p w14:paraId="4A0F184C">
                  <w:pPr>
                    <w:pStyle w:val="119"/>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5CF89C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17" w:type="pct"/>
                  <w:vMerge w:val="continue"/>
                  <w:tcBorders>
                    <w:tl2br w:val="nil"/>
                    <w:tr2bl w:val="nil"/>
                  </w:tcBorders>
                  <w:noWrap w:val="0"/>
                  <w:vAlign w:val="center"/>
                </w:tcPr>
                <w:p w14:paraId="1011468A">
                  <w:pPr>
                    <w:pStyle w:val="119"/>
                    <w:bidi w:val="0"/>
                    <w:spacing w:line="240" w:lineRule="auto"/>
                    <w:rPr>
                      <w:rFonts w:hint="default" w:ascii="Times New Roman" w:hAnsi="Times New Roman" w:cs="Times New Roman"/>
                      <w:color w:val="auto"/>
                      <w:sz w:val="21"/>
                      <w:szCs w:val="21"/>
                    </w:rPr>
                  </w:pPr>
                </w:p>
              </w:tc>
              <w:tc>
                <w:tcPr>
                  <w:tcW w:w="542" w:type="pct"/>
                  <w:vMerge w:val="continue"/>
                  <w:tcBorders>
                    <w:tl2br w:val="nil"/>
                    <w:tr2bl w:val="nil"/>
                  </w:tcBorders>
                  <w:noWrap w:val="0"/>
                  <w:vAlign w:val="center"/>
                </w:tcPr>
                <w:p w14:paraId="63548CC1">
                  <w:pPr>
                    <w:pStyle w:val="119"/>
                    <w:bidi w:val="0"/>
                    <w:spacing w:line="240" w:lineRule="auto"/>
                    <w:rPr>
                      <w:rFonts w:hint="default" w:ascii="Times New Roman" w:hAnsi="Times New Roman" w:cs="Times New Roman"/>
                      <w:color w:val="auto"/>
                      <w:sz w:val="21"/>
                      <w:szCs w:val="21"/>
                    </w:rPr>
                  </w:pPr>
                </w:p>
              </w:tc>
              <w:tc>
                <w:tcPr>
                  <w:tcW w:w="1314" w:type="pct"/>
                  <w:tcBorders>
                    <w:tl2br w:val="nil"/>
                    <w:tr2bl w:val="nil"/>
                  </w:tcBorders>
                  <w:noWrap w:val="0"/>
                  <w:vAlign w:val="center"/>
                </w:tcPr>
                <w:p w14:paraId="7AE767FC">
                  <w:pPr>
                    <w:pStyle w:val="119"/>
                    <w:bidi w:val="0"/>
                    <w:spacing w:line="240" w:lineRule="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非甲烷总烃</w:t>
                  </w:r>
                  <w:r>
                    <w:rPr>
                      <w:rFonts w:hint="default" w:ascii="Times New Roman" w:hAnsi="Times New Roman" w:cs="Times New Roman"/>
                      <w:color w:val="auto"/>
                      <w:sz w:val="21"/>
                      <w:szCs w:val="21"/>
                      <w:lang w:eastAsia="zh-CN"/>
                    </w:rPr>
                    <w:t>排放</w:t>
                  </w:r>
                  <w:r>
                    <w:rPr>
                      <w:rFonts w:hint="default" w:ascii="Times New Roman" w:hAnsi="Times New Roman" w:cs="Times New Roman"/>
                      <w:color w:val="auto"/>
                      <w:sz w:val="21"/>
                      <w:szCs w:val="21"/>
                    </w:rPr>
                    <w:t>浓度（mg/m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409" w:type="pct"/>
                  <w:tcBorders>
                    <w:tl2br w:val="nil"/>
                    <w:tr2bl w:val="nil"/>
                  </w:tcBorders>
                  <w:noWrap w:val="0"/>
                  <w:vAlign w:val="center"/>
                </w:tcPr>
                <w:p w14:paraId="0D650CFC">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1.38</w:t>
                  </w:r>
                </w:p>
              </w:tc>
              <w:tc>
                <w:tcPr>
                  <w:tcW w:w="534" w:type="pct"/>
                  <w:tcBorders>
                    <w:tl2br w:val="nil"/>
                    <w:tr2bl w:val="nil"/>
                  </w:tcBorders>
                  <w:noWrap w:val="0"/>
                  <w:vAlign w:val="center"/>
                </w:tcPr>
                <w:p w14:paraId="27EC9DBF">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1.36</w:t>
                  </w:r>
                </w:p>
              </w:tc>
              <w:tc>
                <w:tcPr>
                  <w:tcW w:w="544" w:type="pct"/>
                  <w:tcBorders>
                    <w:tl2br w:val="nil"/>
                    <w:tr2bl w:val="nil"/>
                  </w:tcBorders>
                  <w:noWrap w:val="0"/>
                  <w:vAlign w:val="center"/>
                </w:tcPr>
                <w:p w14:paraId="03F2F2BA">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1.37</w:t>
                  </w:r>
                </w:p>
              </w:tc>
              <w:tc>
                <w:tcPr>
                  <w:tcW w:w="667" w:type="pct"/>
                  <w:tcBorders>
                    <w:tl2br w:val="nil"/>
                    <w:tr2bl w:val="nil"/>
                  </w:tcBorders>
                  <w:noWrap w:val="0"/>
                  <w:vAlign w:val="center"/>
                </w:tcPr>
                <w:p w14:paraId="09126CC3">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669" w:type="pct"/>
                  <w:tcBorders>
                    <w:tl2br w:val="nil"/>
                    <w:tr2bl w:val="nil"/>
                  </w:tcBorders>
                  <w:noWrap w:val="0"/>
                  <w:vAlign w:val="center"/>
                </w:tcPr>
                <w:p w14:paraId="25C73C35">
                  <w:pPr>
                    <w:pStyle w:val="119"/>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达标</w:t>
                  </w:r>
                </w:p>
              </w:tc>
            </w:tr>
            <w:tr w14:paraId="11B47F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17" w:type="pct"/>
                  <w:vMerge w:val="continue"/>
                  <w:tcBorders>
                    <w:tl2br w:val="nil"/>
                    <w:tr2bl w:val="nil"/>
                  </w:tcBorders>
                  <w:noWrap w:val="0"/>
                  <w:vAlign w:val="center"/>
                </w:tcPr>
                <w:p w14:paraId="2CA03259">
                  <w:pPr>
                    <w:pStyle w:val="119"/>
                    <w:bidi w:val="0"/>
                    <w:spacing w:line="240" w:lineRule="auto"/>
                    <w:rPr>
                      <w:rFonts w:hint="default" w:ascii="Times New Roman" w:hAnsi="Times New Roman" w:cs="Times New Roman"/>
                      <w:color w:val="auto"/>
                      <w:sz w:val="21"/>
                      <w:szCs w:val="21"/>
                    </w:rPr>
                  </w:pPr>
                </w:p>
              </w:tc>
              <w:tc>
                <w:tcPr>
                  <w:tcW w:w="542" w:type="pct"/>
                  <w:vMerge w:val="continue"/>
                  <w:tcBorders>
                    <w:tl2br w:val="nil"/>
                    <w:tr2bl w:val="nil"/>
                  </w:tcBorders>
                  <w:noWrap w:val="0"/>
                  <w:vAlign w:val="center"/>
                </w:tcPr>
                <w:p w14:paraId="6B64BB8F">
                  <w:pPr>
                    <w:pStyle w:val="119"/>
                    <w:bidi w:val="0"/>
                    <w:spacing w:line="240" w:lineRule="auto"/>
                    <w:rPr>
                      <w:rFonts w:hint="default" w:ascii="Times New Roman" w:hAnsi="Times New Roman" w:cs="Times New Roman"/>
                      <w:color w:val="auto"/>
                      <w:sz w:val="21"/>
                      <w:szCs w:val="21"/>
                    </w:rPr>
                  </w:pPr>
                </w:p>
              </w:tc>
              <w:tc>
                <w:tcPr>
                  <w:tcW w:w="1314" w:type="pct"/>
                  <w:tcBorders>
                    <w:tl2br w:val="nil"/>
                    <w:tr2bl w:val="nil"/>
                  </w:tcBorders>
                  <w:noWrap w:val="0"/>
                  <w:vAlign w:val="center"/>
                </w:tcPr>
                <w:p w14:paraId="5572DC77">
                  <w:pPr>
                    <w:pStyle w:val="119"/>
                    <w:bidi w:val="0"/>
                    <w:spacing w:line="240" w:lineRule="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非甲烷总烃</w:t>
                  </w:r>
                  <w:r>
                    <w:rPr>
                      <w:rFonts w:hint="default" w:ascii="Times New Roman" w:hAnsi="Times New Roman" w:cs="Times New Roman"/>
                      <w:color w:val="auto"/>
                      <w:sz w:val="21"/>
                      <w:szCs w:val="21"/>
                    </w:rPr>
                    <w:t>排放速率（kg/h）</w:t>
                  </w:r>
                </w:p>
              </w:tc>
              <w:tc>
                <w:tcPr>
                  <w:tcW w:w="409" w:type="pct"/>
                  <w:tcBorders>
                    <w:tl2br w:val="nil"/>
                    <w:tr2bl w:val="nil"/>
                  </w:tcBorders>
                  <w:noWrap w:val="0"/>
                  <w:vAlign w:val="center"/>
                </w:tcPr>
                <w:p w14:paraId="1ABBB4C1">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2.45×10</w:t>
                  </w:r>
                  <w:r>
                    <w:rPr>
                      <w:rFonts w:hint="default" w:ascii="Times New Roman" w:hAnsi="Times New Roman" w:cs="Times New Roman"/>
                      <w:color w:val="auto"/>
                      <w:sz w:val="21"/>
                      <w:szCs w:val="21"/>
                      <w:vertAlign w:val="superscript"/>
                      <w:lang w:val="en-US" w:eastAsia="zh-CN"/>
                    </w:rPr>
                    <w:t>-2</w:t>
                  </w:r>
                </w:p>
              </w:tc>
              <w:tc>
                <w:tcPr>
                  <w:tcW w:w="534" w:type="pct"/>
                  <w:tcBorders>
                    <w:tl2br w:val="nil"/>
                    <w:tr2bl w:val="nil"/>
                  </w:tcBorders>
                  <w:noWrap w:val="0"/>
                  <w:vAlign w:val="center"/>
                </w:tcPr>
                <w:p w14:paraId="2FEC4CF0">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2.41×10</w:t>
                  </w:r>
                  <w:r>
                    <w:rPr>
                      <w:rFonts w:hint="default" w:ascii="Times New Roman" w:hAnsi="Times New Roman" w:cs="Times New Roman"/>
                      <w:color w:val="auto"/>
                      <w:sz w:val="21"/>
                      <w:szCs w:val="21"/>
                      <w:vertAlign w:val="superscript"/>
                      <w:lang w:val="en-US" w:eastAsia="zh-CN"/>
                    </w:rPr>
                    <w:t>-2</w:t>
                  </w:r>
                </w:p>
              </w:tc>
              <w:tc>
                <w:tcPr>
                  <w:tcW w:w="544" w:type="pct"/>
                  <w:tcBorders>
                    <w:tl2br w:val="nil"/>
                    <w:tr2bl w:val="nil"/>
                  </w:tcBorders>
                  <w:noWrap w:val="0"/>
                  <w:vAlign w:val="center"/>
                </w:tcPr>
                <w:p w14:paraId="71EE34AE">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2.46×10</w:t>
                  </w:r>
                  <w:r>
                    <w:rPr>
                      <w:rFonts w:hint="default" w:ascii="Times New Roman" w:hAnsi="Times New Roman" w:cs="Times New Roman"/>
                      <w:color w:val="auto"/>
                      <w:sz w:val="21"/>
                      <w:szCs w:val="21"/>
                      <w:vertAlign w:val="superscript"/>
                      <w:lang w:val="en-US" w:eastAsia="zh-CN"/>
                    </w:rPr>
                    <w:t>-2</w:t>
                  </w:r>
                </w:p>
              </w:tc>
              <w:tc>
                <w:tcPr>
                  <w:tcW w:w="667" w:type="pct"/>
                  <w:tcBorders>
                    <w:tl2br w:val="nil"/>
                    <w:tr2bl w:val="nil"/>
                  </w:tcBorders>
                  <w:noWrap w:val="0"/>
                  <w:vAlign w:val="center"/>
                </w:tcPr>
                <w:p w14:paraId="0B7CE3A3">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669" w:type="pct"/>
                  <w:tcBorders>
                    <w:tl2br w:val="nil"/>
                    <w:tr2bl w:val="nil"/>
                  </w:tcBorders>
                  <w:noWrap w:val="0"/>
                  <w:vAlign w:val="center"/>
                </w:tcPr>
                <w:p w14:paraId="2613DD93">
                  <w:pPr>
                    <w:pStyle w:val="119"/>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达标</w:t>
                  </w:r>
                </w:p>
              </w:tc>
            </w:tr>
          </w:tbl>
          <w:p w14:paraId="470E35AE">
            <w:pPr>
              <w:pStyle w:val="2"/>
              <w:keepNext w:val="0"/>
              <w:keepLines w:val="0"/>
              <w:pageBreakBefore w:val="0"/>
              <w:widowControl/>
              <w:kinsoku/>
              <w:wordWrap/>
              <w:overflowPunct/>
              <w:topLinePunct w:val="0"/>
              <w:autoSpaceDE/>
              <w:autoSpaceDN/>
              <w:bidi w:val="0"/>
              <w:adjustRightInd w:val="0"/>
              <w:snapToGrid w:val="0"/>
              <w:spacing w:before="0" w:after="0" w:line="500" w:lineRule="exact"/>
              <w:ind w:right="0"/>
              <w:jc w:val="center"/>
              <w:textAlignment w:val="auto"/>
              <w:rPr>
                <w:rFonts w:ascii="Times New Roman" w:hAnsi="Times New Roman" w:eastAsia="宋体"/>
                <w:b/>
                <w:color w:val="auto"/>
                <w:sz w:val="21"/>
                <w:szCs w:val="21"/>
                <w:highlight w:val="none"/>
              </w:rPr>
            </w:pPr>
            <w:r>
              <w:rPr>
                <w:rFonts w:hint="eastAsia" w:ascii="Times New Roman" w:hAnsi="Times New Roman" w:eastAsia="宋体"/>
                <w:b/>
                <w:bCs/>
                <w:color w:val="auto"/>
                <w:sz w:val="21"/>
                <w:szCs w:val="21"/>
                <w:highlight w:val="none"/>
              </w:rPr>
              <w:t>表2-1</w:t>
            </w:r>
            <w:r>
              <w:rPr>
                <w:rFonts w:hint="eastAsia"/>
                <w:b/>
                <w:bCs/>
                <w:color w:val="auto"/>
                <w:sz w:val="21"/>
                <w:szCs w:val="21"/>
                <w:highlight w:val="none"/>
                <w:lang w:val="en-US" w:eastAsia="zh-CN"/>
              </w:rPr>
              <w:t>1</w:t>
            </w:r>
            <w:r>
              <w:rPr>
                <w:rFonts w:hint="eastAsia" w:ascii="Times New Roman" w:hAnsi="Times New Roman" w:eastAsia="宋体"/>
                <w:b/>
                <w:bCs/>
                <w:color w:val="auto"/>
                <w:sz w:val="21"/>
                <w:szCs w:val="21"/>
                <w:highlight w:val="none"/>
              </w:rPr>
              <w:t xml:space="preserve"> </w:t>
            </w:r>
            <w:r>
              <w:rPr>
                <w:rFonts w:hint="eastAsia" w:ascii="Times New Roman" w:hAnsi="Times New Roman" w:eastAsia="宋体"/>
                <w:b/>
                <w:bCs/>
                <w:color w:val="auto"/>
                <w:sz w:val="21"/>
                <w:szCs w:val="21"/>
                <w:highlight w:val="none"/>
                <w:lang w:val="en-US" w:eastAsia="zh-CN"/>
              </w:rPr>
              <w:t>厂界</w:t>
            </w:r>
            <w:r>
              <w:rPr>
                <w:rFonts w:hint="eastAsia" w:ascii="Times New Roman" w:hAnsi="Times New Roman" w:eastAsia="宋体"/>
                <w:b/>
                <w:color w:val="auto"/>
                <w:sz w:val="21"/>
                <w:szCs w:val="21"/>
                <w:highlight w:val="none"/>
              </w:rPr>
              <w:t>无</w:t>
            </w:r>
            <w:r>
              <w:rPr>
                <w:rFonts w:ascii="Times New Roman" w:hAnsi="Times New Roman" w:eastAsia="宋体"/>
                <w:b/>
                <w:color w:val="auto"/>
                <w:sz w:val="21"/>
                <w:szCs w:val="21"/>
                <w:highlight w:val="none"/>
              </w:rPr>
              <w:t>组织废气监测结果与评价</w:t>
            </w:r>
          </w:p>
          <w:tbl>
            <w:tblPr>
              <w:tblStyle w:val="32"/>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1458"/>
              <w:gridCol w:w="1844"/>
              <w:gridCol w:w="3540"/>
            </w:tblGrid>
            <w:tr w14:paraId="5CA674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tcBorders>
                    <w:tl2br w:val="nil"/>
                    <w:tr2bl w:val="nil"/>
                  </w:tcBorders>
                  <w:noWrap w:val="0"/>
                  <w:vAlign w:val="center"/>
                </w:tcPr>
                <w:p w14:paraId="4E3CF29C">
                  <w:pPr>
                    <w:keepNext w:val="0"/>
                    <w:keepLines w:val="0"/>
                    <w:pageBreakBefore w:val="0"/>
                    <w:kinsoku/>
                    <w:wordWrap/>
                    <w:overflowPunct/>
                    <w:topLinePunct w:val="0"/>
                    <w:autoSpaceDE/>
                    <w:autoSpaceDN/>
                    <w:bidi w:val="0"/>
                    <w:adjustRightInd/>
                    <w:snapToGrid w:val="0"/>
                    <w:spacing w:line="320" w:lineRule="exact"/>
                    <w:ind w:right="0" w:rightChars="0"/>
                    <w:jc w:val="center"/>
                    <w:outlineLvl w:val="9"/>
                    <w:rPr>
                      <w:rFonts w:hint="default" w:ascii="Times New Roman" w:hAnsi="Times New Roman" w:eastAsia="宋体" w:cs="Times New Roman"/>
                      <w:b/>
                      <w:bCs/>
                      <w:color w:val="auto"/>
                      <w:kern w:val="2"/>
                      <w:sz w:val="21"/>
                      <w:szCs w:val="21"/>
                      <w:lang w:val="en-US" w:eastAsia="zh-CN"/>
                    </w:rPr>
                  </w:pPr>
                  <w:r>
                    <w:rPr>
                      <w:rFonts w:hint="default" w:ascii="Times New Roman" w:hAnsi="Times New Roman" w:eastAsia="宋体" w:cs="Times New Roman"/>
                      <w:b/>
                      <w:bCs/>
                      <w:color w:val="auto"/>
                      <w:kern w:val="2"/>
                      <w:sz w:val="21"/>
                      <w:szCs w:val="21"/>
                      <w:lang w:val="en-US" w:eastAsia="zh-CN"/>
                    </w:rPr>
                    <w:t>监测日期</w:t>
                  </w:r>
                </w:p>
              </w:tc>
              <w:tc>
                <w:tcPr>
                  <w:tcW w:w="842" w:type="pct"/>
                  <w:tcBorders>
                    <w:tl2br w:val="nil"/>
                    <w:tr2bl w:val="nil"/>
                  </w:tcBorders>
                  <w:noWrap w:val="0"/>
                  <w:vAlign w:val="center"/>
                </w:tcPr>
                <w:p w14:paraId="14B7B28D">
                  <w:pPr>
                    <w:keepNext w:val="0"/>
                    <w:keepLines w:val="0"/>
                    <w:pageBreakBefore w:val="0"/>
                    <w:kinsoku/>
                    <w:wordWrap/>
                    <w:overflowPunct/>
                    <w:topLinePunct w:val="0"/>
                    <w:autoSpaceDE/>
                    <w:autoSpaceDN/>
                    <w:bidi w:val="0"/>
                    <w:adjustRightInd/>
                    <w:snapToGrid w:val="0"/>
                    <w:spacing w:line="320" w:lineRule="exact"/>
                    <w:ind w:right="0" w:rightChars="0"/>
                    <w:jc w:val="center"/>
                    <w:outlineLvl w:val="9"/>
                    <w:rPr>
                      <w:rFonts w:hint="default" w:ascii="Times New Roman" w:hAnsi="Times New Roman" w:eastAsia="宋体" w:cs="Times New Roman"/>
                      <w:b/>
                      <w:bCs/>
                      <w:color w:val="auto"/>
                      <w:kern w:val="2"/>
                      <w:sz w:val="21"/>
                      <w:szCs w:val="21"/>
                      <w:lang w:val="en-US" w:eastAsia="zh-CN"/>
                    </w:rPr>
                  </w:pPr>
                  <w:r>
                    <w:rPr>
                      <w:rFonts w:hint="default" w:ascii="Times New Roman" w:hAnsi="Times New Roman" w:eastAsia="宋体" w:cs="Times New Roman"/>
                      <w:b/>
                      <w:bCs/>
                      <w:color w:val="auto"/>
                      <w:kern w:val="2"/>
                      <w:sz w:val="21"/>
                      <w:szCs w:val="21"/>
                      <w:lang w:val="en-US" w:eastAsia="zh-CN"/>
                    </w:rPr>
                    <w:t>监测点位</w:t>
                  </w:r>
                </w:p>
              </w:tc>
              <w:tc>
                <w:tcPr>
                  <w:tcW w:w="1064" w:type="pct"/>
                  <w:tcBorders>
                    <w:tl2br w:val="nil"/>
                    <w:tr2bl w:val="nil"/>
                  </w:tcBorders>
                  <w:noWrap w:val="0"/>
                  <w:vAlign w:val="center"/>
                </w:tcPr>
                <w:p w14:paraId="7AB85232">
                  <w:pPr>
                    <w:keepNext w:val="0"/>
                    <w:keepLines w:val="0"/>
                    <w:pageBreakBefore w:val="0"/>
                    <w:kinsoku/>
                    <w:wordWrap/>
                    <w:overflowPunct/>
                    <w:topLinePunct w:val="0"/>
                    <w:autoSpaceDE/>
                    <w:autoSpaceDN/>
                    <w:bidi w:val="0"/>
                    <w:adjustRightInd/>
                    <w:snapToGrid w:val="0"/>
                    <w:spacing w:line="320" w:lineRule="exact"/>
                    <w:ind w:right="0" w:rightChars="0"/>
                    <w:jc w:val="center"/>
                    <w:outlineLvl w:val="9"/>
                    <w:rPr>
                      <w:rFonts w:hint="default" w:ascii="Times New Roman" w:hAnsi="Times New Roman" w:eastAsia="宋体" w:cs="Times New Roman"/>
                      <w:b/>
                      <w:bCs/>
                      <w:color w:val="auto"/>
                      <w:kern w:val="2"/>
                      <w:sz w:val="21"/>
                      <w:szCs w:val="21"/>
                      <w:lang w:val="en-US" w:eastAsia="zh-CN"/>
                    </w:rPr>
                  </w:pPr>
                  <w:r>
                    <w:rPr>
                      <w:rFonts w:hint="default" w:ascii="Times New Roman" w:hAnsi="Times New Roman" w:eastAsia="宋体" w:cs="Times New Roman"/>
                      <w:b/>
                      <w:bCs/>
                      <w:color w:val="auto"/>
                      <w:kern w:val="2"/>
                      <w:sz w:val="21"/>
                      <w:szCs w:val="21"/>
                      <w:lang w:val="en-US" w:eastAsia="zh-CN"/>
                    </w:rPr>
                    <w:t>监测频次</w:t>
                  </w:r>
                </w:p>
              </w:tc>
              <w:tc>
                <w:tcPr>
                  <w:tcW w:w="2045" w:type="pct"/>
                  <w:tcBorders>
                    <w:tl2br w:val="nil"/>
                    <w:tr2bl w:val="nil"/>
                  </w:tcBorders>
                  <w:noWrap w:val="0"/>
                  <w:vAlign w:val="center"/>
                </w:tcPr>
                <w:p w14:paraId="3010E3AE">
                  <w:pPr>
                    <w:keepNext w:val="0"/>
                    <w:keepLines w:val="0"/>
                    <w:pageBreakBefore w:val="0"/>
                    <w:kinsoku/>
                    <w:wordWrap/>
                    <w:overflowPunct/>
                    <w:topLinePunct w:val="0"/>
                    <w:autoSpaceDE/>
                    <w:autoSpaceDN/>
                    <w:bidi w:val="0"/>
                    <w:adjustRightInd/>
                    <w:snapToGrid w:val="0"/>
                    <w:spacing w:line="320" w:lineRule="exact"/>
                    <w:ind w:right="0" w:rightChars="0"/>
                    <w:jc w:val="center"/>
                    <w:outlineLvl w:val="9"/>
                    <w:rPr>
                      <w:rFonts w:hint="default" w:ascii="Times New Roman" w:hAnsi="Times New Roman" w:eastAsia="宋体" w:cs="Times New Roman"/>
                      <w:b/>
                      <w:bCs/>
                      <w:color w:val="auto"/>
                      <w:kern w:val="2"/>
                      <w:sz w:val="21"/>
                      <w:szCs w:val="21"/>
                      <w:lang w:val="en-US" w:eastAsia="zh-CN"/>
                    </w:rPr>
                  </w:pPr>
                  <w:r>
                    <w:rPr>
                      <w:rFonts w:hint="default" w:ascii="Times New Roman" w:hAnsi="Times New Roman" w:eastAsia="宋体" w:cs="Times New Roman"/>
                      <w:b/>
                      <w:bCs/>
                      <w:color w:val="auto"/>
                      <w:kern w:val="2"/>
                      <w:sz w:val="21"/>
                      <w:szCs w:val="21"/>
                      <w:lang w:val="en-US" w:eastAsia="zh-CN"/>
                    </w:rPr>
                    <w:t>非甲烷总烃</w:t>
                  </w:r>
                </w:p>
              </w:tc>
            </w:tr>
            <w:tr w14:paraId="7D9853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6" w:type="dxa"/>
                  <w:vMerge w:val="restart"/>
                  <w:tcBorders>
                    <w:tl2br w:val="nil"/>
                    <w:tr2bl w:val="nil"/>
                  </w:tcBorders>
                  <w:noWrap w:val="0"/>
                  <w:vAlign w:val="center"/>
                </w:tcPr>
                <w:p w14:paraId="7351B58A">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2022</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11</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17</w:t>
                  </w:r>
                </w:p>
              </w:tc>
              <w:tc>
                <w:tcPr>
                  <w:tcW w:w="842" w:type="pct"/>
                  <w:vMerge w:val="restart"/>
                  <w:tcBorders>
                    <w:tl2br w:val="nil"/>
                    <w:tr2bl w:val="nil"/>
                  </w:tcBorders>
                  <w:noWrap w:val="0"/>
                  <w:vAlign w:val="center"/>
                </w:tcPr>
                <w:p w14:paraId="11156B73">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上风向Ο1#</w:t>
                  </w:r>
                </w:p>
              </w:tc>
              <w:tc>
                <w:tcPr>
                  <w:tcW w:w="1064" w:type="pct"/>
                  <w:tcBorders>
                    <w:tl2br w:val="nil"/>
                    <w:tr2bl w:val="nil"/>
                  </w:tcBorders>
                  <w:noWrap w:val="0"/>
                  <w:vAlign w:val="center"/>
                </w:tcPr>
                <w:p w14:paraId="7EF732B6">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第一次</w:t>
                  </w:r>
                </w:p>
              </w:tc>
              <w:tc>
                <w:tcPr>
                  <w:tcW w:w="2045" w:type="pct"/>
                  <w:tcBorders>
                    <w:tl2br w:val="nil"/>
                    <w:tr2bl w:val="nil"/>
                  </w:tcBorders>
                  <w:noWrap w:val="0"/>
                  <w:vAlign w:val="center"/>
                </w:tcPr>
                <w:p w14:paraId="221DCFE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0.69</w:t>
                  </w:r>
                </w:p>
              </w:tc>
            </w:tr>
            <w:tr w14:paraId="7A3339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Merge w:val="continue"/>
                  <w:tcBorders>
                    <w:tl2br w:val="nil"/>
                    <w:tr2bl w:val="nil"/>
                  </w:tcBorders>
                  <w:noWrap w:val="0"/>
                  <w:vAlign w:val="center"/>
                </w:tcPr>
                <w:p w14:paraId="563C1BE9">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842" w:type="pct"/>
                  <w:vMerge w:val="continue"/>
                  <w:tcBorders>
                    <w:tl2br w:val="nil"/>
                    <w:tr2bl w:val="nil"/>
                  </w:tcBorders>
                  <w:noWrap w:val="0"/>
                  <w:vAlign w:val="center"/>
                </w:tcPr>
                <w:p w14:paraId="7350B57C">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1064" w:type="pct"/>
                  <w:tcBorders>
                    <w:tl2br w:val="nil"/>
                    <w:tr2bl w:val="nil"/>
                  </w:tcBorders>
                  <w:noWrap w:val="0"/>
                  <w:vAlign w:val="center"/>
                </w:tcPr>
                <w:p w14:paraId="26FF448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第二次</w:t>
                  </w:r>
                </w:p>
              </w:tc>
              <w:tc>
                <w:tcPr>
                  <w:tcW w:w="2045" w:type="pct"/>
                  <w:tcBorders>
                    <w:tl2br w:val="nil"/>
                    <w:tr2bl w:val="nil"/>
                  </w:tcBorders>
                  <w:noWrap w:val="0"/>
                  <w:vAlign w:val="center"/>
                </w:tcPr>
                <w:p w14:paraId="4557BF0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0.68</w:t>
                  </w:r>
                </w:p>
              </w:tc>
            </w:tr>
            <w:tr w14:paraId="06ABA6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Merge w:val="continue"/>
                  <w:tcBorders>
                    <w:tl2br w:val="nil"/>
                    <w:tr2bl w:val="nil"/>
                  </w:tcBorders>
                  <w:noWrap w:val="0"/>
                  <w:vAlign w:val="center"/>
                </w:tcPr>
                <w:p w14:paraId="4CF372B0">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842" w:type="pct"/>
                  <w:vMerge w:val="continue"/>
                  <w:tcBorders>
                    <w:tl2br w:val="nil"/>
                    <w:tr2bl w:val="nil"/>
                  </w:tcBorders>
                  <w:noWrap w:val="0"/>
                  <w:vAlign w:val="center"/>
                </w:tcPr>
                <w:p w14:paraId="47BC8502">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1064" w:type="pct"/>
                  <w:tcBorders>
                    <w:tl2br w:val="nil"/>
                    <w:tr2bl w:val="nil"/>
                  </w:tcBorders>
                  <w:noWrap w:val="0"/>
                  <w:vAlign w:val="center"/>
                </w:tcPr>
                <w:p w14:paraId="68652328">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第三次</w:t>
                  </w:r>
                </w:p>
              </w:tc>
              <w:tc>
                <w:tcPr>
                  <w:tcW w:w="2045" w:type="pct"/>
                  <w:tcBorders>
                    <w:tl2br w:val="nil"/>
                    <w:tr2bl w:val="nil"/>
                  </w:tcBorders>
                  <w:noWrap w:val="0"/>
                  <w:vAlign w:val="center"/>
                </w:tcPr>
                <w:p w14:paraId="1B976688">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0.67</w:t>
                  </w:r>
                </w:p>
              </w:tc>
            </w:tr>
            <w:tr w14:paraId="6FB118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Merge w:val="continue"/>
                  <w:tcBorders>
                    <w:tl2br w:val="nil"/>
                    <w:tr2bl w:val="nil"/>
                  </w:tcBorders>
                  <w:noWrap w:val="0"/>
                  <w:vAlign w:val="center"/>
                </w:tcPr>
                <w:p w14:paraId="04F1D2A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842" w:type="pct"/>
                  <w:vMerge w:val="restart"/>
                  <w:tcBorders>
                    <w:tl2br w:val="nil"/>
                    <w:tr2bl w:val="nil"/>
                  </w:tcBorders>
                  <w:noWrap w:val="0"/>
                  <w:vAlign w:val="center"/>
                </w:tcPr>
                <w:p w14:paraId="10F5D98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下风向Ο2#</w:t>
                  </w:r>
                </w:p>
              </w:tc>
              <w:tc>
                <w:tcPr>
                  <w:tcW w:w="1064" w:type="pct"/>
                  <w:tcBorders>
                    <w:tl2br w:val="nil"/>
                    <w:tr2bl w:val="nil"/>
                  </w:tcBorders>
                  <w:noWrap w:val="0"/>
                  <w:vAlign w:val="center"/>
                </w:tcPr>
                <w:p w14:paraId="671418B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第一次</w:t>
                  </w:r>
                </w:p>
              </w:tc>
              <w:tc>
                <w:tcPr>
                  <w:tcW w:w="2045" w:type="pct"/>
                  <w:tcBorders>
                    <w:tl2br w:val="nil"/>
                    <w:tr2bl w:val="nil"/>
                  </w:tcBorders>
                  <w:noWrap w:val="0"/>
                  <w:vAlign w:val="center"/>
                </w:tcPr>
                <w:p w14:paraId="4D19435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0.79</w:t>
                  </w:r>
                </w:p>
              </w:tc>
            </w:tr>
            <w:tr w14:paraId="47467F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Merge w:val="continue"/>
                  <w:tcBorders>
                    <w:tl2br w:val="nil"/>
                    <w:tr2bl w:val="nil"/>
                  </w:tcBorders>
                  <w:noWrap w:val="0"/>
                  <w:vAlign w:val="center"/>
                </w:tcPr>
                <w:p w14:paraId="132A2D58">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0" w:firstLineChars="200"/>
                    <w:jc w:val="center"/>
                    <w:textAlignment w:val="auto"/>
                    <w:outlineLvl w:val="9"/>
                    <w:rPr>
                      <w:rFonts w:hint="default" w:ascii="Times New Roman" w:hAnsi="Times New Roman" w:cs="Times New Roman"/>
                      <w:color w:val="auto"/>
                      <w:sz w:val="21"/>
                      <w:szCs w:val="21"/>
                      <w:lang w:val="en-US" w:eastAsia="zh-CN"/>
                    </w:rPr>
                  </w:pPr>
                </w:p>
              </w:tc>
              <w:tc>
                <w:tcPr>
                  <w:tcW w:w="842" w:type="pct"/>
                  <w:vMerge w:val="continue"/>
                  <w:tcBorders>
                    <w:tl2br w:val="nil"/>
                    <w:tr2bl w:val="nil"/>
                  </w:tcBorders>
                  <w:noWrap w:val="0"/>
                  <w:vAlign w:val="center"/>
                </w:tcPr>
                <w:p w14:paraId="2007631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0" w:firstLineChars="200"/>
                    <w:jc w:val="center"/>
                    <w:textAlignment w:val="auto"/>
                    <w:outlineLvl w:val="9"/>
                    <w:rPr>
                      <w:rFonts w:hint="default" w:ascii="Times New Roman" w:hAnsi="Times New Roman" w:cs="Times New Roman"/>
                      <w:color w:val="auto"/>
                      <w:sz w:val="21"/>
                      <w:szCs w:val="21"/>
                      <w:lang w:val="en-US" w:eastAsia="zh-CN"/>
                    </w:rPr>
                  </w:pPr>
                </w:p>
              </w:tc>
              <w:tc>
                <w:tcPr>
                  <w:tcW w:w="1064" w:type="pct"/>
                  <w:tcBorders>
                    <w:tl2br w:val="nil"/>
                    <w:tr2bl w:val="nil"/>
                  </w:tcBorders>
                  <w:noWrap w:val="0"/>
                  <w:vAlign w:val="center"/>
                </w:tcPr>
                <w:p w14:paraId="1B10CF6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第二次</w:t>
                  </w:r>
                </w:p>
              </w:tc>
              <w:tc>
                <w:tcPr>
                  <w:tcW w:w="2045" w:type="pct"/>
                  <w:tcBorders>
                    <w:tl2br w:val="nil"/>
                    <w:tr2bl w:val="nil"/>
                  </w:tcBorders>
                  <w:noWrap w:val="0"/>
                  <w:vAlign w:val="center"/>
                </w:tcPr>
                <w:p w14:paraId="642671B2">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0.90</w:t>
                  </w:r>
                </w:p>
              </w:tc>
            </w:tr>
            <w:tr w14:paraId="0155C4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Merge w:val="continue"/>
                  <w:tcBorders>
                    <w:tl2br w:val="nil"/>
                    <w:tr2bl w:val="nil"/>
                  </w:tcBorders>
                  <w:noWrap w:val="0"/>
                  <w:vAlign w:val="center"/>
                </w:tcPr>
                <w:p w14:paraId="5CC761C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0" w:firstLineChars="200"/>
                    <w:jc w:val="center"/>
                    <w:textAlignment w:val="auto"/>
                    <w:outlineLvl w:val="9"/>
                    <w:rPr>
                      <w:rFonts w:hint="default" w:ascii="Times New Roman" w:hAnsi="Times New Roman" w:cs="Times New Roman"/>
                      <w:color w:val="auto"/>
                      <w:sz w:val="21"/>
                      <w:szCs w:val="21"/>
                      <w:lang w:val="en-US" w:eastAsia="zh-CN"/>
                    </w:rPr>
                  </w:pPr>
                </w:p>
              </w:tc>
              <w:tc>
                <w:tcPr>
                  <w:tcW w:w="842" w:type="pct"/>
                  <w:vMerge w:val="continue"/>
                  <w:tcBorders>
                    <w:tl2br w:val="nil"/>
                    <w:tr2bl w:val="nil"/>
                  </w:tcBorders>
                  <w:noWrap w:val="0"/>
                  <w:vAlign w:val="center"/>
                </w:tcPr>
                <w:p w14:paraId="52B665B9">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0" w:firstLineChars="200"/>
                    <w:jc w:val="center"/>
                    <w:textAlignment w:val="auto"/>
                    <w:outlineLvl w:val="9"/>
                    <w:rPr>
                      <w:rFonts w:hint="default" w:ascii="Times New Roman" w:hAnsi="Times New Roman" w:cs="Times New Roman"/>
                      <w:color w:val="auto"/>
                      <w:sz w:val="21"/>
                      <w:szCs w:val="21"/>
                      <w:lang w:val="en-US" w:eastAsia="zh-CN"/>
                    </w:rPr>
                  </w:pPr>
                </w:p>
              </w:tc>
              <w:tc>
                <w:tcPr>
                  <w:tcW w:w="1064" w:type="pct"/>
                  <w:tcBorders>
                    <w:tl2br w:val="nil"/>
                    <w:tr2bl w:val="nil"/>
                  </w:tcBorders>
                  <w:noWrap w:val="0"/>
                  <w:vAlign w:val="center"/>
                </w:tcPr>
                <w:p w14:paraId="7A707B42">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第三次</w:t>
                  </w:r>
                </w:p>
              </w:tc>
              <w:tc>
                <w:tcPr>
                  <w:tcW w:w="2045" w:type="pct"/>
                  <w:tcBorders>
                    <w:tl2br w:val="nil"/>
                    <w:tr2bl w:val="nil"/>
                  </w:tcBorders>
                  <w:noWrap w:val="0"/>
                  <w:vAlign w:val="center"/>
                </w:tcPr>
                <w:p w14:paraId="6047005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0.78</w:t>
                  </w:r>
                </w:p>
              </w:tc>
            </w:tr>
            <w:tr w14:paraId="7C0595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Merge w:val="continue"/>
                  <w:tcBorders>
                    <w:tl2br w:val="nil"/>
                    <w:tr2bl w:val="nil"/>
                  </w:tcBorders>
                  <w:noWrap w:val="0"/>
                  <w:vAlign w:val="center"/>
                </w:tcPr>
                <w:p w14:paraId="36F2608B">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842" w:type="pct"/>
                  <w:vMerge w:val="restart"/>
                  <w:tcBorders>
                    <w:tl2br w:val="nil"/>
                    <w:tr2bl w:val="nil"/>
                  </w:tcBorders>
                  <w:noWrap w:val="0"/>
                  <w:vAlign w:val="center"/>
                </w:tcPr>
                <w:p w14:paraId="743F8F4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下风向Ο3#</w:t>
                  </w:r>
                </w:p>
              </w:tc>
              <w:tc>
                <w:tcPr>
                  <w:tcW w:w="1064" w:type="pct"/>
                  <w:tcBorders>
                    <w:tl2br w:val="nil"/>
                    <w:tr2bl w:val="nil"/>
                  </w:tcBorders>
                  <w:noWrap w:val="0"/>
                  <w:vAlign w:val="center"/>
                </w:tcPr>
                <w:p w14:paraId="707062FC">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第一次</w:t>
                  </w:r>
                </w:p>
              </w:tc>
              <w:tc>
                <w:tcPr>
                  <w:tcW w:w="2045" w:type="pct"/>
                  <w:tcBorders>
                    <w:tl2br w:val="nil"/>
                    <w:tr2bl w:val="nil"/>
                  </w:tcBorders>
                  <w:noWrap w:val="0"/>
                  <w:vAlign w:val="center"/>
                </w:tcPr>
                <w:p w14:paraId="4AC44FF8">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0.74</w:t>
                  </w:r>
                </w:p>
              </w:tc>
            </w:tr>
            <w:tr w14:paraId="27A3C7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Merge w:val="continue"/>
                  <w:tcBorders>
                    <w:tl2br w:val="nil"/>
                    <w:tr2bl w:val="nil"/>
                  </w:tcBorders>
                  <w:noWrap w:val="0"/>
                  <w:vAlign w:val="center"/>
                </w:tcPr>
                <w:p w14:paraId="0D1803C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842" w:type="pct"/>
                  <w:vMerge w:val="continue"/>
                  <w:tcBorders>
                    <w:tl2br w:val="nil"/>
                    <w:tr2bl w:val="nil"/>
                  </w:tcBorders>
                  <w:noWrap w:val="0"/>
                  <w:vAlign w:val="center"/>
                </w:tcPr>
                <w:p w14:paraId="1D804E0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0" w:firstLineChars="200"/>
                    <w:jc w:val="center"/>
                    <w:textAlignment w:val="auto"/>
                    <w:outlineLvl w:val="9"/>
                    <w:rPr>
                      <w:rFonts w:hint="default" w:ascii="Times New Roman" w:hAnsi="Times New Roman" w:cs="Times New Roman"/>
                      <w:color w:val="auto"/>
                      <w:sz w:val="21"/>
                      <w:szCs w:val="21"/>
                      <w:lang w:val="en-US" w:eastAsia="zh-CN"/>
                    </w:rPr>
                  </w:pPr>
                </w:p>
              </w:tc>
              <w:tc>
                <w:tcPr>
                  <w:tcW w:w="1064" w:type="pct"/>
                  <w:tcBorders>
                    <w:tl2br w:val="nil"/>
                    <w:tr2bl w:val="nil"/>
                  </w:tcBorders>
                  <w:noWrap w:val="0"/>
                  <w:vAlign w:val="center"/>
                </w:tcPr>
                <w:p w14:paraId="0A0B250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第二次</w:t>
                  </w:r>
                </w:p>
              </w:tc>
              <w:tc>
                <w:tcPr>
                  <w:tcW w:w="2045" w:type="pct"/>
                  <w:tcBorders>
                    <w:tl2br w:val="nil"/>
                    <w:tr2bl w:val="nil"/>
                  </w:tcBorders>
                  <w:noWrap w:val="0"/>
                  <w:vAlign w:val="center"/>
                </w:tcPr>
                <w:p w14:paraId="505F097C">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0.75</w:t>
                  </w:r>
                </w:p>
              </w:tc>
            </w:tr>
            <w:tr w14:paraId="01E2B9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Merge w:val="continue"/>
                  <w:tcBorders>
                    <w:tl2br w:val="nil"/>
                    <w:tr2bl w:val="nil"/>
                  </w:tcBorders>
                  <w:noWrap w:val="0"/>
                  <w:vAlign w:val="center"/>
                </w:tcPr>
                <w:p w14:paraId="3796CE32">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842" w:type="pct"/>
                  <w:vMerge w:val="continue"/>
                  <w:tcBorders>
                    <w:tl2br w:val="nil"/>
                    <w:tr2bl w:val="nil"/>
                  </w:tcBorders>
                  <w:noWrap w:val="0"/>
                  <w:vAlign w:val="center"/>
                </w:tcPr>
                <w:p w14:paraId="5D3391E3">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0" w:firstLineChars="200"/>
                    <w:jc w:val="center"/>
                    <w:textAlignment w:val="auto"/>
                    <w:outlineLvl w:val="9"/>
                    <w:rPr>
                      <w:rFonts w:hint="default" w:ascii="Times New Roman" w:hAnsi="Times New Roman" w:cs="Times New Roman"/>
                      <w:color w:val="auto"/>
                      <w:sz w:val="21"/>
                      <w:szCs w:val="21"/>
                      <w:lang w:val="en-US" w:eastAsia="zh-CN"/>
                    </w:rPr>
                  </w:pPr>
                </w:p>
              </w:tc>
              <w:tc>
                <w:tcPr>
                  <w:tcW w:w="1064" w:type="pct"/>
                  <w:tcBorders>
                    <w:tl2br w:val="nil"/>
                    <w:tr2bl w:val="nil"/>
                  </w:tcBorders>
                  <w:noWrap w:val="0"/>
                  <w:vAlign w:val="center"/>
                </w:tcPr>
                <w:p w14:paraId="22881F0E">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第三次</w:t>
                  </w:r>
                </w:p>
              </w:tc>
              <w:tc>
                <w:tcPr>
                  <w:tcW w:w="2045" w:type="pct"/>
                  <w:tcBorders>
                    <w:tl2br w:val="nil"/>
                    <w:tr2bl w:val="nil"/>
                  </w:tcBorders>
                  <w:noWrap w:val="0"/>
                  <w:vAlign w:val="center"/>
                </w:tcPr>
                <w:p w14:paraId="645C5D2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0.76</w:t>
                  </w:r>
                </w:p>
              </w:tc>
            </w:tr>
            <w:tr w14:paraId="6D09FD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Merge w:val="continue"/>
                  <w:tcBorders>
                    <w:tl2br w:val="nil"/>
                    <w:tr2bl w:val="nil"/>
                  </w:tcBorders>
                  <w:noWrap w:val="0"/>
                  <w:vAlign w:val="center"/>
                </w:tcPr>
                <w:p w14:paraId="1C1B3393">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842" w:type="pct"/>
                  <w:vMerge w:val="restart"/>
                  <w:tcBorders>
                    <w:tl2br w:val="nil"/>
                    <w:tr2bl w:val="nil"/>
                  </w:tcBorders>
                  <w:noWrap w:val="0"/>
                  <w:vAlign w:val="center"/>
                </w:tcPr>
                <w:p w14:paraId="14617E3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下风向Ο4#</w:t>
                  </w:r>
                </w:p>
              </w:tc>
              <w:tc>
                <w:tcPr>
                  <w:tcW w:w="1064" w:type="pct"/>
                  <w:tcBorders>
                    <w:tl2br w:val="nil"/>
                    <w:tr2bl w:val="nil"/>
                  </w:tcBorders>
                  <w:noWrap w:val="0"/>
                  <w:vAlign w:val="center"/>
                </w:tcPr>
                <w:p w14:paraId="73BC9B8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第一次</w:t>
                  </w:r>
                </w:p>
              </w:tc>
              <w:tc>
                <w:tcPr>
                  <w:tcW w:w="2045" w:type="pct"/>
                  <w:tcBorders>
                    <w:tl2br w:val="nil"/>
                    <w:tr2bl w:val="nil"/>
                  </w:tcBorders>
                  <w:noWrap w:val="0"/>
                  <w:vAlign w:val="center"/>
                </w:tcPr>
                <w:p w14:paraId="6CF7C3D8">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0.74</w:t>
                  </w:r>
                </w:p>
              </w:tc>
            </w:tr>
            <w:tr w14:paraId="0C52FE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Merge w:val="continue"/>
                  <w:tcBorders>
                    <w:tl2br w:val="nil"/>
                    <w:tr2bl w:val="nil"/>
                  </w:tcBorders>
                  <w:noWrap w:val="0"/>
                  <w:vAlign w:val="center"/>
                </w:tcPr>
                <w:p w14:paraId="2C18711E">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842" w:type="pct"/>
                  <w:vMerge w:val="continue"/>
                  <w:tcBorders>
                    <w:tl2br w:val="nil"/>
                    <w:tr2bl w:val="nil"/>
                  </w:tcBorders>
                  <w:noWrap w:val="0"/>
                  <w:vAlign w:val="center"/>
                </w:tcPr>
                <w:p w14:paraId="4E22227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0" w:firstLineChars="200"/>
                    <w:jc w:val="center"/>
                    <w:textAlignment w:val="auto"/>
                    <w:outlineLvl w:val="9"/>
                    <w:rPr>
                      <w:rFonts w:hint="default" w:ascii="Times New Roman" w:hAnsi="Times New Roman" w:cs="Times New Roman"/>
                      <w:color w:val="auto"/>
                      <w:sz w:val="21"/>
                      <w:szCs w:val="21"/>
                      <w:lang w:val="en-US" w:eastAsia="zh-CN"/>
                    </w:rPr>
                  </w:pPr>
                </w:p>
              </w:tc>
              <w:tc>
                <w:tcPr>
                  <w:tcW w:w="1064" w:type="pct"/>
                  <w:tcBorders>
                    <w:tl2br w:val="nil"/>
                    <w:tr2bl w:val="nil"/>
                  </w:tcBorders>
                  <w:noWrap w:val="0"/>
                  <w:vAlign w:val="center"/>
                </w:tcPr>
                <w:p w14:paraId="1A1E256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第二次</w:t>
                  </w:r>
                </w:p>
              </w:tc>
              <w:tc>
                <w:tcPr>
                  <w:tcW w:w="2045" w:type="pct"/>
                  <w:tcBorders>
                    <w:tl2br w:val="nil"/>
                    <w:tr2bl w:val="nil"/>
                  </w:tcBorders>
                  <w:noWrap w:val="0"/>
                  <w:vAlign w:val="center"/>
                </w:tcPr>
                <w:p w14:paraId="74A166F7">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0.75</w:t>
                  </w:r>
                </w:p>
              </w:tc>
            </w:tr>
            <w:tr w14:paraId="74906C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Merge w:val="continue"/>
                  <w:tcBorders>
                    <w:tl2br w:val="nil"/>
                    <w:tr2bl w:val="nil"/>
                  </w:tcBorders>
                  <w:noWrap w:val="0"/>
                  <w:vAlign w:val="center"/>
                </w:tcPr>
                <w:p w14:paraId="1F77E142">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842" w:type="pct"/>
                  <w:vMerge w:val="continue"/>
                  <w:tcBorders>
                    <w:tl2br w:val="nil"/>
                    <w:tr2bl w:val="nil"/>
                  </w:tcBorders>
                  <w:noWrap w:val="0"/>
                  <w:vAlign w:val="center"/>
                </w:tcPr>
                <w:p w14:paraId="5AACC253">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0" w:firstLineChars="200"/>
                    <w:jc w:val="center"/>
                    <w:textAlignment w:val="auto"/>
                    <w:outlineLvl w:val="9"/>
                    <w:rPr>
                      <w:rFonts w:hint="default" w:ascii="Times New Roman" w:hAnsi="Times New Roman" w:cs="Times New Roman"/>
                      <w:color w:val="auto"/>
                      <w:sz w:val="21"/>
                      <w:szCs w:val="21"/>
                      <w:lang w:val="en-US" w:eastAsia="zh-CN"/>
                    </w:rPr>
                  </w:pPr>
                </w:p>
              </w:tc>
              <w:tc>
                <w:tcPr>
                  <w:tcW w:w="1064" w:type="pct"/>
                  <w:tcBorders>
                    <w:tl2br w:val="nil"/>
                    <w:tr2bl w:val="nil"/>
                  </w:tcBorders>
                  <w:noWrap w:val="0"/>
                  <w:vAlign w:val="center"/>
                </w:tcPr>
                <w:p w14:paraId="3A0C55C7">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第三次</w:t>
                  </w:r>
                </w:p>
              </w:tc>
              <w:tc>
                <w:tcPr>
                  <w:tcW w:w="2045" w:type="pct"/>
                  <w:tcBorders>
                    <w:tl2br w:val="nil"/>
                    <w:tr2bl w:val="nil"/>
                  </w:tcBorders>
                  <w:noWrap w:val="0"/>
                  <w:vAlign w:val="center"/>
                </w:tcPr>
                <w:p w14:paraId="1F19B640">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0.74</w:t>
                  </w:r>
                </w:p>
              </w:tc>
            </w:tr>
            <w:tr w14:paraId="7A11AA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6" w:type="dxa"/>
                  <w:vMerge w:val="restart"/>
                  <w:tcBorders>
                    <w:tl2br w:val="nil"/>
                    <w:tr2bl w:val="nil"/>
                  </w:tcBorders>
                  <w:noWrap w:val="0"/>
                  <w:vAlign w:val="center"/>
                </w:tcPr>
                <w:p w14:paraId="18E8484B">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2022</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11</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18</w:t>
                  </w:r>
                </w:p>
              </w:tc>
              <w:tc>
                <w:tcPr>
                  <w:tcW w:w="842" w:type="pct"/>
                  <w:vMerge w:val="restart"/>
                  <w:tcBorders>
                    <w:tl2br w:val="nil"/>
                    <w:tr2bl w:val="nil"/>
                  </w:tcBorders>
                  <w:noWrap w:val="0"/>
                  <w:vAlign w:val="center"/>
                </w:tcPr>
                <w:p w14:paraId="1FC8F13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上风向Ο1#</w:t>
                  </w:r>
                </w:p>
              </w:tc>
              <w:tc>
                <w:tcPr>
                  <w:tcW w:w="1064" w:type="pct"/>
                  <w:tcBorders>
                    <w:tl2br w:val="nil"/>
                    <w:tr2bl w:val="nil"/>
                  </w:tcBorders>
                  <w:noWrap w:val="0"/>
                  <w:vAlign w:val="center"/>
                </w:tcPr>
                <w:p w14:paraId="41F1614B">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第一次</w:t>
                  </w:r>
                </w:p>
              </w:tc>
              <w:tc>
                <w:tcPr>
                  <w:tcW w:w="2045" w:type="pct"/>
                  <w:tcBorders>
                    <w:tl2br w:val="nil"/>
                    <w:tr2bl w:val="nil"/>
                  </w:tcBorders>
                  <w:noWrap w:val="0"/>
                  <w:vAlign w:val="center"/>
                </w:tcPr>
                <w:p w14:paraId="7682193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0.60</w:t>
                  </w:r>
                </w:p>
              </w:tc>
            </w:tr>
            <w:tr w14:paraId="6539E2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Merge w:val="continue"/>
                  <w:tcBorders>
                    <w:tl2br w:val="nil"/>
                    <w:tr2bl w:val="nil"/>
                  </w:tcBorders>
                  <w:noWrap w:val="0"/>
                  <w:vAlign w:val="center"/>
                </w:tcPr>
                <w:p w14:paraId="13C329E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rPr>
                  </w:pPr>
                </w:p>
              </w:tc>
              <w:tc>
                <w:tcPr>
                  <w:tcW w:w="842" w:type="pct"/>
                  <w:vMerge w:val="continue"/>
                  <w:tcBorders>
                    <w:tl2br w:val="nil"/>
                    <w:tr2bl w:val="nil"/>
                  </w:tcBorders>
                  <w:noWrap w:val="0"/>
                  <w:vAlign w:val="center"/>
                </w:tcPr>
                <w:p w14:paraId="0BE0E49E">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rPr>
                  </w:pPr>
                </w:p>
              </w:tc>
              <w:tc>
                <w:tcPr>
                  <w:tcW w:w="1064" w:type="pct"/>
                  <w:tcBorders>
                    <w:tl2br w:val="nil"/>
                    <w:tr2bl w:val="nil"/>
                  </w:tcBorders>
                  <w:noWrap w:val="0"/>
                  <w:vAlign w:val="center"/>
                </w:tcPr>
                <w:p w14:paraId="75CF850B">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第二次</w:t>
                  </w:r>
                </w:p>
              </w:tc>
              <w:tc>
                <w:tcPr>
                  <w:tcW w:w="2045" w:type="pct"/>
                  <w:tcBorders>
                    <w:tl2br w:val="nil"/>
                    <w:tr2bl w:val="nil"/>
                  </w:tcBorders>
                  <w:noWrap w:val="0"/>
                  <w:vAlign w:val="center"/>
                </w:tcPr>
                <w:p w14:paraId="3CA5568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0.61</w:t>
                  </w:r>
                </w:p>
              </w:tc>
            </w:tr>
            <w:tr w14:paraId="36AD2E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Merge w:val="continue"/>
                  <w:tcBorders>
                    <w:tl2br w:val="nil"/>
                    <w:tr2bl w:val="nil"/>
                  </w:tcBorders>
                  <w:noWrap w:val="0"/>
                  <w:vAlign w:val="center"/>
                </w:tcPr>
                <w:p w14:paraId="63E43FCE">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842" w:type="pct"/>
                  <w:vMerge w:val="continue"/>
                  <w:tcBorders>
                    <w:tl2br w:val="nil"/>
                    <w:tr2bl w:val="nil"/>
                  </w:tcBorders>
                  <w:noWrap w:val="0"/>
                  <w:vAlign w:val="center"/>
                </w:tcPr>
                <w:p w14:paraId="17B37267">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1064" w:type="pct"/>
                  <w:tcBorders>
                    <w:tl2br w:val="nil"/>
                    <w:tr2bl w:val="nil"/>
                  </w:tcBorders>
                  <w:noWrap w:val="0"/>
                  <w:vAlign w:val="center"/>
                </w:tcPr>
                <w:p w14:paraId="20174A8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第三次</w:t>
                  </w:r>
                </w:p>
              </w:tc>
              <w:tc>
                <w:tcPr>
                  <w:tcW w:w="2045" w:type="pct"/>
                  <w:tcBorders>
                    <w:tl2br w:val="nil"/>
                    <w:tr2bl w:val="nil"/>
                  </w:tcBorders>
                  <w:noWrap w:val="0"/>
                  <w:vAlign w:val="center"/>
                </w:tcPr>
                <w:p w14:paraId="430F0F5C">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0.58</w:t>
                  </w:r>
                </w:p>
              </w:tc>
            </w:tr>
            <w:tr w14:paraId="027897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Merge w:val="continue"/>
                  <w:tcBorders>
                    <w:tl2br w:val="nil"/>
                    <w:tr2bl w:val="nil"/>
                  </w:tcBorders>
                  <w:noWrap w:val="0"/>
                  <w:vAlign w:val="center"/>
                </w:tcPr>
                <w:p w14:paraId="4C6B82B6">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842" w:type="pct"/>
                  <w:vMerge w:val="restart"/>
                  <w:tcBorders>
                    <w:tl2br w:val="nil"/>
                    <w:tr2bl w:val="nil"/>
                  </w:tcBorders>
                  <w:noWrap w:val="0"/>
                  <w:vAlign w:val="center"/>
                </w:tcPr>
                <w:p w14:paraId="131333C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下风向Ο2#</w:t>
                  </w:r>
                </w:p>
              </w:tc>
              <w:tc>
                <w:tcPr>
                  <w:tcW w:w="1064" w:type="pct"/>
                  <w:tcBorders>
                    <w:tl2br w:val="nil"/>
                    <w:tr2bl w:val="nil"/>
                  </w:tcBorders>
                  <w:noWrap w:val="0"/>
                  <w:vAlign w:val="center"/>
                </w:tcPr>
                <w:p w14:paraId="5C0454B7">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第一次</w:t>
                  </w:r>
                </w:p>
              </w:tc>
              <w:tc>
                <w:tcPr>
                  <w:tcW w:w="2045" w:type="pct"/>
                  <w:tcBorders>
                    <w:tl2br w:val="nil"/>
                    <w:tr2bl w:val="nil"/>
                  </w:tcBorders>
                  <w:noWrap w:val="0"/>
                  <w:vAlign w:val="center"/>
                </w:tcPr>
                <w:p w14:paraId="35B49D4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0.83</w:t>
                  </w:r>
                </w:p>
              </w:tc>
            </w:tr>
            <w:tr w14:paraId="506702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Merge w:val="continue"/>
                  <w:tcBorders>
                    <w:tl2br w:val="nil"/>
                    <w:tr2bl w:val="nil"/>
                  </w:tcBorders>
                  <w:noWrap w:val="0"/>
                  <w:vAlign w:val="center"/>
                </w:tcPr>
                <w:p w14:paraId="54992F4E">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0" w:firstLineChars="200"/>
                    <w:jc w:val="center"/>
                    <w:textAlignment w:val="auto"/>
                    <w:outlineLvl w:val="9"/>
                    <w:rPr>
                      <w:rFonts w:hint="default" w:ascii="Times New Roman" w:hAnsi="Times New Roman" w:cs="Times New Roman"/>
                      <w:color w:val="auto"/>
                      <w:sz w:val="21"/>
                      <w:szCs w:val="21"/>
                      <w:lang w:val="en-US" w:eastAsia="zh-CN"/>
                    </w:rPr>
                  </w:pPr>
                </w:p>
              </w:tc>
              <w:tc>
                <w:tcPr>
                  <w:tcW w:w="842" w:type="pct"/>
                  <w:vMerge w:val="continue"/>
                  <w:tcBorders>
                    <w:tl2br w:val="nil"/>
                    <w:tr2bl w:val="nil"/>
                  </w:tcBorders>
                  <w:noWrap w:val="0"/>
                  <w:vAlign w:val="center"/>
                </w:tcPr>
                <w:p w14:paraId="68BF4E02">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0" w:firstLineChars="200"/>
                    <w:jc w:val="center"/>
                    <w:textAlignment w:val="auto"/>
                    <w:outlineLvl w:val="9"/>
                    <w:rPr>
                      <w:rFonts w:hint="default" w:ascii="Times New Roman" w:hAnsi="Times New Roman" w:cs="Times New Roman"/>
                      <w:color w:val="auto"/>
                      <w:sz w:val="21"/>
                      <w:szCs w:val="21"/>
                      <w:lang w:val="en-US" w:eastAsia="zh-CN"/>
                    </w:rPr>
                  </w:pPr>
                </w:p>
              </w:tc>
              <w:tc>
                <w:tcPr>
                  <w:tcW w:w="1064" w:type="pct"/>
                  <w:tcBorders>
                    <w:tl2br w:val="nil"/>
                    <w:tr2bl w:val="nil"/>
                  </w:tcBorders>
                  <w:noWrap w:val="0"/>
                  <w:vAlign w:val="center"/>
                </w:tcPr>
                <w:p w14:paraId="461A46F9">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第二次</w:t>
                  </w:r>
                </w:p>
              </w:tc>
              <w:tc>
                <w:tcPr>
                  <w:tcW w:w="2045" w:type="pct"/>
                  <w:tcBorders>
                    <w:tl2br w:val="nil"/>
                    <w:tr2bl w:val="nil"/>
                  </w:tcBorders>
                  <w:noWrap w:val="0"/>
                  <w:vAlign w:val="center"/>
                </w:tcPr>
                <w:p w14:paraId="1FBA10C2">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0.82</w:t>
                  </w:r>
                </w:p>
              </w:tc>
            </w:tr>
            <w:tr w14:paraId="1C9ED1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Merge w:val="continue"/>
                  <w:tcBorders>
                    <w:tl2br w:val="nil"/>
                    <w:tr2bl w:val="nil"/>
                  </w:tcBorders>
                  <w:noWrap w:val="0"/>
                  <w:vAlign w:val="center"/>
                </w:tcPr>
                <w:p w14:paraId="335AD80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0" w:firstLineChars="200"/>
                    <w:jc w:val="center"/>
                    <w:textAlignment w:val="auto"/>
                    <w:outlineLvl w:val="9"/>
                    <w:rPr>
                      <w:rFonts w:hint="default" w:ascii="Times New Roman" w:hAnsi="Times New Roman" w:cs="Times New Roman"/>
                      <w:color w:val="auto"/>
                      <w:sz w:val="21"/>
                      <w:szCs w:val="21"/>
                      <w:lang w:val="en-US" w:eastAsia="zh-CN"/>
                    </w:rPr>
                  </w:pPr>
                </w:p>
              </w:tc>
              <w:tc>
                <w:tcPr>
                  <w:tcW w:w="842" w:type="pct"/>
                  <w:vMerge w:val="continue"/>
                  <w:tcBorders>
                    <w:tl2br w:val="nil"/>
                    <w:tr2bl w:val="nil"/>
                  </w:tcBorders>
                  <w:noWrap w:val="0"/>
                  <w:vAlign w:val="center"/>
                </w:tcPr>
                <w:p w14:paraId="5BBE370E">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0" w:firstLineChars="200"/>
                    <w:jc w:val="center"/>
                    <w:textAlignment w:val="auto"/>
                    <w:outlineLvl w:val="9"/>
                    <w:rPr>
                      <w:rFonts w:hint="default" w:ascii="Times New Roman" w:hAnsi="Times New Roman" w:cs="Times New Roman"/>
                      <w:color w:val="auto"/>
                      <w:sz w:val="21"/>
                      <w:szCs w:val="21"/>
                      <w:lang w:val="en-US" w:eastAsia="zh-CN"/>
                    </w:rPr>
                  </w:pPr>
                </w:p>
              </w:tc>
              <w:tc>
                <w:tcPr>
                  <w:tcW w:w="1064" w:type="pct"/>
                  <w:tcBorders>
                    <w:tl2br w:val="nil"/>
                    <w:tr2bl w:val="nil"/>
                  </w:tcBorders>
                  <w:noWrap w:val="0"/>
                  <w:vAlign w:val="center"/>
                </w:tcPr>
                <w:p w14:paraId="685A553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第三次</w:t>
                  </w:r>
                </w:p>
              </w:tc>
              <w:tc>
                <w:tcPr>
                  <w:tcW w:w="2045" w:type="pct"/>
                  <w:tcBorders>
                    <w:tl2br w:val="nil"/>
                    <w:tr2bl w:val="nil"/>
                  </w:tcBorders>
                  <w:noWrap w:val="0"/>
                  <w:vAlign w:val="center"/>
                </w:tcPr>
                <w:p w14:paraId="6926DDF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0.81</w:t>
                  </w:r>
                </w:p>
              </w:tc>
            </w:tr>
            <w:tr w14:paraId="0FF4C8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Merge w:val="continue"/>
                  <w:tcBorders>
                    <w:tl2br w:val="nil"/>
                    <w:tr2bl w:val="nil"/>
                  </w:tcBorders>
                  <w:noWrap w:val="0"/>
                  <w:vAlign w:val="center"/>
                </w:tcPr>
                <w:p w14:paraId="1940C50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842" w:type="pct"/>
                  <w:vMerge w:val="restart"/>
                  <w:tcBorders>
                    <w:tl2br w:val="nil"/>
                    <w:tr2bl w:val="nil"/>
                  </w:tcBorders>
                  <w:noWrap w:val="0"/>
                  <w:vAlign w:val="center"/>
                </w:tcPr>
                <w:p w14:paraId="587669F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下风向Ο3#</w:t>
                  </w:r>
                </w:p>
              </w:tc>
              <w:tc>
                <w:tcPr>
                  <w:tcW w:w="1064" w:type="pct"/>
                  <w:tcBorders>
                    <w:tl2br w:val="nil"/>
                    <w:tr2bl w:val="nil"/>
                  </w:tcBorders>
                  <w:noWrap w:val="0"/>
                  <w:vAlign w:val="center"/>
                </w:tcPr>
                <w:p w14:paraId="130A429E">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第一次</w:t>
                  </w:r>
                </w:p>
              </w:tc>
              <w:tc>
                <w:tcPr>
                  <w:tcW w:w="2045" w:type="pct"/>
                  <w:tcBorders>
                    <w:tl2br w:val="nil"/>
                    <w:tr2bl w:val="nil"/>
                  </w:tcBorders>
                  <w:noWrap w:val="0"/>
                  <w:vAlign w:val="center"/>
                </w:tcPr>
                <w:p w14:paraId="06E0004C">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0.84</w:t>
                  </w:r>
                </w:p>
              </w:tc>
            </w:tr>
            <w:tr w14:paraId="7040A9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Merge w:val="continue"/>
                  <w:tcBorders>
                    <w:tl2br w:val="nil"/>
                    <w:tr2bl w:val="nil"/>
                  </w:tcBorders>
                  <w:noWrap w:val="0"/>
                  <w:vAlign w:val="center"/>
                </w:tcPr>
                <w:p w14:paraId="3F965A70">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0" w:firstLineChars="200"/>
                    <w:jc w:val="center"/>
                    <w:textAlignment w:val="auto"/>
                    <w:outlineLvl w:val="9"/>
                    <w:rPr>
                      <w:rFonts w:hint="default" w:ascii="Times New Roman" w:hAnsi="Times New Roman" w:cs="Times New Roman"/>
                      <w:color w:val="auto"/>
                      <w:sz w:val="21"/>
                      <w:szCs w:val="21"/>
                      <w:lang w:val="en-US" w:eastAsia="zh-CN"/>
                    </w:rPr>
                  </w:pPr>
                </w:p>
              </w:tc>
              <w:tc>
                <w:tcPr>
                  <w:tcW w:w="842" w:type="pct"/>
                  <w:vMerge w:val="continue"/>
                  <w:tcBorders>
                    <w:tl2br w:val="nil"/>
                    <w:tr2bl w:val="nil"/>
                  </w:tcBorders>
                  <w:noWrap w:val="0"/>
                  <w:vAlign w:val="center"/>
                </w:tcPr>
                <w:p w14:paraId="2CCD5CC0">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0" w:firstLineChars="200"/>
                    <w:jc w:val="center"/>
                    <w:textAlignment w:val="auto"/>
                    <w:outlineLvl w:val="9"/>
                    <w:rPr>
                      <w:rFonts w:hint="default" w:ascii="Times New Roman" w:hAnsi="Times New Roman" w:cs="Times New Roman"/>
                      <w:color w:val="auto"/>
                      <w:sz w:val="21"/>
                      <w:szCs w:val="21"/>
                      <w:lang w:val="en-US" w:eastAsia="zh-CN"/>
                    </w:rPr>
                  </w:pPr>
                </w:p>
              </w:tc>
              <w:tc>
                <w:tcPr>
                  <w:tcW w:w="1064" w:type="pct"/>
                  <w:tcBorders>
                    <w:tl2br w:val="nil"/>
                    <w:tr2bl w:val="nil"/>
                  </w:tcBorders>
                  <w:noWrap w:val="0"/>
                  <w:vAlign w:val="center"/>
                </w:tcPr>
                <w:p w14:paraId="34C00D28">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第二次</w:t>
                  </w:r>
                </w:p>
              </w:tc>
              <w:tc>
                <w:tcPr>
                  <w:tcW w:w="2045" w:type="pct"/>
                  <w:tcBorders>
                    <w:tl2br w:val="nil"/>
                    <w:tr2bl w:val="nil"/>
                  </w:tcBorders>
                  <w:noWrap w:val="0"/>
                  <w:vAlign w:val="center"/>
                </w:tcPr>
                <w:p w14:paraId="467E1A8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0.83</w:t>
                  </w:r>
                </w:p>
              </w:tc>
            </w:tr>
            <w:tr w14:paraId="0BA427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Merge w:val="continue"/>
                  <w:tcBorders>
                    <w:tl2br w:val="nil"/>
                    <w:tr2bl w:val="nil"/>
                  </w:tcBorders>
                  <w:noWrap w:val="0"/>
                  <w:vAlign w:val="center"/>
                </w:tcPr>
                <w:p w14:paraId="14E7D85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0" w:firstLineChars="200"/>
                    <w:jc w:val="center"/>
                    <w:textAlignment w:val="auto"/>
                    <w:outlineLvl w:val="9"/>
                    <w:rPr>
                      <w:rFonts w:hint="default" w:ascii="Times New Roman" w:hAnsi="Times New Roman" w:cs="Times New Roman"/>
                      <w:color w:val="auto"/>
                      <w:sz w:val="21"/>
                      <w:szCs w:val="21"/>
                      <w:lang w:val="en-US" w:eastAsia="zh-CN"/>
                    </w:rPr>
                  </w:pPr>
                </w:p>
              </w:tc>
              <w:tc>
                <w:tcPr>
                  <w:tcW w:w="842" w:type="pct"/>
                  <w:vMerge w:val="continue"/>
                  <w:tcBorders>
                    <w:tl2br w:val="nil"/>
                    <w:tr2bl w:val="nil"/>
                  </w:tcBorders>
                  <w:noWrap w:val="0"/>
                  <w:vAlign w:val="center"/>
                </w:tcPr>
                <w:p w14:paraId="1397FEE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0" w:firstLineChars="200"/>
                    <w:jc w:val="center"/>
                    <w:textAlignment w:val="auto"/>
                    <w:outlineLvl w:val="9"/>
                    <w:rPr>
                      <w:rFonts w:hint="default" w:ascii="Times New Roman" w:hAnsi="Times New Roman" w:cs="Times New Roman"/>
                      <w:color w:val="auto"/>
                      <w:sz w:val="21"/>
                      <w:szCs w:val="21"/>
                      <w:lang w:val="en-US" w:eastAsia="zh-CN"/>
                    </w:rPr>
                  </w:pPr>
                </w:p>
              </w:tc>
              <w:tc>
                <w:tcPr>
                  <w:tcW w:w="1064" w:type="pct"/>
                  <w:tcBorders>
                    <w:tl2br w:val="nil"/>
                    <w:tr2bl w:val="nil"/>
                  </w:tcBorders>
                  <w:noWrap w:val="0"/>
                  <w:vAlign w:val="center"/>
                </w:tcPr>
                <w:p w14:paraId="22CF4FA7">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第三次</w:t>
                  </w:r>
                </w:p>
              </w:tc>
              <w:tc>
                <w:tcPr>
                  <w:tcW w:w="2045" w:type="pct"/>
                  <w:tcBorders>
                    <w:tl2br w:val="nil"/>
                    <w:tr2bl w:val="nil"/>
                  </w:tcBorders>
                  <w:noWrap w:val="0"/>
                  <w:vAlign w:val="center"/>
                </w:tcPr>
                <w:p w14:paraId="3B086C26">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0.82</w:t>
                  </w:r>
                </w:p>
              </w:tc>
            </w:tr>
            <w:tr w14:paraId="769111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Merge w:val="continue"/>
                  <w:tcBorders>
                    <w:tl2br w:val="nil"/>
                    <w:tr2bl w:val="nil"/>
                  </w:tcBorders>
                  <w:noWrap w:val="0"/>
                  <w:vAlign w:val="center"/>
                </w:tcPr>
                <w:p w14:paraId="2DFC6E12">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842" w:type="pct"/>
                  <w:vMerge w:val="restart"/>
                  <w:tcBorders>
                    <w:tl2br w:val="nil"/>
                    <w:tr2bl w:val="nil"/>
                  </w:tcBorders>
                  <w:noWrap w:val="0"/>
                  <w:vAlign w:val="center"/>
                </w:tcPr>
                <w:p w14:paraId="7AFA6C0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下风向Ο4#</w:t>
                  </w:r>
                </w:p>
              </w:tc>
              <w:tc>
                <w:tcPr>
                  <w:tcW w:w="1064" w:type="pct"/>
                  <w:tcBorders>
                    <w:tl2br w:val="nil"/>
                    <w:tr2bl w:val="nil"/>
                  </w:tcBorders>
                  <w:noWrap w:val="0"/>
                  <w:vAlign w:val="center"/>
                </w:tcPr>
                <w:p w14:paraId="09C8D86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第一次</w:t>
                  </w:r>
                </w:p>
              </w:tc>
              <w:tc>
                <w:tcPr>
                  <w:tcW w:w="2045" w:type="pct"/>
                  <w:tcBorders>
                    <w:tl2br w:val="nil"/>
                    <w:tr2bl w:val="nil"/>
                  </w:tcBorders>
                  <w:noWrap w:val="0"/>
                  <w:vAlign w:val="center"/>
                </w:tcPr>
                <w:p w14:paraId="78014CD0">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0.84</w:t>
                  </w:r>
                </w:p>
              </w:tc>
            </w:tr>
            <w:tr w14:paraId="44F1A2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Merge w:val="continue"/>
                  <w:tcBorders>
                    <w:tl2br w:val="nil"/>
                    <w:tr2bl w:val="nil"/>
                  </w:tcBorders>
                  <w:noWrap w:val="0"/>
                  <w:vAlign w:val="center"/>
                </w:tcPr>
                <w:p w14:paraId="44C1E90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0" w:firstLineChars="200"/>
                    <w:jc w:val="center"/>
                    <w:textAlignment w:val="auto"/>
                    <w:outlineLvl w:val="9"/>
                    <w:rPr>
                      <w:rFonts w:hint="default" w:ascii="Times New Roman" w:hAnsi="Times New Roman" w:cs="Times New Roman"/>
                      <w:color w:val="auto"/>
                      <w:sz w:val="21"/>
                      <w:szCs w:val="21"/>
                      <w:lang w:val="en-US" w:eastAsia="zh-CN"/>
                    </w:rPr>
                  </w:pPr>
                </w:p>
              </w:tc>
              <w:tc>
                <w:tcPr>
                  <w:tcW w:w="842" w:type="pct"/>
                  <w:vMerge w:val="continue"/>
                  <w:tcBorders>
                    <w:tl2br w:val="nil"/>
                    <w:tr2bl w:val="nil"/>
                  </w:tcBorders>
                  <w:noWrap w:val="0"/>
                  <w:vAlign w:val="center"/>
                </w:tcPr>
                <w:p w14:paraId="6302A50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0" w:firstLineChars="200"/>
                    <w:jc w:val="center"/>
                    <w:textAlignment w:val="auto"/>
                    <w:outlineLvl w:val="9"/>
                    <w:rPr>
                      <w:rFonts w:hint="default" w:ascii="Times New Roman" w:hAnsi="Times New Roman" w:cs="Times New Roman"/>
                      <w:color w:val="auto"/>
                      <w:sz w:val="21"/>
                      <w:szCs w:val="21"/>
                      <w:lang w:val="en-US" w:eastAsia="zh-CN"/>
                    </w:rPr>
                  </w:pPr>
                </w:p>
              </w:tc>
              <w:tc>
                <w:tcPr>
                  <w:tcW w:w="1064" w:type="pct"/>
                  <w:tcBorders>
                    <w:tl2br w:val="nil"/>
                    <w:tr2bl w:val="nil"/>
                  </w:tcBorders>
                  <w:noWrap w:val="0"/>
                  <w:vAlign w:val="center"/>
                </w:tcPr>
                <w:p w14:paraId="7B0191B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第二次</w:t>
                  </w:r>
                </w:p>
              </w:tc>
              <w:tc>
                <w:tcPr>
                  <w:tcW w:w="2045" w:type="pct"/>
                  <w:tcBorders>
                    <w:tl2br w:val="nil"/>
                    <w:tr2bl w:val="nil"/>
                  </w:tcBorders>
                  <w:noWrap w:val="0"/>
                  <w:vAlign w:val="center"/>
                </w:tcPr>
                <w:p w14:paraId="69AFBB1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0.79</w:t>
                  </w:r>
                </w:p>
              </w:tc>
            </w:tr>
            <w:tr w14:paraId="63D62C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Merge w:val="continue"/>
                  <w:tcBorders>
                    <w:tl2br w:val="nil"/>
                    <w:tr2bl w:val="nil"/>
                  </w:tcBorders>
                  <w:noWrap w:val="0"/>
                  <w:vAlign w:val="center"/>
                </w:tcPr>
                <w:p w14:paraId="0A625D2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0" w:firstLineChars="200"/>
                    <w:jc w:val="center"/>
                    <w:textAlignment w:val="auto"/>
                    <w:outlineLvl w:val="9"/>
                    <w:rPr>
                      <w:rFonts w:hint="default" w:ascii="Times New Roman" w:hAnsi="Times New Roman" w:cs="Times New Roman"/>
                      <w:color w:val="auto"/>
                      <w:sz w:val="21"/>
                      <w:szCs w:val="21"/>
                      <w:lang w:val="en-US" w:eastAsia="zh-CN"/>
                    </w:rPr>
                  </w:pPr>
                </w:p>
              </w:tc>
              <w:tc>
                <w:tcPr>
                  <w:tcW w:w="842" w:type="pct"/>
                  <w:vMerge w:val="continue"/>
                  <w:tcBorders>
                    <w:tl2br w:val="nil"/>
                    <w:tr2bl w:val="nil"/>
                  </w:tcBorders>
                  <w:noWrap w:val="0"/>
                  <w:vAlign w:val="center"/>
                </w:tcPr>
                <w:p w14:paraId="0872EA00">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0" w:firstLineChars="200"/>
                    <w:jc w:val="center"/>
                    <w:textAlignment w:val="auto"/>
                    <w:outlineLvl w:val="9"/>
                    <w:rPr>
                      <w:rFonts w:hint="default" w:ascii="Times New Roman" w:hAnsi="Times New Roman" w:cs="Times New Roman"/>
                      <w:color w:val="auto"/>
                      <w:sz w:val="21"/>
                      <w:szCs w:val="21"/>
                      <w:lang w:val="en-US" w:eastAsia="zh-CN"/>
                    </w:rPr>
                  </w:pPr>
                </w:p>
              </w:tc>
              <w:tc>
                <w:tcPr>
                  <w:tcW w:w="1064" w:type="pct"/>
                  <w:tcBorders>
                    <w:tl2br w:val="nil"/>
                    <w:tr2bl w:val="nil"/>
                  </w:tcBorders>
                  <w:noWrap w:val="0"/>
                  <w:vAlign w:val="center"/>
                </w:tcPr>
                <w:p w14:paraId="31BA465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第三次</w:t>
                  </w:r>
                </w:p>
              </w:tc>
              <w:tc>
                <w:tcPr>
                  <w:tcW w:w="2045" w:type="pct"/>
                  <w:tcBorders>
                    <w:tl2br w:val="nil"/>
                    <w:tr2bl w:val="nil"/>
                  </w:tcBorders>
                  <w:noWrap w:val="0"/>
                  <w:vAlign w:val="center"/>
                </w:tcPr>
                <w:p w14:paraId="00BD894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0.78</w:t>
                  </w:r>
                </w:p>
              </w:tc>
            </w:tr>
            <w:tr w14:paraId="71BFFF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4" w:type="pct"/>
                  <w:gridSpan w:val="3"/>
                  <w:tcBorders>
                    <w:tl2br w:val="nil"/>
                    <w:tr2bl w:val="nil"/>
                  </w:tcBorders>
                  <w:noWrap w:val="0"/>
                  <w:vAlign w:val="center"/>
                </w:tcPr>
                <w:p w14:paraId="7F77574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监控点浓度最大值</w:t>
                  </w:r>
                </w:p>
              </w:tc>
              <w:tc>
                <w:tcPr>
                  <w:tcW w:w="2045" w:type="pct"/>
                  <w:tcBorders>
                    <w:tl2br w:val="nil"/>
                    <w:tr2bl w:val="nil"/>
                  </w:tcBorders>
                  <w:noWrap w:val="0"/>
                  <w:vAlign w:val="center"/>
                </w:tcPr>
                <w:p w14:paraId="6C3F4CB2">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0.90</w:t>
                  </w:r>
                </w:p>
              </w:tc>
            </w:tr>
            <w:tr w14:paraId="44837D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4" w:type="pct"/>
                  <w:gridSpan w:val="3"/>
                  <w:tcBorders>
                    <w:tl2br w:val="nil"/>
                    <w:tr2bl w:val="nil"/>
                  </w:tcBorders>
                  <w:noWrap w:val="0"/>
                  <w:vAlign w:val="center"/>
                </w:tcPr>
                <w:p w14:paraId="691FD726">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评价标准</w:t>
                  </w:r>
                </w:p>
              </w:tc>
              <w:tc>
                <w:tcPr>
                  <w:tcW w:w="2045" w:type="pct"/>
                  <w:tcBorders>
                    <w:tl2br w:val="nil"/>
                    <w:tr2bl w:val="nil"/>
                  </w:tcBorders>
                  <w:noWrap w:val="0"/>
                  <w:vAlign w:val="center"/>
                </w:tcPr>
                <w:p w14:paraId="494E445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r>
            <w:tr w14:paraId="131208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4" w:type="pct"/>
                  <w:gridSpan w:val="3"/>
                  <w:tcBorders>
                    <w:tl2br w:val="nil"/>
                    <w:tr2bl w:val="nil"/>
                  </w:tcBorders>
                  <w:noWrap w:val="0"/>
                  <w:vAlign w:val="center"/>
                </w:tcPr>
                <w:p w14:paraId="004BC23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评价结果</w:t>
                  </w:r>
                </w:p>
              </w:tc>
              <w:tc>
                <w:tcPr>
                  <w:tcW w:w="2045" w:type="pct"/>
                  <w:tcBorders>
                    <w:tl2br w:val="nil"/>
                    <w:tr2bl w:val="nil"/>
                  </w:tcBorders>
                  <w:noWrap w:val="0"/>
                  <w:vAlign w:val="center"/>
                </w:tcPr>
                <w:p w14:paraId="6C01CAD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bl>
          <w:p w14:paraId="4005C91F">
            <w:pPr>
              <w:pStyle w:val="2"/>
              <w:keepNext w:val="0"/>
              <w:keepLines w:val="0"/>
              <w:pageBreakBefore w:val="0"/>
              <w:widowControl/>
              <w:kinsoku/>
              <w:wordWrap/>
              <w:overflowPunct/>
              <w:topLinePunct w:val="0"/>
              <w:autoSpaceDE/>
              <w:autoSpaceDN/>
              <w:bidi w:val="0"/>
              <w:adjustRightInd w:val="0"/>
              <w:snapToGrid w:val="0"/>
              <w:spacing w:before="0" w:after="0" w:line="500" w:lineRule="exact"/>
              <w:ind w:right="0"/>
              <w:jc w:val="center"/>
              <w:textAlignment w:val="auto"/>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表2-1</w:t>
            </w:r>
            <w:r>
              <w:rPr>
                <w:rFonts w:hint="eastAsia" w:cs="Times New Roman"/>
                <w:b/>
                <w:bCs/>
                <w:color w:val="auto"/>
                <w:sz w:val="21"/>
                <w:szCs w:val="21"/>
                <w:highlight w:val="none"/>
                <w:lang w:val="en-US" w:eastAsia="zh-CN"/>
              </w:rPr>
              <w:t>2</w:t>
            </w:r>
            <w:r>
              <w:rPr>
                <w:rFonts w:hint="eastAsia" w:ascii="Times New Roman" w:hAnsi="Times New Roman" w:eastAsia="宋体" w:cs="Times New Roman"/>
                <w:b/>
                <w:bCs/>
                <w:color w:val="auto"/>
                <w:sz w:val="21"/>
                <w:szCs w:val="21"/>
                <w:highlight w:val="none"/>
              </w:rPr>
              <w:t xml:space="preserve"> </w:t>
            </w:r>
            <w:r>
              <w:rPr>
                <w:rFonts w:hint="eastAsia" w:ascii="Times New Roman" w:hAnsi="Times New Roman" w:eastAsia="宋体" w:cs="Times New Roman"/>
                <w:b/>
                <w:bCs/>
                <w:color w:val="auto"/>
                <w:sz w:val="21"/>
                <w:szCs w:val="21"/>
                <w:highlight w:val="none"/>
                <w:lang w:val="en-US" w:eastAsia="zh-CN"/>
              </w:rPr>
              <w:t>厂区内</w:t>
            </w:r>
            <w:r>
              <w:rPr>
                <w:rFonts w:hint="eastAsia" w:ascii="Times New Roman" w:hAnsi="Times New Roman" w:eastAsia="宋体" w:cs="Times New Roman"/>
                <w:b/>
                <w:bCs/>
                <w:color w:val="auto"/>
                <w:sz w:val="21"/>
                <w:szCs w:val="21"/>
                <w:highlight w:val="none"/>
              </w:rPr>
              <w:t>无组织废气监测结果与评价</w:t>
            </w:r>
          </w:p>
          <w:tbl>
            <w:tblPr>
              <w:tblStyle w:val="31"/>
              <w:tblpPr w:leftFromText="180" w:rightFromText="180" w:vertAnchor="text" w:tblpXSpec="center" w:tblpY="1"/>
              <w:tblOverlap w:val="never"/>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43"/>
              <w:gridCol w:w="930"/>
              <w:gridCol w:w="911"/>
              <w:gridCol w:w="1463"/>
              <w:gridCol w:w="4009"/>
            </w:tblGrid>
            <w:tr w14:paraId="1C4340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776" w:type="pct"/>
                  <w:noWrap w:val="0"/>
                  <w:vAlign w:val="center"/>
                </w:tcPr>
                <w:p w14:paraId="1FCF58EE">
                  <w:pPr>
                    <w:spacing w:after="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采样日期</w:t>
                  </w:r>
                </w:p>
              </w:tc>
              <w:tc>
                <w:tcPr>
                  <w:tcW w:w="537" w:type="pct"/>
                  <w:vMerge w:val="restart"/>
                  <w:noWrap w:val="0"/>
                  <w:vAlign w:val="center"/>
                </w:tcPr>
                <w:p w14:paraId="7D3AF581">
                  <w:pPr>
                    <w:spacing w:after="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检测项目</w:t>
                  </w:r>
                </w:p>
              </w:tc>
              <w:tc>
                <w:tcPr>
                  <w:tcW w:w="526" w:type="pct"/>
                  <w:vMerge w:val="restart"/>
                  <w:noWrap w:val="0"/>
                  <w:vAlign w:val="center"/>
                </w:tcPr>
                <w:p w14:paraId="4C8A32C4">
                  <w:pPr>
                    <w:spacing w:after="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单位</w:t>
                  </w:r>
                </w:p>
              </w:tc>
              <w:tc>
                <w:tcPr>
                  <w:tcW w:w="844" w:type="pct"/>
                  <w:vMerge w:val="restart"/>
                  <w:noWrap w:val="0"/>
                  <w:vAlign w:val="center"/>
                </w:tcPr>
                <w:p w14:paraId="788E29F5">
                  <w:pPr>
                    <w:spacing w:after="0"/>
                    <w:jc w:val="center"/>
                    <w:rPr>
                      <w:rFonts w:hint="eastAsia"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监测点位</w:t>
                  </w:r>
                </w:p>
              </w:tc>
              <w:tc>
                <w:tcPr>
                  <w:tcW w:w="2315" w:type="pct"/>
                  <w:noWrap w:val="0"/>
                  <w:vAlign w:val="center"/>
                </w:tcPr>
                <w:p w14:paraId="323C330B">
                  <w:pPr>
                    <w:spacing w:after="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检测结果</w:t>
                  </w:r>
                </w:p>
              </w:tc>
            </w:tr>
            <w:tr w14:paraId="2CEFCA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39" w:type="dxa"/>
                  <w:noWrap w:val="0"/>
                  <w:vAlign w:val="center"/>
                </w:tcPr>
                <w:p w14:paraId="10CC90FE">
                  <w:pPr>
                    <w:pStyle w:val="119"/>
                    <w:bidi w:val="0"/>
                    <w:ind w:firstLine="0" w:firstLineChars="0"/>
                    <w:rPr>
                      <w:rFonts w:hint="default" w:ascii="Times New Roman" w:hAnsi="Times New Roman" w:eastAsia="宋体"/>
                      <w:b w:val="0"/>
                      <w:bCs w:val="0"/>
                      <w:color w:val="auto"/>
                      <w:sz w:val="21"/>
                      <w:szCs w:val="21"/>
                      <w:highlight w:val="none"/>
                      <w:lang w:val="en-US" w:eastAsia="zh-CN"/>
                    </w:rPr>
                  </w:pPr>
                  <w:r>
                    <w:rPr>
                      <w:rFonts w:hint="default" w:ascii="Times New Roman" w:hAnsi="Times New Roman" w:cs="Times New Roman"/>
                      <w:color w:val="auto"/>
                      <w:sz w:val="21"/>
                      <w:szCs w:val="21"/>
                      <w:lang w:val="en-US" w:eastAsia="zh-CN"/>
                    </w:rPr>
                    <w:t>2022</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11</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17</w:t>
                  </w:r>
                </w:p>
              </w:tc>
              <w:tc>
                <w:tcPr>
                  <w:tcW w:w="537" w:type="pct"/>
                  <w:vMerge w:val="restart"/>
                  <w:noWrap w:val="0"/>
                  <w:vAlign w:val="center"/>
                </w:tcPr>
                <w:p w14:paraId="3EFA621A">
                  <w:pPr>
                    <w:spacing w:after="0"/>
                    <w:jc w:val="center"/>
                    <w:rPr>
                      <w:rFonts w:ascii="Times New Roman" w:hAnsi="Times New Roman" w:eastAsia="宋体"/>
                      <w:b w:val="0"/>
                      <w:bCs w:val="0"/>
                      <w:color w:val="auto"/>
                      <w:sz w:val="21"/>
                      <w:szCs w:val="21"/>
                      <w:highlight w:val="none"/>
                    </w:rPr>
                  </w:pPr>
                  <w:r>
                    <w:rPr>
                      <w:rFonts w:hint="eastAsia" w:ascii="Times New Roman" w:hAnsi="Times New Roman" w:eastAsia="宋体"/>
                      <w:b w:val="0"/>
                      <w:bCs w:val="0"/>
                      <w:color w:val="auto"/>
                      <w:sz w:val="21"/>
                      <w:szCs w:val="21"/>
                      <w:highlight w:val="none"/>
                    </w:rPr>
                    <w:t>非甲烷总烃</w:t>
                  </w:r>
                </w:p>
              </w:tc>
              <w:tc>
                <w:tcPr>
                  <w:tcW w:w="526" w:type="pct"/>
                  <w:vMerge w:val="restart"/>
                  <w:noWrap w:val="0"/>
                  <w:vAlign w:val="center"/>
                </w:tcPr>
                <w:p w14:paraId="7EB29173">
                  <w:pPr>
                    <w:spacing w:after="0"/>
                    <w:jc w:val="center"/>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mg/m</w:t>
                  </w:r>
                  <w:r>
                    <w:rPr>
                      <w:rFonts w:ascii="Times New Roman" w:hAnsi="Times New Roman" w:eastAsia="宋体"/>
                      <w:b w:val="0"/>
                      <w:bCs w:val="0"/>
                      <w:color w:val="auto"/>
                      <w:sz w:val="21"/>
                      <w:szCs w:val="21"/>
                      <w:highlight w:val="none"/>
                      <w:vertAlign w:val="superscript"/>
                    </w:rPr>
                    <w:t>3</w:t>
                  </w:r>
                </w:p>
              </w:tc>
              <w:tc>
                <w:tcPr>
                  <w:tcW w:w="844" w:type="pct"/>
                  <w:vMerge w:val="restart"/>
                  <w:noWrap w:val="0"/>
                  <w:vAlign w:val="center"/>
                </w:tcPr>
                <w:p w14:paraId="58AA80A3">
                  <w:pPr>
                    <w:spacing w:after="0"/>
                    <w:jc w:val="center"/>
                    <w:rPr>
                      <w:rFonts w:hint="default" w:ascii="Times New Roman" w:hAnsi="Times New Roman" w:eastAsia="宋体"/>
                      <w:b w:val="0"/>
                      <w:bCs w:val="0"/>
                      <w:color w:val="auto"/>
                      <w:sz w:val="21"/>
                      <w:szCs w:val="21"/>
                      <w:highlight w:val="none"/>
                      <w:lang w:val="en-US" w:eastAsia="zh-CN"/>
                    </w:rPr>
                  </w:pPr>
                  <w:r>
                    <w:rPr>
                      <w:rFonts w:hint="default" w:ascii="Times New Roman" w:hAnsi="Times New Roman" w:cs="Times New Roman"/>
                      <w:color w:val="auto"/>
                      <w:sz w:val="21"/>
                      <w:szCs w:val="21"/>
                      <w:lang w:val="en-US" w:eastAsia="zh-CN"/>
                    </w:rPr>
                    <w:t>车间外1m处Ο5#</w:t>
                  </w:r>
                </w:p>
              </w:tc>
              <w:tc>
                <w:tcPr>
                  <w:tcW w:w="2315" w:type="pct"/>
                  <w:noWrap w:val="0"/>
                  <w:vAlign w:val="center"/>
                </w:tcPr>
                <w:p w14:paraId="6078BE13">
                  <w:pPr>
                    <w:spacing w:after="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lang w:val="en-US" w:eastAsia="zh-CN"/>
                    </w:rPr>
                    <w:t>0.92</w:t>
                  </w:r>
                </w:p>
              </w:tc>
            </w:tr>
            <w:tr w14:paraId="4046D9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39" w:type="dxa"/>
                  <w:noWrap w:val="0"/>
                  <w:vAlign w:val="center"/>
                </w:tcPr>
                <w:p w14:paraId="68FDCC76">
                  <w:pPr>
                    <w:pStyle w:val="119"/>
                    <w:bidi w:val="0"/>
                    <w:ind w:firstLine="0" w:firstLineChars="0"/>
                    <w:rPr>
                      <w:rFonts w:hint="default" w:ascii="Times New Roman" w:hAnsi="Times New Roman" w:eastAsia="宋体"/>
                      <w:b w:val="0"/>
                      <w:bCs w:val="0"/>
                      <w:color w:val="auto"/>
                      <w:sz w:val="21"/>
                      <w:szCs w:val="21"/>
                      <w:highlight w:val="none"/>
                      <w:lang w:val="en-US" w:eastAsia="zh-CN"/>
                    </w:rPr>
                  </w:pPr>
                  <w:r>
                    <w:rPr>
                      <w:rFonts w:hint="default" w:ascii="Times New Roman" w:hAnsi="Times New Roman" w:cs="Times New Roman"/>
                      <w:color w:val="auto"/>
                      <w:sz w:val="21"/>
                      <w:szCs w:val="21"/>
                      <w:lang w:val="en-US" w:eastAsia="zh-CN"/>
                    </w:rPr>
                    <w:t>2022</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11</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18</w:t>
                  </w:r>
                </w:p>
              </w:tc>
              <w:tc>
                <w:tcPr>
                  <w:tcW w:w="537" w:type="pct"/>
                  <w:vMerge w:val="continue"/>
                  <w:noWrap w:val="0"/>
                  <w:vAlign w:val="center"/>
                </w:tcPr>
                <w:p w14:paraId="7E587B1A">
                  <w:pPr>
                    <w:spacing w:after="0"/>
                    <w:jc w:val="center"/>
                    <w:rPr>
                      <w:rFonts w:hint="eastAsia" w:ascii="Times New Roman" w:hAnsi="Times New Roman" w:eastAsia="宋体"/>
                      <w:b w:val="0"/>
                      <w:bCs w:val="0"/>
                      <w:color w:val="auto"/>
                      <w:sz w:val="21"/>
                      <w:szCs w:val="21"/>
                      <w:highlight w:val="none"/>
                    </w:rPr>
                  </w:pPr>
                </w:p>
              </w:tc>
              <w:tc>
                <w:tcPr>
                  <w:tcW w:w="526" w:type="pct"/>
                  <w:vMerge w:val="continue"/>
                  <w:noWrap w:val="0"/>
                  <w:vAlign w:val="center"/>
                </w:tcPr>
                <w:p w14:paraId="336B3C5C">
                  <w:pPr>
                    <w:spacing w:after="0"/>
                    <w:jc w:val="center"/>
                    <w:rPr>
                      <w:rFonts w:ascii="Times New Roman" w:hAnsi="Times New Roman" w:eastAsia="宋体"/>
                      <w:b w:val="0"/>
                      <w:bCs w:val="0"/>
                      <w:color w:val="auto"/>
                      <w:sz w:val="21"/>
                      <w:szCs w:val="21"/>
                      <w:highlight w:val="none"/>
                    </w:rPr>
                  </w:pPr>
                </w:p>
              </w:tc>
              <w:tc>
                <w:tcPr>
                  <w:tcW w:w="844" w:type="pct"/>
                  <w:vMerge w:val="continue"/>
                  <w:noWrap w:val="0"/>
                  <w:vAlign w:val="center"/>
                </w:tcPr>
                <w:p w14:paraId="2E7E6077">
                  <w:pPr>
                    <w:spacing w:after="0"/>
                    <w:jc w:val="center"/>
                    <w:rPr>
                      <w:rFonts w:hint="eastAsia" w:ascii="Times New Roman" w:hAnsi="Times New Roman" w:eastAsia="宋体"/>
                      <w:b w:val="0"/>
                      <w:bCs w:val="0"/>
                      <w:color w:val="auto"/>
                      <w:sz w:val="21"/>
                      <w:szCs w:val="21"/>
                      <w:highlight w:val="none"/>
                    </w:rPr>
                  </w:pPr>
                </w:p>
              </w:tc>
              <w:tc>
                <w:tcPr>
                  <w:tcW w:w="2315" w:type="pct"/>
                  <w:noWrap w:val="0"/>
                  <w:vAlign w:val="center"/>
                </w:tcPr>
                <w:p w14:paraId="7DDA6C19">
                  <w:pPr>
                    <w:spacing w:after="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lang w:val="en-US" w:eastAsia="zh-CN"/>
                    </w:rPr>
                    <w:t>1.08</w:t>
                  </w:r>
                </w:p>
              </w:tc>
            </w:tr>
            <w:tr w14:paraId="1980B2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4" w:type="pct"/>
                  <w:gridSpan w:val="4"/>
                  <w:noWrap w:val="0"/>
                  <w:vAlign w:val="center"/>
                </w:tcPr>
                <w:p w14:paraId="5F411079">
                  <w:pPr>
                    <w:spacing w:after="0"/>
                    <w:jc w:val="center"/>
                    <w:rPr>
                      <w:rFonts w:hint="eastAsia" w:ascii="Times New Roman" w:hAnsi="Times New Roman" w:eastAsia="宋体"/>
                      <w:b w:val="0"/>
                      <w:bCs w:val="0"/>
                      <w:color w:val="auto"/>
                      <w:sz w:val="21"/>
                      <w:szCs w:val="21"/>
                      <w:highlight w:val="none"/>
                    </w:rPr>
                  </w:pPr>
                  <w:r>
                    <w:rPr>
                      <w:rFonts w:hint="eastAsia" w:ascii="Times New Roman" w:hAnsi="Times New Roman" w:eastAsia="宋体"/>
                      <w:color w:val="auto"/>
                      <w:sz w:val="21"/>
                      <w:szCs w:val="21"/>
                      <w:highlight w:val="none"/>
                    </w:rPr>
                    <w:t>《大气污染物综合排放标准》（DB 32/4041-2021）</w:t>
                  </w:r>
                </w:p>
              </w:tc>
              <w:tc>
                <w:tcPr>
                  <w:tcW w:w="2315" w:type="pct"/>
                  <w:noWrap w:val="0"/>
                  <w:vAlign w:val="center"/>
                </w:tcPr>
                <w:p w14:paraId="152ABBA1">
                  <w:pPr>
                    <w:spacing w:after="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6</w:t>
                  </w:r>
                </w:p>
              </w:tc>
            </w:tr>
            <w:tr w14:paraId="3809CE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4" w:type="pct"/>
                  <w:gridSpan w:val="4"/>
                  <w:noWrap w:val="0"/>
                  <w:vAlign w:val="center"/>
                </w:tcPr>
                <w:p w14:paraId="6862504A">
                  <w:pPr>
                    <w:spacing w:after="0"/>
                    <w:jc w:val="center"/>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达标情况</w:t>
                  </w:r>
                </w:p>
              </w:tc>
              <w:tc>
                <w:tcPr>
                  <w:tcW w:w="2315" w:type="pct"/>
                  <w:noWrap w:val="0"/>
                  <w:vAlign w:val="center"/>
                </w:tcPr>
                <w:p w14:paraId="3FDAB4D9">
                  <w:pPr>
                    <w:spacing w:after="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达标</w:t>
                  </w:r>
                </w:p>
              </w:tc>
            </w:tr>
          </w:tbl>
          <w:p w14:paraId="786B047A">
            <w:pPr>
              <w:pStyle w:val="2"/>
              <w:keepNext w:val="0"/>
              <w:keepLines w:val="0"/>
              <w:pageBreakBefore w:val="0"/>
              <w:widowControl/>
              <w:kinsoku/>
              <w:wordWrap/>
              <w:overflowPunct/>
              <w:topLinePunct w:val="0"/>
              <w:autoSpaceDE/>
              <w:autoSpaceDN/>
              <w:bidi w:val="0"/>
              <w:adjustRightInd w:val="0"/>
              <w:snapToGrid w:val="0"/>
              <w:spacing w:before="0" w:after="0" w:line="500" w:lineRule="exact"/>
              <w:ind w:right="0" w:firstLine="420" w:firstLineChars="20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rPr>
              <w:t>监测结果表明，</w:t>
            </w:r>
            <w:r>
              <w:rPr>
                <w:rFonts w:hint="default" w:ascii="Times New Roman" w:hAnsi="Times New Roman" w:eastAsia="宋体" w:cs="Times New Roman"/>
                <w:bCs/>
                <w:color w:val="auto"/>
                <w:sz w:val="21"/>
                <w:szCs w:val="21"/>
                <w:highlight w:val="none"/>
              </w:rPr>
              <w:t>本项目</w:t>
            </w:r>
            <w:r>
              <w:rPr>
                <w:rFonts w:hint="eastAsia" w:ascii="Times New Roman" w:hAnsi="Times New Roman" w:eastAsia="宋体" w:cs="Times New Roman"/>
                <w:bCs/>
                <w:color w:val="auto"/>
                <w:sz w:val="21"/>
                <w:szCs w:val="21"/>
                <w:highlight w:val="none"/>
                <w:lang w:val="en-US" w:eastAsia="zh-CN"/>
              </w:rPr>
              <w:t>非甲烷总烃</w:t>
            </w:r>
            <w:r>
              <w:rPr>
                <w:rFonts w:hint="default" w:ascii="Times New Roman" w:hAnsi="Times New Roman" w:eastAsia="宋体" w:cs="Times New Roman"/>
                <w:bCs/>
                <w:color w:val="auto"/>
                <w:sz w:val="21"/>
                <w:szCs w:val="21"/>
                <w:highlight w:val="none"/>
              </w:rPr>
              <w:t>废气</w:t>
            </w:r>
            <w:r>
              <w:rPr>
                <w:rFonts w:hint="default" w:ascii="Times New Roman" w:hAnsi="Times New Roman" w:eastAsia="宋体" w:cs="Times New Roman"/>
                <w:bCs/>
                <w:color w:val="auto"/>
                <w:sz w:val="21"/>
                <w:szCs w:val="21"/>
                <w:highlight w:val="none"/>
                <w:lang w:val="en-US" w:eastAsia="zh-CN"/>
              </w:rPr>
              <w:t>有组织排放浓度满足</w:t>
            </w:r>
            <w:r>
              <w:rPr>
                <w:rFonts w:hint="default" w:ascii="Times New Roman" w:hAnsi="Times New Roman" w:eastAsia="宋体" w:cs="Times New Roman"/>
                <w:color w:val="auto"/>
                <w:kern w:val="2"/>
                <w:sz w:val="21"/>
                <w:szCs w:val="21"/>
                <w:lang w:val="en-US" w:eastAsia="zh-CN" w:bidi="ar-SA"/>
              </w:rPr>
              <w:t>《江苏省大气污染物综合排放标准》(DB32/4041-2021)中表1</w:t>
            </w:r>
            <w:r>
              <w:rPr>
                <w:rFonts w:hint="default" w:ascii="Times New Roman" w:hAnsi="Times New Roman" w:eastAsia="宋体" w:cs="Times New Roman"/>
                <w:bCs/>
                <w:color w:val="auto"/>
                <w:sz w:val="21"/>
                <w:szCs w:val="21"/>
                <w:highlight w:val="none"/>
              </w:rPr>
              <w:t>标准限值</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非甲烷总烃</w:t>
            </w:r>
            <w:r>
              <w:rPr>
                <w:rFonts w:hint="default" w:ascii="Times New Roman" w:hAnsi="Times New Roman" w:eastAsia="宋体" w:cs="Times New Roman"/>
                <w:bCs/>
                <w:color w:val="auto"/>
                <w:sz w:val="21"/>
                <w:szCs w:val="21"/>
                <w:highlight w:val="none"/>
              </w:rPr>
              <w:t>厂界无组织</w:t>
            </w:r>
            <w:r>
              <w:rPr>
                <w:rFonts w:hint="default" w:ascii="Times New Roman" w:hAnsi="Times New Roman" w:eastAsia="宋体" w:cs="Times New Roman"/>
                <w:bCs/>
                <w:color w:val="auto"/>
                <w:sz w:val="21"/>
                <w:szCs w:val="21"/>
                <w:highlight w:val="none"/>
                <w:lang w:val="en-US" w:eastAsia="zh-CN"/>
              </w:rPr>
              <w:t>排放满足</w:t>
            </w:r>
            <w:r>
              <w:rPr>
                <w:rFonts w:hint="default" w:ascii="Times New Roman" w:hAnsi="Times New Roman" w:eastAsia="宋体" w:cs="Times New Roman"/>
                <w:color w:val="auto"/>
                <w:kern w:val="2"/>
                <w:sz w:val="21"/>
                <w:szCs w:val="21"/>
                <w:lang w:val="en-US" w:eastAsia="zh-CN" w:bidi="ar-SA"/>
              </w:rPr>
              <w:t>《江苏省大气污染物综合排放标准</w:t>
            </w:r>
            <w:r>
              <w:rPr>
                <w:rFonts w:hint="default" w:ascii="Times New Roman" w:hAnsi="Times New Roman" w:eastAsia="宋体" w:cs="Times New Roman"/>
                <w:b w:val="0"/>
                <w:bCs w:val="0"/>
                <w:color w:val="auto"/>
                <w:kern w:val="2"/>
                <w:sz w:val="21"/>
                <w:szCs w:val="21"/>
                <w:lang w:val="en-US" w:eastAsia="zh-CN" w:bidi="ar-SA"/>
              </w:rPr>
              <w:t>》(DB32/4041-2021)中表</w:t>
            </w:r>
            <w:r>
              <w:rPr>
                <w:rFonts w:hint="eastAsia" w:ascii="Times New Roman" w:hAnsi="Times New Roman" w:eastAsia="宋体" w:cs="Times New Roman"/>
                <w:b w:val="0"/>
                <w:bCs w:val="0"/>
                <w:color w:val="auto"/>
                <w:kern w:val="2"/>
                <w:sz w:val="21"/>
                <w:szCs w:val="21"/>
                <w:lang w:val="en-US" w:eastAsia="zh-CN" w:bidi="ar-SA"/>
              </w:rPr>
              <w:t>3</w:t>
            </w:r>
            <w:r>
              <w:rPr>
                <w:rFonts w:hint="default" w:ascii="Times New Roman" w:hAnsi="Times New Roman" w:eastAsia="宋体" w:cs="Times New Roman"/>
                <w:b w:val="0"/>
                <w:bCs w:val="0"/>
                <w:color w:val="auto"/>
                <w:kern w:val="2"/>
                <w:sz w:val="21"/>
                <w:szCs w:val="21"/>
                <w:highlight w:val="none"/>
                <w:lang w:val="en-US" w:eastAsia="zh-CN"/>
              </w:rPr>
              <w:t>中</w:t>
            </w:r>
            <w:r>
              <w:rPr>
                <w:rFonts w:hint="default" w:ascii="Times New Roman" w:hAnsi="Times New Roman" w:eastAsia="宋体" w:cs="Times New Roman"/>
                <w:b w:val="0"/>
                <w:bCs w:val="0"/>
                <w:color w:val="auto"/>
                <w:sz w:val="21"/>
                <w:szCs w:val="21"/>
                <w:highlight w:val="none"/>
              </w:rPr>
              <w:t>标准限值</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非甲烷总烃厂区内无组织排放满足</w:t>
            </w:r>
            <w:r>
              <w:rPr>
                <w:rFonts w:hint="default" w:ascii="Times New Roman" w:hAnsi="Times New Roman" w:eastAsia="宋体" w:cs="Times New Roman"/>
                <w:b w:val="0"/>
                <w:bCs w:val="0"/>
                <w:color w:val="auto"/>
                <w:kern w:val="2"/>
                <w:sz w:val="21"/>
                <w:szCs w:val="21"/>
                <w:lang w:val="en-US" w:eastAsia="zh-CN" w:bidi="ar-SA"/>
              </w:rPr>
              <w:t>《江苏省大气污染物综合排放标准》(DB32/4041-2021)中表1</w:t>
            </w:r>
            <w:r>
              <w:rPr>
                <w:rFonts w:hint="default" w:ascii="Times New Roman" w:hAnsi="Times New Roman" w:eastAsia="宋体" w:cs="Times New Roman"/>
                <w:b w:val="0"/>
                <w:bCs w:val="0"/>
                <w:color w:val="auto"/>
                <w:sz w:val="21"/>
                <w:szCs w:val="21"/>
                <w:highlight w:val="none"/>
              </w:rPr>
              <w:t>表</w:t>
            </w:r>
            <w:r>
              <w:rPr>
                <w:rFonts w:hint="default" w:ascii="Times New Roman" w:hAnsi="Times New Roman" w:eastAsia="宋体"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rPr>
              <w:t>中标准限值</w:t>
            </w:r>
            <w:r>
              <w:rPr>
                <w:rFonts w:hint="default" w:ascii="Times New Roman" w:hAnsi="Times New Roman" w:eastAsia="宋体" w:cs="Times New Roman"/>
                <w:b w:val="0"/>
                <w:bCs w:val="0"/>
                <w:color w:val="auto"/>
                <w:sz w:val="21"/>
                <w:szCs w:val="21"/>
                <w:highlight w:val="none"/>
                <w:vertAlign w:val="baseline"/>
                <w:lang w:eastAsia="zh-CN"/>
              </w:rPr>
              <w:t>。</w:t>
            </w:r>
          </w:p>
          <w:p w14:paraId="1D8B4803">
            <w:pPr>
              <w:pStyle w:val="2"/>
              <w:keepNext w:val="0"/>
              <w:keepLines w:val="0"/>
              <w:pageBreakBefore w:val="0"/>
              <w:widowControl/>
              <w:kinsoku/>
              <w:wordWrap/>
              <w:overflowPunct/>
              <w:topLinePunct w:val="0"/>
              <w:autoSpaceDE/>
              <w:autoSpaceDN/>
              <w:bidi w:val="0"/>
              <w:adjustRightInd w:val="0"/>
              <w:snapToGrid w:val="0"/>
              <w:spacing w:before="0" w:after="0" w:line="500" w:lineRule="exact"/>
              <w:ind w:right="0" w:firstLine="420" w:firstLineChars="200"/>
              <w:textAlignment w:val="auto"/>
              <w:rPr>
                <w:rFonts w:hint="eastAsia" w:ascii="Times New Roman" w:hAnsi="Times New Roman" w:eastAsia="宋体"/>
                <w:b w:val="0"/>
                <w:bCs w:val="0"/>
                <w:color w:val="auto"/>
                <w:sz w:val="21"/>
                <w:szCs w:val="21"/>
                <w:highlight w:val="none"/>
              </w:rPr>
            </w:pPr>
            <w:r>
              <w:rPr>
                <w:rFonts w:hint="eastAsia" w:ascii="Times New Roman" w:hAnsi="Times New Roman" w:eastAsia="宋体"/>
                <w:b w:val="0"/>
                <w:bCs w:val="0"/>
                <w:color w:val="auto"/>
                <w:sz w:val="21"/>
                <w:szCs w:val="21"/>
                <w:highlight w:val="none"/>
              </w:rPr>
              <w:t>（2）废水</w:t>
            </w:r>
          </w:p>
          <w:p w14:paraId="7DF1FD20">
            <w:pPr>
              <w:pStyle w:val="2"/>
              <w:keepNext w:val="0"/>
              <w:keepLines w:val="0"/>
              <w:pageBreakBefore w:val="0"/>
              <w:widowControl/>
              <w:kinsoku/>
              <w:wordWrap/>
              <w:overflowPunct/>
              <w:topLinePunct w:val="0"/>
              <w:autoSpaceDE/>
              <w:autoSpaceDN/>
              <w:bidi w:val="0"/>
              <w:adjustRightInd w:val="0"/>
              <w:snapToGrid w:val="0"/>
              <w:spacing w:before="0" w:after="0" w:line="500" w:lineRule="exact"/>
              <w:ind w:right="0" w:firstLine="420" w:firstLineChars="200"/>
              <w:textAlignment w:val="auto"/>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已建</w:t>
            </w:r>
            <w:r>
              <w:rPr>
                <w:rFonts w:hint="eastAsia" w:ascii="Times New Roman" w:hAnsi="Times New Roman" w:eastAsia="宋体"/>
                <w:color w:val="auto"/>
                <w:sz w:val="21"/>
                <w:szCs w:val="21"/>
                <w:highlight w:val="none"/>
              </w:rPr>
              <w:t>项目</w:t>
            </w:r>
            <w:r>
              <w:rPr>
                <w:rFonts w:hint="eastAsia" w:ascii="Times New Roman" w:hAnsi="Times New Roman" w:eastAsia="宋体"/>
                <w:color w:val="auto"/>
                <w:sz w:val="21"/>
                <w:szCs w:val="21"/>
                <w:highlight w:val="none"/>
                <w:lang w:val="en-US" w:eastAsia="zh-CN"/>
              </w:rPr>
              <w:t>生活污水</w:t>
            </w:r>
            <w:r>
              <w:rPr>
                <w:rFonts w:hint="default" w:ascii="Times New Roman" w:hAnsi="Times New Roman" w:cs="Times New Roman" w:eastAsiaTheme="minorEastAsia"/>
                <w:color w:val="auto"/>
                <w:spacing w:val="-3"/>
                <w:sz w:val="21"/>
                <w:szCs w:val="21"/>
                <w:highlight w:val="none"/>
              </w:rPr>
              <w:t>接管排入市政污水管</w:t>
            </w:r>
            <w:r>
              <w:rPr>
                <w:rFonts w:hint="default" w:ascii="Times New Roman" w:hAnsi="Times New Roman" w:cs="Times New Roman" w:eastAsiaTheme="minorEastAsia"/>
                <w:color w:val="auto"/>
                <w:spacing w:val="-2"/>
                <w:sz w:val="21"/>
                <w:szCs w:val="21"/>
                <w:highlight w:val="none"/>
              </w:rPr>
              <w:t>网</w:t>
            </w:r>
            <w:r>
              <w:rPr>
                <w:rFonts w:hint="default" w:ascii="Times New Roman" w:hAnsi="Times New Roman" w:cs="Times New Roman" w:eastAsiaTheme="minorEastAsia"/>
                <w:color w:val="auto"/>
                <w:sz w:val="21"/>
                <w:szCs w:val="21"/>
                <w:highlight w:val="none"/>
              </w:rPr>
              <w:t>，</w:t>
            </w:r>
            <w:r>
              <w:rPr>
                <w:rFonts w:hint="default" w:ascii="Times New Roman" w:hAnsi="Times New Roman" w:cs="Times New Roman" w:eastAsiaTheme="minorEastAsia"/>
                <w:color w:val="auto"/>
                <w:spacing w:val="-4"/>
                <w:sz w:val="21"/>
                <w:szCs w:val="21"/>
                <w:highlight w:val="none"/>
              </w:rPr>
              <w:t>进</w:t>
            </w:r>
            <w:r>
              <w:rPr>
                <w:rFonts w:hint="default" w:ascii="Times New Roman" w:hAnsi="Times New Roman" w:cs="Times New Roman" w:eastAsiaTheme="minorEastAsia"/>
                <w:color w:val="auto"/>
                <w:sz w:val="21"/>
                <w:szCs w:val="21"/>
                <w:lang w:eastAsia="zh-CN"/>
              </w:rPr>
              <w:t>常州市金坛</w:t>
            </w:r>
            <w:r>
              <w:rPr>
                <w:rFonts w:hint="eastAsia" w:cs="Times New Roman" w:eastAsiaTheme="minorEastAsia"/>
                <w:color w:val="auto"/>
                <w:sz w:val="21"/>
                <w:szCs w:val="21"/>
                <w:lang w:val="en-US" w:eastAsia="zh-CN"/>
              </w:rPr>
              <w:t>溪城</w:t>
            </w:r>
            <w:r>
              <w:rPr>
                <w:rFonts w:hint="default" w:ascii="Times New Roman" w:hAnsi="Times New Roman" w:cs="Times New Roman" w:eastAsiaTheme="minorEastAsia"/>
                <w:color w:val="auto"/>
                <w:sz w:val="21"/>
                <w:szCs w:val="21"/>
                <w:lang w:eastAsia="zh-CN"/>
              </w:rPr>
              <w:t>污水处理有限公司</w:t>
            </w:r>
            <w:r>
              <w:rPr>
                <w:rFonts w:hint="default" w:ascii="Times New Roman" w:hAnsi="Times New Roman" w:cs="Times New Roman" w:eastAsiaTheme="minorEastAsia"/>
                <w:color w:val="auto"/>
                <w:spacing w:val="-2"/>
                <w:sz w:val="21"/>
                <w:szCs w:val="21"/>
                <w:highlight w:val="none"/>
              </w:rPr>
              <w:t>集中处理，尾水排</w:t>
            </w:r>
            <w:r>
              <w:rPr>
                <w:rFonts w:hint="default" w:ascii="Times New Roman" w:hAnsi="Times New Roman" w:cs="Times New Roman" w:eastAsiaTheme="minorEastAsia"/>
                <w:color w:val="auto"/>
                <w:spacing w:val="-3"/>
                <w:sz w:val="21"/>
                <w:szCs w:val="21"/>
                <w:highlight w:val="none"/>
              </w:rPr>
              <w:t>入</w:t>
            </w:r>
            <w:r>
              <w:rPr>
                <w:rFonts w:hint="default" w:ascii="Times New Roman" w:hAnsi="Times New Roman" w:cs="Times New Roman" w:eastAsiaTheme="minorEastAsia"/>
                <w:bCs/>
                <w:color w:val="auto"/>
                <w:sz w:val="21"/>
                <w:szCs w:val="21"/>
                <w:lang w:eastAsia="zh-CN"/>
              </w:rPr>
              <w:t>通济河</w:t>
            </w:r>
            <w:r>
              <w:rPr>
                <w:rFonts w:hint="eastAsia" w:ascii="Times New Roman" w:hAnsi="Times New Roman" w:cs="Times New Roman" w:eastAsiaTheme="minorEastAsia"/>
                <w:bCs/>
                <w:color w:val="auto"/>
                <w:sz w:val="21"/>
                <w:szCs w:val="21"/>
                <w:lang w:eastAsia="zh-CN"/>
              </w:rPr>
              <w:t>。</w:t>
            </w:r>
          </w:p>
          <w:p w14:paraId="797D079D">
            <w:pPr>
              <w:pStyle w:val="2"/>
              <w:keepNext w:val="0"/>
              <w:keepLines w:val="0"/>
              <w:pageBreakBefore w:val="0"/>
              <w:widowControl/>
              <w:kinsoku/>
              <w:wordWrap/>
              <w:overflowPunct/>
              <w:topLinePunct w:val="0"/>
              <w:autoSpaceDE/>
              <w:autoSpaceDN/>
              <w:bidi w:val="0"/>
              <w:adjustRightInd w:val="0"/>
              <w:snapToGrid w:val="0"/>
              <w:spacing w:before="0" w:after="0" w:line="500" w:lineRule="exact"/>
              <w:ind w:right="0" w:firstLine="420" w:firstLineChars="200"/>
              <w:textAlignment w:val="auto"/>
              <w:rPr>
                <w:color w:val="auto"/>
                <w:sz w:val="21"/>
                <w:szCs w:val="21"/>
                <w:highlight w:val="none"/>
              </w:rPr>
            </w:pPr>
            <w:r>
              <w:rPr>
                <w:rFonts w:hint="eastAsia"/>
                <w:color w:val="auto"/>
                <w:sz w:val="21"/>
                <w:szCs w:val="21"/>
                <w:highlight w:val="none"/>
                <w:lang w:val="en-US" w:eastAsia="zh-CN"/>
              </w:rPr>
              <w:t>已建</w:t>
            </w:r>
            <w:r>
              <w:rPr>
                <w:rFonts w:hint="eastAsia" w:ascii="Times New Roman" w:hAnsi="Times New Roman" w:eastAsia="宋体"/>
                <w:color w:val="auto"/>
                <w:sz w:val="21"/>
                <w:szCs w:val="21"/>
                <w:highlight w:val="none"/>
              </w:rPr>
              <w:t>项目废水监测结果见</w:t>
            </w:r>
            <w:r>
              <w:rPr>
                <w:rFonts w:hint="eastAsia" w:ascii="Times New Roman" w:hAnsi="Times New Roman" w:eastAsia="宋体"/>
                <w:color w:val="auto"/>
                <w:sz w:val="21"/>
                <w:szCs w:val="21"/>
                <w:highlight w:val="none"/>
                <w:lang w:val="en-US" w:eastAsia="zh-CN"/>
              </w:rPr>
              <w:t>下</w:t>
            </w:r>
            <w:r>
              <w:rPr>
                <w:rFonts w:hint="eastAsia" w:ascii="Times New Roman" w:hAnsi="Times New Roman" w:eastAsia="宋体"/>
                <w:color w:val="auto"/>
                <w:sz w:val="21"/>
                <w:szCs w:val="21"/>
                <w:highlight w:val="none"/>
              </w:rPr>
              <w:t>表。</w:t>
            </w:r>
          </w:p>
          <w:p w14:paraId="4620DB46">
            <w:pPr>
              <w:pStyle w:val="2"/>
              <w:keepNext w:val="0"/>
              <w:keepLines w:val="0"/>
              <w:pageBreakBefore w:val="0"/>
              <w:widowControl/>
              <w:kinsoku/>
              <w:wordWrap/>
              <w:overflowPunct/>
              <w:topLinePunct w:val="0"/>
              <w:autoSpaceDE/>
              <w:autoSpaceDN/>
              <w:bidi w:val="0"/>
              <w:adjustRightInd w:val="0"/>
              <w:snapToGrid w:val="0"/>
              <w:spacing w:before="0" w:after="0" w:line="500" w:lineRule="exact"/>
              <w:ind w:right="0"/>
              <w:jc w:val="center"/>
              <w:textAlignment w:val="auto"/>
              <w:rPr>
                <w:rFonts w:hint="eastAsia" w:ascii="Times New Roman" w:hAnsi="Times New Roman" w:eastAsia="宋体" w:cs="Times New Roman"/>
                <w:b/>
                <w:bCs/>
                <w:color w:val="auto"/>
                <w:sz w:val="21"/>
                <w:szCs w:val="21"/>
                <w:highlight w:val="none"/>
              </w:rPr>
            </w:pPr>
          </w:p>
          <w:p w14:paraId="7649AA79">
            <w:pPr>
              <w:pStyle w:val="2"/>
              <w:keepNext w:val="0"/>
              <w:keepLines w:val="0"/>
              <w:pageBreakBefore w:val="0"/>
              <w:widowControl/>
              <w:kinsoku/>
              <w:wordWrap/>
              <w:overflowPunct/>
              <w:topLinePunct w:val="0"/>
              <w:autoSpaceDE/>
              <w:autoSpaceDN/>
              <w:bidi w:val="0"/>
              <w:adjustRightInd w:val="0"/>
              <w:snapToGrid w:val="0"/>
              <w:spacing w:before="0" w:after="0" w:line="500" w:lineRule="exact"/>
              <w:ind w:right="0"/>
              <w:jc w:val="center"/>
              <w:textAlignment w:val="auto"/>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表2-</w:t>
            </w:r>
            <w:r>
              <w:rPr>
                <w:rFonts w:hint="eastAsia" w:ascii="Times New Roman" w:hAnsi="Times New Roman" w:eastAsia="宋体" w:cs="Times New Roman"/>
                <w:b/>
                <w:bCs/>
                <w:color w:val="auto"/>
                <w:sz w:val="21"/>
                <w:szCs w:val="21"/>
                <w:highlight w:val="none"/>
                <w:lang w:val="en-US"/>
              </w:rPr>
              <w:t>1</w:t>
            </w:r>
            <w:r>
              <w:rPr>
                <w:rFonts w:hint="eastAsia" w:cs="Times New Roman"/>
                <w:b/>
                <w:bCs/>
                <w:color w:val="auto"/>
                <w:sz w:val="21"/>
                <w:szCs w:val="21"/>
                <w:highlight w:val="none"/>
                <w:lang w:val="en-US" w:eastAsia="zh-CN"/>
              </w:rPr>
              <w:t>3</w:t>
            </w:r>
            <w:r>
              <w:rPr>
                <w:rFonts w:hint="eastAsia" w:ascii="Times New Roman" w:hAnsi="Times New Roman" w:eastAsia="宋体" w:cs="Times New Roman"/>
                <w:b/>
                <w:bCs/>
                <w:color w:val="auto"/>
                <w:sz w:val="21"/>
                <w:szCs w:val="21"/>
                <w:highlight w:val="none"/>
                <w:lang w:val="en-US"/>
              </w:rPr>
              <w:t xml:space="preserve"> </w:t>
            </w:r>
            <w:r>
              <w:rPr>
                <w:rFonts w:hint="eastAsia" w:ascii="Times New Roman" w:hAnsi="Times New Roman" w:eastAsia="宋体" w:cs="Times New Roman"/>
                <w:b/>
                <w:bCs/>
                <w:color w:val="auto"/>
                <w:sz w:val="21"/>
                <w:szCs w:val="21"/>
                <w:highlight w:val="none"/>
              </w:rPr>
              <w:t>废水水质监测结果表</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28" w:type="dxa"/>
                <w:left w:w="28" w:type="dxa"/>
                <w:bottom w:w="28" w:type="dxa"/>
                <w:right w:w="28" w:type="dxa"/>
              </w:tblCellMar>
            </w:tblPr>
            <w:tblGrid>
              <w:gridCol w:w="610"/>
              <w:gridCol w:w="681"/>
              <w:gridCol w:w="1652"/>
              <w:gridCol w:w="779"/>
              <w:gridCol w:w="779"/>
              <w:gridCol w:w="779"/>
              <w:gridCol w:w="786"/>
              <w:gridCol w:w="975"/>
              <w:gridCol w:w="833"/>
              <w:gridCol w:w="779"/>
            </w:tblGrid>
            <w:tr w14:paraId="38328A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352" w:type="pct"/>
                  <w:vMerge w:val="restart"/>
                  <w:tcBorders>
                    <w:tl2br w:val="nil"/>
                    <w:tr2bl w:val="nil"/>
                  </w:tcBorders>
                  <w:noWrap w:val="0"/>
                  <w:tcMar>
                    <w:top w:w="0" w:type="dxa"/>
                    <w:bottom w:w="0" w:type="dxa"/>
                  </w:tcMar>
                  <w:vAlign w:val="center"/>
                </w:tcPr>
                <w:p w14:paraId="1D1B77D5">
                  <w:pPr>
                    <w:pStyle w:val="121"/>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监</w:t>
                  </w:r>
                  <w:r>
                    <w:rPr>
                      <w:rFonts w:hint="default" w:ascii="Times New Roman" w:hAnsi="Times New Roman" w:cs="Times New Roman"/>
                      <w:color w:val="auto"/>
                      <w:sz w:val="21"/>
                      <w:szCs w:val="21"/>
                    </w:rPr>
                    <w:t>测</w:t>
                  </w:r>
                </w:p>
                <w:p w14:paraId="51A9E70E">
                  <w:pPr>
                    <w:pStyle w:val="121"/>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点位</w:t>
                  </w:r>
                </w:p>
              </w:tc>
              <w:tc>
                <w:tcPr>
                  <w:tcW w:w="393" w:type="pct"/>
                  <w:vMerge w:val="restart"/>
                  <w:tcBorders>
                    <w:tl2br w:val="nil"/>
                    <w:tr2bl w:val="nil"/>
                  </w:tcBorders>
                  <w:noWrap w:val="0"/>
                  <w:tcMar>
                    <w:top w:w="0" w:type="dxa"/>
                    <w:bottom w:w="0" w:type="dxa"/>
                  </w:tcMar>
                  <w:vAlign w:val="center"/>
                </w:tcPr>
                <w:p w14:paraId="37811B95">
                  <w:pPr>
                    <w:pStyle w:val="121"/>
                    <w:bidi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监测</w:t>
                  </w:r>
                </w:p>
                <w:p w14:paraId="45AB54F9">
                  <w:pPr>
                    <w:pStyle w:val="121"/>
                    <w:bidi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项目</w:t>
                  </w:r>
                </w:p>
              </w:tc>
              <w:tc>
                <w:tcPr>
                  <w:tcW w:w="954" w:type="pct"/>
                  <w:vMerge w:val="restart"/>
                  <w:tcBorders>
                    <w:tl2br w:val="nil"/>
                    <w:tr2bl w:val="nil"/>
                  </w:tcBorders>
                  <w:noWrap w:val="0"/>
                  <w:tcMar>
                    <w:top w:w="0" w:type="dxa"/>
                    <w:bottom w:w="0" w:type="dxa"/>
                  </w:tcMar>
                  <w:vAlign w:val="center"/>
                </w:tcPr>
                <w:p w14:paraId="68D00952">
                  <w:pPr>
                    <w:pStyle w:val="121"/>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日期</w:t>
                  </w:r>
                </w:p>
              </w:tc>
              <w:tc>
                <w:tcPr>
                  <w:tcW w:w="1804" w:type="pct"/>
                  <w:gridSpan w:val="4"/>
                  <w:tcBorders>
                    <w:tl2br w:val="nil"/>
                    <w:tr2bl w:val="nil"/>
                  </w:tcBorders>
                  <w:noWrap w:val="0"/>
                  <w:tcMar>
                    <w:top w:w="0" w:type="dxa"/>
                    <w:bottom w:w="0" w:type="dxa"/>
                  </w:tcMar>
                  <w:vAlign w:val="center"/>
                </w:tcPr>
                <w:p w14:paraId="210AC3D7">
                  <w:pPr>
                    <w:pStyle w:val="121"/>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监测结果</w:t>
                  </w:r>
                  <w:r>
                    <w:rPr>
                      <w:rFonts w:hint="default" w:ascii="Times New Roman" w:hAnsi="Times New Roman" w:cs="Times New Roman"/>
                      <w:color w:val="auto"/>
                      <w:sz w:val="21"/>
                      <w:szCs w:val="21"/>
                    </w:rPr>
                    <w:t>（mg/L</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pH无量纲</w:t>
                  </w:r>
                  <w:r>
                    <w:rPr>
                      <w:rFonts w:hint="default" w:ascii="Times New Roman" w:hAnsi="Times New Roman" w:cs="Times New Roman"/>
                      <w:color w:val="auto"/>
                      <w:sz w:val="21"/>
                      <w:szCs w:val="21"/>
                    </w:rPr>
                    <w:t>）</w:t>
                  </w:r>
                </w:p>
              </w:tc>
              <w:tc>
                <w:tcPr>
                  <w:tcW w:w="563" w:type="pct"/>
                  <w:vMerge w:val="restart"/>
                  <w:tcBorders>
                    <w:tl2br w:val="nil"/>
                    <w:tr2bl w:val="nil"/>
                  </w:tcBorders>
                  <w:noWrap w:val="0"/>
                  <w:tcMar>
                    <w:top w:w="0" w:type="dxa"/>
                    <w:bottom w:w="0" w:type="dxa"/>
                  </w:tcMar>
                  <w:vAlign w:val="center"/>
                </w:tcPr>
                <w:p w14:paraId="210367F1">
                  <w:pPr>
                    <w:pStyle w:val="121"/>
                    <w:bidi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日均值或范围值</w:t>
                  </w:r>
                </w:p>
              </w:tc>
              <w:tc>
                <w:tcPr>
                  <w:tcW w:w="481" w:type="pct"/>
                  <w:vMerge w:val="restart"/>
                  <w:tcBorders>
                    <w:tl2br w:val="nil"/>
                    <w:tr2bl w:val="nil"/>
                  </w:tcBorders>
                  <w:noWrap w:val="0"/>
                  <w:tcMar>
                    <w:top w:w="0" w:type="dxa"/>
                    <w:bottom w:w="0" w:type="dxa"/>
                  </w:tcMar>
                  <w:vAlign w:val="center"/>
                </w:tcPr>
                <w:p w14:paraId="6FE34252">
                  <w:pPr>
                    <w:pStyle w:val="121"/>
                    <w:bidi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标准</w:t>
                  </w:r>
                </w:p>
              </w:tc>
              <w:tc>
                <w:tcPr>
                  <w:tcW w:w="450" w:type="pct"/>
                  <w:vMerge w:val="restart"/>
                  <w:tcBorders>
                    <w:tl2br w:val="nil"/>
                    <w:tr2bl w:val="nil"/>
                  </w:tcBorders>
                  <w:noWrap w:val="0"/>
                  <w:tcMar>
                    <w:top w:w="0" w:type="dxa"/>
                    <w:bottom w:w="0" w:type="dxa"/>
                  </w:tcMar>
                  <w:vAlign w:val="center"/>
                </w:tcPr>
                <w:p w14:paraId="4CCA0E78">
                  <w:pPr>
                    <w:pStyle w:val="121"/>
                    <w:bidi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评价</w:t>
                  </w:r>
                </w:p>
              </w:tc>
            </w:tr>
            <w:tr w14:paraId="5733B4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52" w:type="pct"/>
                  <w:vMerge w:val="continue"/>
                  <w:tcBorders>
                    <w:tl2br w:val="nil"/>
                    <w:tr2bl w:val="nil"/>
                  </w:tcBorders>
                  <w:noWrap w:val="0"/>
                  <w:vAlign w:val="center"/>
                </w:tcPr>
                <w:p w14:paraId="20B896F6">
                  <w:pPr>
                    <w:keepNext w:val="0"/>
                    <w:keepLines w:val="0"/>
                    <w:pageBreakBefore w:val="0"/>
                    <w:widowControl w:val="0"/>
                    <w:kinsoku/>
                    <w:wordWrap/>
                    <w:overflowPunct/>
                    <w:topLinePunct w:val="0"/>
                    <w:autoSpaceDE/>
                    <w:autoSpaceDN/>
                    <w:bidi w:val="0"/>
                    <w:spacing w:line="320" w:lineRule="exact"/>
                    <w:ind w:left="0" w:leftChars="0" w:right="0" w:rightChars="0" w:firstLine="0" w:firstLineChars="0"/>
                    <w:jc w:val="center"/>
                    <w:textAlignment w:val="auto"/>
                    <w:outlineLvl w:val="9"/>
                    <w:rPr>
                      <w:rFonts w:hint="default" w:ascii="Times New Roman" w:hAnsi="Times New Roman" w:eastAsia="宋体" w:cs="Times New Roman"/>
                      <w:b/>
                      <w:bCs/>
                      <w:color w:val="auto"/>
                      <w:kern w:val="2"/>
                      <w:sz w:val="21"/>
                      <w:szCs w:val="21"/>
                    </w:rPr>
                  </w:pPr>
                </w:p>
              </w:tc>
              <w:tc>
                <w:tcPr>
                  <w:tcW w:w="393" w:type="pct"/>
                  <w:vMerge w:val="continue"/>
                  <w:tcBorders>
                    <w:tl2br w:val="nil"/>
                    <w:tr2bl w:val="nil"/>
                  </w:tcBorders>
                  <w:noWrap w:val="0"/>
                  <w:vAlign w:val="center"/>
                </w:tcPr>
                <w:p w14:paraId="244F0F7C">
                  <w:pPr>
                    <w:keepNext w:val="0"/>
                    <w:keepLines w:val="0"/>
                    <w:pageBreakBefore w:val="0"/>
                    <w:widowControl w:val="0"/>
                    <w:kinsoku/>
                    <w:wordWrap/>
                    <w:overflowPunct/>
                    <w:topLinePunct w:val="0"/>
                    <w:autoSpaceDE/>
                    <w:autoSpaceDN/>
                    <w:bidi w:val="0"/>
                    <w:spacing w:line="320" w:lineRule="exact"/>
                    <w:ind w:left="0" w:leftChars="0" w:right="0" w:rightChars="0" w:firstLine="0" w:firstLineChars="0"/>
                    <w:jc w:val="center"/>
                    <w:textAlignment w:val="auto"/>
                    <w:outlineLvl w:val="9"/>
                    <w:rPr>
                      <w:rFonts w:hint="default" w:ascii="Times New Roman" w:hAnsi="Times New Roman" w:eastAsia="宋体" w:cs="Times New Roman"/>
                      <w:b/>
                      <w:bCs/>
                      <w:color w:val="auto"/>
                      <w:kern w:val="2"/>
                      <w:sz w:val="21"/>
                      <w:szCs w:val="21"/>
                    </w:rPr>
                  </w:pPr>
                </w:p>
              </w:tc>
              <w:tc>
                <w:tcPr>
                  <w:tcW w:w="954" w:type="pct"/>
                  <w:vMerge w:val="continue"/>
                  <w:tcBorders>
                    <w:tl2br w:val="nil"/>
                    <w:tr2bl w:val="nil"/>
                  </w:tcBorders>
                  <w:noWrap w:val="0"/>
                  <w:vAlign w:val="center"/>
                </w:tcPr>
                <w:p w14:paraId="19499A47">
                  <w:pPr>
                    <w:keepNext w:val="0"/>
                    <w:keepLines w:val="0"/>
                    <w:pageBreakBefore w:val="0"/>
                    <w:widowControl w:val="0"/>
                    <w:kinsoku/>
                    <w:wordWrap/>
                    <w:overflowPunct/>
                    <w:topLinePunct w:val="0"/>
                    <w:autoSpaceDE/>
                    <w:autoSpaceDN/>
                    <w:bidi w:val="0"/>
                    <w:spacing w:line="320" w:lineRule="exact"/>
                    <w:ind w:left="0" w:leftChars="0" w:right="0" w:rightChars="0" w:firstLine="0" w:firstLineChars="0"/>
                    <w:jc w:val="center"/>
                    <w:textAlignment w:val="auto"/>
                    <w:outlineLvl w:val="9"/>
                    <w:rPr>
                      <w:rFonts w:hint="default" w:ascii="Times New Roman" w:hAnsi="Times New Roman" w:eastAsia="宋体" w:cs="Times New Roman"/>
                      <w:b/>
                      <w:bCs/>
                      <w:color w:val="auto"/>
                      <w:kern w:val="2"/>
                      <w:sz w:val="21"/>
                      <w:szCs w:val="21"/>
                    </w:rPr>
                  </w:pPr>
                </w:p>
              </w:tc>
              <w:tc>
                <w:tcPr>
                  <w:tcW w:w="450" w:type="pct"/>
                  <w:tcBorders>
                    <w:tl2br w:val="nil"/>
                    <w:tr2bl w:val="nil"/>
                  </w:tcBorders>
                  <w:noWrap w:val="0"/>
                  <w:vAlign w:val="center"/>
                </w:tcPr>
                <w:p w14:paraId="534D262C">
                  <w:pPr>
                    <w:pStyle w:val="121"/>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50" w:type="pct"/>
                  <w:tcBorders>
                    <w:tl2br w:val="nil"/>
                    <w:tr2bl w:val="nil"/>
                  </w:tcBorders>
                  <w:noWrap w:val="0"/>
                  <w:vAlign w:val="center"/>
                </w:tcPr>
                <w:p w14:paraId="0FF70282">
                  <w:pPr>
                    <w:pStyle w:val="121"/>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450" w:type="pct"/>
                  <w:tcBorders>
                    <w:tl2br w:val="nil"/>
                    <w:tr2bl w:val="nil"/>
                  </w:tcBorders>
                  <w:noWrap w:val="0"/>
                  <w:vAlign w:val="center"/>
                </w:tcPr>
                <w:p w14:paraId="64A59E10">
                  <w:pPr>
                    <w:pStyle w:val="121"/>
                    <w:bidi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3</w:t>
                  </w:r>
                </w:p>
              </w:tc>
              <w:tc>
                <w:tcPr>
                  <w:tcW w:w="452" w:type="pct"/>
                  <w:tcBorders>
                    <w:tl2br w:val="nil"/>
                    <w:tr2bl w:val="nil"/>
                  </w:tcBorders>
                  <w:noWrap w:val="0"/>
                  <w:vAlign w:val="center"/>
                </w:tcPr>
                <w:p w14:paraId="7C3244FC">
                  <w:pPr>
                    <w:pStyle w:val="121"/>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563" w:type="pct"/>
                  <w:vMerge w:val="continue"/>
                  <w:tcBorders>
                    <w:tl2br w:val="nil"/>
                    <w:tr2bl w:val="nil"/>
                  </w:tcBorders>
                  <w:noWrap w:val="0"/>
                  <w:vAlign w:val="center"/>
                </w:tcPr>
                <w:p w14:paraId="300A6065">
                  <w:pPr>
                    <w:keepNext w:val="0"/>
                    <w:keepLines w:val="0"/>
                    <w:pageBreakBefore w:val="0"/>
                    <w:widowControl w:val="0"/>
                    <w:kinsoku/>
                    <w:wordWrap/>
                    <w:overflowPunct/>
                    <w:topLinePunct w:val="0"/>
                    <w:autoSpaceDE/>
                    <w:autoSpaceDN/>
                    <w:bidi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rPr>
                  </w:pPr>
                </w:p>
              </w:tc>
              <w:tc>
                <w:tcPr>
                  <w:tcW w:w="481" w:type="pct"/>
                  <w:vMerge w:val="continue"/>
                  <w:tcBorders>
                    <w:tl2br w:val="nil"/>
                    <w:tr2bl w:val="nil"/>
                  </w:tcBorders>
                  <w:noWrap w:val="0"/>
                  <w:vAlign w:val="center"/>
                </w:tcPr>
                <w:p w14:paraId="57613FCF">
                  <w:pPr>
                    <w:keepNext w:val="0"/>
                    <w:keepLines w:val="0"/>
                    <w:pageBreakBefore w:val="0"/>
                    <w:widowControl w:val="0"/>
                    <w:kinsoku/>
                    <w:wordWrap/>
                    <w:overflowPunct/>
                    <w:topLinePunct w:val="0"/>
                    <w:autoSpaceDE/>
                    <w:autoSpaceDN/>
                    <w:bidi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rPr>
                  </w:pPr>
                </w:p>
              </w:tc>
              <w:tc>
                <w:tcPr>
                  <w:tcW w:w="450" w:type="pct"/>
                  <w:vMerge w:val="continue"/>
                  <w:tcBorders>
                    <w:tl2br w:val="nil"/>
                    <w:tr2bl w:val="nil"/>
                  </w:tcBorders>
                  <w:noWrap w:val="0"/>
                  <w:vAlign w:val="center"/>
                </w:tcPr>
                <w:p w14:paraId="22DC7C8B">
                  <w:pPr>
                    <w:keepNext w:val="0"/>
                    <w:keepLines w:val="0"/>
                    <w:pageBreakBefore w:val="0"/>
                    <w:widowControl w:val="0"/>
                    <w:kinsoku/>
                    <w:wordWrap/>
                    <w:overflowPunct/>
                    <w:topLinePunct w:val="0"/>
                    <w:autoSpaceDE/>
                    <w:autoSpaceDN/>
                    <w:bidi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rPr>
                  </w:pPr>
                </w:p>
              </w:tc>
            </w:tr>
            <w:tr w14:paraId="32391A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52" w:type="pct"/>
                  <w:vMerge w:val="restart"/>
                  <w:tcBorders>
                    <w:tl2br w:val="nil"/>
                    <w:tr2bl w:val="nil"/>
                  </w:tcBorders>
                  <w:noWrap w:val="0"/>
                  <w:vAlign w:val="center"/>
                </w:tcPr>
                <w:p w14:paraId="67C96229">
                  <w:pPr>
                    <w:pStyle w:val="119"/>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w:t>
                  </w:r>
                </w:p>
                <w:p w14:paraId="1F0112E4">
                  <w:pPr>
                    <w:pStyle w:val="119"/>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水</w:t>
                  </w:r>
                </w:p>
                <w:p w14:paraId="4D854E83">
                  <w:pPr>
                    <w:pStyle w:val="119"/>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排</w:t>
                  </w:r>
                </w:p>
                <w:p w14:paraId="38F8C98F">
                  <w:pPr>
                    <w:pStyle w:val="119"/>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放</w:t>
                  </w:r>
                </w:p>
                <w:p w14:paraId="4CDF8E23">
                  <w:pPr>
                    <w:pStyle w:val="119"/>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口</w:t>
                  </w:r>
                </w:p>
              </w:tc>
              <w:tc>
                <w:tcPr>
                  <w:tcW w:w="393" w:type="pct"/>
                  <w:vMerge w:val="restart"/>
                  <w:tcBorders>
                    <w:tl2br w:val="nil"/>
                    <w:tr2bl w:val="nil"/>
                  </w:tcBorders>
                  <w:noWrap w:val="0"/>
                  <w:vAlign w:val="center"/>
                </w:tcPr>
                <w:p w14:paraId="390BE2C6">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COD</w:t>
                  </w:r>
                </w:p>
              </w:tc>
              <w:tc>
                <w:tcPr>
                  <w:tcW w:w="954" w:type="pct"/>
                  <w:tcBorders>
                    <w:tl2br w:val="nil"/>
                    <w:tr2bl w:val="nil"/>
                  </w:tcBorders>
                  <w:noWrap w:val="0"/>
                  <w:vAlign w:val="center"/>
                </w:tcPr>
                <w:p w14:paraId="74FA94B5">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2022</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11</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17</w:t>
                  </w:r>
                </w:p>
              </w:tc>
              <w:tc>
                <w:tcPr>
                  <w:tcW w:w="450" w:type="pct"/>
                  <w:tcBorders>
                    <w:tl2br w:val="nil"/>
                    <w:tr2bl w:val="nil"/>
                  </w:tcBorders>
                  <w:noWrap w:val="0"/>
                  <w:vAlign w:val="center"/>
                </w:tcPr>
                <w:p w14:paraId="46609FA0">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114</w:t>
                  </w:r>
                </w:p>
              </w:tc>
              <w:tc>
                <w:tcPr>
                  <w:tcW w:w="450" w:type="pct"/>
                  <w:tcBorders>
                    <w:tl2br w:val="nil"/>
                    <w:tr2bl w:val="nil"/>
                  </w:tcBorders>
                  <w:noWrap w:val="0"/>
                  <w:vAlign w:val="center"/>
                </w:tcPr>
                <w:p w14:paraId="4FAFD0F0">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114</w:t>
                  </w:r>
                </w:p>
              </w:tc>
              <w:tc>
                <w:tcPr>
                  <w:tcW w:w="450" w:type="pct"/>
                  <w:tcBorders>
                    <w:tl2br w:val="nil"/>
                    <w:tr2bl w:val="nil"/>
                  </w:tcBorders>
                  <w:noWrap w:val="0"/>
                  <w:vAlign w:val="center"/>
                </w:tcPr>
                <w:p w14:paraId="5B730F2B">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111</w:t>
                  </w:r>
                </w:p>
              </w:tc>
              <w:tc>
                <w:tcPr>
                  <w:tcW w:w="452" w:type="pct"/>
                  <w:tcBorders>
                    <w:tl2br w:val="nil"/>
                    <w:tr2bl w:val="nil"/>
                  </w:tcBorders>
                  <w:noWrap w:val="0"/>
                  <w:vAlign w:val="center"/>
                </w:tcPr>
                <w:p w14:paraId="6904B2D4">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119</w:t>
                  </w:r>
                </w:p>
              </w:tc>
              <w:tc>
                <w:tcPr>
                  <w:tcW w:w="563" w:type="pct"/>
                  <w:tcBorders>
                    <w:tl2br w:val="nil"/>
                    <w:tr2bl w:val="nil"/>
                  </w:tcBorders>
                  <w:noWrap w:val="0"/>
                  <w:vAlign w:val="center"/>
                </w:tcPr>
                <w:p w14:paraId="733E218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114</w:t>
                  </w:r>
                </w:p>
              </w:tc>
              <w:tc>
                <w:tcPr>
                  <w:tcW w:w="481" w:type="pct"/>
                  <w:vMerge w:val="restart"/>
                  <w:tcBorders>
                    <w:tl2br w:val="nil"/>
                    <w:tr2bl w:val="nil"/>
                  </w:tcBorders>
                  <w:noWrap w:val="0"/>
                  <w:vAlign w:val="center"/>
                </w:tcPr>
                <w:p w14:paraId="53CAA67C">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266</w:t>
                  </w:r>
                </w:p>
              </w:tc>
              <w:tc>
                <w:tcPr>
                  <w:tcW w:w="450" w:type="pct"/>
                  <w:tcBorders>
                    <w:tl2br w:val="nil"/>
                    <w:tr2bl w:val="nil"/>
                  </w:tcBorders>
                  <w:noWrap w:val="0"/>
                  <w:vAlign w:val="center"/>
                </w:tcPr>
                <w:p w14:paraId="339DF90F">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r w14:paraId="21B09E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52" w:type="pct"/>
                  <w:vMerge w:val="continue"/>
                  <w:tcBorders>
                    <w:tl2br w:val="nil"/>
                    <w:tr2bl w:val="nil"/>
                  </w:tcBorders>
                  <w:noWrap w:val="0"/>
                  <w:vAlign w:val="center"/>
                </w:tcPr>
                <w:p w14:paraId="275F030F">
                  <w:pPr>
                    <w:pStyle w:val="119"/>
                    <w:bidi w:val="0"/>
                    <w:rPr>
                      <w:rFonts w:hint="default" w:ascii="Times New Roman" w:hAnsi="Times New Roman" w:cs="Times New Roman"/>
                      <w:color w:val="auto"/>
                      <w:sz w:val="21"/>
                      <w:szCs w:val="21"/>
                      <w:lang w:eastAsia="zh-CN"/>
                    </w:rPr>
                  </w:pPr>
                </w:p>
              </w:tc>
              <w:tc>
                <w:tcPr>
                  <w:tcW w:w="393" w:type="pct"/>
                  <w:vMerge w:val="continue"/>
                  <w:tcBorders>
                    <w:tl2br w:val="nil"/>
                    <w:tr2bl w:val="nil"/>
                  </w:tcBorders>
                  <w:noWrap w:val="0"/>
                  <w:vAlign w:val="center"/>
                </w:tcPr>
                <w:p w14:paraId="4D38C207">
                  <w:pPr>
                    <w:pStyle w:val="119"/>
                    <w:bidi w:val="0"/>
                    <w:ind w:firstLine="0" w:firstLineChars="0"/>
                    <w:rPr>
                      <w:rFonts w:hint="default" w:ascii="Times New Roman" w:hAnsi="Times New Roman" w:cs="Times New Roman"/>
                      <w:color w:val="auto"/>
                      <w:sz w:val="21"/>
                      <w:szCs w:val="21"/>
                      <w:lang w:val="en-US" w:eastAsia="zh-CN"/>
                    </w:rPr>
                  </w:pPr>
                </w:p>
              </w:tc>
              <w:tc>
                <w:tcPr>
                  <w:tcW w:w="954" w:type="pct"/>
                  <w:tcBorders>
                    <w:tl2br w:val="nil"/>
                    <w:tr2bl w:val="nil"/>
                  </w:tcBorders>
                  <w:noWrap w:val="0"/>
                  <w:vAlign w:val="center"/>
                </w:tcPr>
                <w:p w14:paraId="14238BC0">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2022</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11</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18</w:t>
                  </w:r>
                </w:p>
              </w:tc>
              <w:tc>
                <w:tcPr>
                  <w:tcW w:w="450" w:type="pct"/>
                  <w:tcBorders>
                    <w:tl2br w:val="nil"/>
                    <w:tr2bl w:val="nil"/>
                  </w:tcBorders>
                  <w:noWrap w:val="0"/>
                  <w:vAlign w:val="center"/>
                </w:tcPr>
                <w:p w14:paraId="3AA7B303">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131</w:t>
                  </w:r>
                </w:p>
              </w:tc>
              <w:tc>
                <w:tcPr>
                  <w:tcW w:w="450" w:type="pct"/>
                  <w:tcBorders>
                    <w:tl2br w:val="nil"/>
                    <w:tr2bl w:val="nil"/>
                  </w:tcBorders>
                  <w:noWrap w:val="0"/>
                  <w:vAlign w:val="center"/>
                </w:tcPr>
                <w:p w14:paraId="3B3EA904">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130</w:t>
                  </w:r>
                </w:p>
              </w:tc>
              <w:tc>
                <w:tcPr>
                  <w:tcW w:w="450" w:type="pct"/>
                  <w:tcBorders>
                    <w:tl2br w:val="nil"/>
                    <w:tr2bl w:val="nil"/>
                  </w:tcBorders>
                  <w:noWrap w:val="0"/>
                  <w:vAlign w:val="center"/>
                </w:tcPr>
                <w:p w14:paraId="1611C69F">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135</w:t>
                  </w:r>
                </w:p>
              </w:tc>
              <w:tc>
                <w:tcPr>
                  <w:tcW w:w="452" w:type="pct"/>
                  <w:tcBorders>
                    <w:tl2br w:val="nil"/>
                    <w:tr2bl w:val="nil"/>
                  </w:tcBorders>
                  <w:noWrap w:val="0"/>
                  <w:vAlign w:val="center"/>
                </w:tcPr>
                <w:p w14:paraId="1BB8237A">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127</w:t>
                  </w:r>
                </w:p>
              </w:tc>
              <w:tc>
                <w:tcPr>
                  <w:tcW w:w="563" w:type="pct"/>
                  <w:tcBorders>
                    <w:tl2br w:val="nil"/>
                    <w:tr2bl w:val="nil"/>
                  </w:tcBorders>
                  <w:noWrap w:val="0"/>
                  <w:vAlign w:val="center"/>
                </w:tcPr>
                <w:p w14:paraId="1E284B8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131</w:t>
                  </w:r>
                </w:p>
              </w:tc>
              <w:tc>
                <w:tcPr>
                  <w:tcW w:w="481" w:type="pct"/>
                  <w:vMerge w:val="continue"/>
                  <w:tcBorders>
                    <w:tl2br w:val="nil"/>
                    <w:tr2bl w:val="nil"/>
                  </w:tcBorders>
                  <w:noWrap w:val="0"/>
                  <w:vAlign w:val="center"/>
                </w:tcPr>
                <w:p w14:paraId="53F69F95">
                  <w:pPr>
                    <w:pStyle w:val="119"/>
                    <w:bidi w:val="0"/>
                    <w:ind w:firstLine="0" w:firstLineChars="0"/>
                    <w:rPr>
                      <w:rFonts w:hint="default" w:ascii="Times New Roman" w:hAnsi="Times New Roman" w:cs="Times New Roman"/>
                      <w:color w:val="auto"/>
                      <w:sz w:val="21"/>
                      <w:szCs w:val="21"/>
                      <w:lang w:val="en-US" w:eastAsia="zh-CN"/>
                    </w:rPr>
                  </w:pPr>
                </w:p>
              </w:tc>
              <w:tc>
                <w:tcPr>
                  <w:tcW w:w="450" w:type="pct"/>
                  <w:tcBorders>
                    <w:tl2br w:val="nil"/>
                    <w:tr2bl w:val="nil"/>
                  </w:tcBorders>
                  <w:noWrap w:val="0"/>
                  <w:vAlign w:val="center"/>
                </w:tcPr>
                <w:p w14:paraId="3E74991A">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r w14:paraId="026E38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52" w:type="pct"/>
                  <w:vMerge w:val="continue"/>
                  <w:tcBorders>
                    <w:tl2br w:val="nil"/>
                    <w:tr2bl w:val="nil"/>
                  </w:tcBorders>
                  <w:noWrap w:val="0"/>
                  <w:vAlign w:val="center"/>
                </w:tcPr>
                <w:p w14:paraId="11BA4845">
                  <w:pPr>
                    <w:pStyle w:val="119"/>
                    <w:bidi w:val="0"/>
                    <w:rPr>
                      <w:rFonts w:hint="default" w:ascii="Times New Roman" w:hAnsi="Times New Roman" w:cs="Times New Roman"/>
                      <w:color w:val="auto"/>
                      <w:sz w:val="21"/>
                      <w:szCs w:val="21"/>
                      <w:lang w:eastAsia="zh-CN"/>
                    </w:rPr>
                  </w:pPr>
                </w:p>
              </w:tc>
              <w:tc>
                <w:tcPr>
                  <w:tcW w:w="393" w:type="pct"/>
                  <w:vMerge w:val="restart"/>
                  <w:tcBorders>
                    <w:tl2br w:val="nil"/>
                    <w:tr2bl w:val="nil"/>
                  </w:tcBorders>
                  <w:noWrap w:val="0"/>
                  <w:vAlign w:val="center"/>
                </w:tcPr>
                <w:p w14:paraId="11A61AE3">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SS</w:t>
                  </w:r>
                </w:p>
              </w:tc>
              <w:tc>
                <w:tcPr>
                  <w:tcW w:w="1647" w:type="dxa"/>
                  <w:tcBorders>
                    <w:tl2br w:val="nil"/>
                    <w:tr2bl w:val="nil"/>
                  </w:tcBorders>
                  <w:noWrap w:val="0"/>
                  <w:vAlign w:val="center"/>
                </w:tcPr>
                <w:p w14:paraId="7AA99216">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2022</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11</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17</w:t>
                  </w:r>
                </w:p>
              </w:tc>
              <w:tc>
                <w:tcPr>
                  <w:tcW w:w="450" w:type="pct"/>
                  <w:tcBorders>
                    <w:tl2br w:val="nil"/>
                    <w:tr2bl w:val="nil"/>
                  </w:tcBorders>
                  <w:noWrap w:val="0"/>
                  <w:vAlign w:val="center"/>
                </w:tcPr>
                <w:p w14:paraId="46E79FEA">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73</w:t>
                  </w:r>
                </w:p>
              </w:tc>
              <w:tc>
                <w:tcPr>
                  <w:tcW w:w="450" w:type="pct"/>
                  <w:tcBorders>
                    <w:tl2br w:val="nil"/>
                    <w:tr2bl w:val="nil"/>
                  </w:tcBorders>
                  <w:noWrap w:val="0"/>
                  <w:vAlign w:val="center"/>
                </w:tcPr>
                <w:p w14:paraId="6D640ED4">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78</w:t>
                  </w:r>
                </w:p>
              </w:tc>
              <w:tc>
                <w:tcPr>
                  <w:tcW w:w="450" w:type="pct"/>
                  <w:tcBorders>
                    <w:tl2br w:val="nil"/>
                    <w:tr2bl w:val="nil"/>
                  </w:tcBorders>
                  <w:noWrap w:val="0"/>
                  <w:vAlign w:val="center"/>
                </w:tcPr>
                <w:p w14:paraId="0554C91E">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71</w:t>
                  </w:r>
                </w:p>
              </w:tc>
              <w:tc>
                <w:tcPr>
                  <w:tcW w:w="452" w:type="pct"/>
                  <w:tcBorders>
                    <w:tl2br w:val="nil"/>
                    <w:tr2bl w:val="nil"/>
                  </w:tcBorders>
                  <w:noWrap w:val="0"/>
                  <w:vAlign w:val="center"/>
                </w:tcPr>
                <w:p w14:paraId="4A633DA3">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76</w:t>
                  </w:r>
                </w:p>
              </w:tc>
              <w:tc>
                <w:tcPr>
                  <w:tcW w:w="563" w:type="pct"/>
                  <w:tcBorders>
                    <w:tl2br w:val="nil"/>
                    <w:tr2bl w:val="nil"/>
                  </w:tcBorders>
                  <w:noWrap w:val="0"/>
                  <w:vAlign w:val="center"/>
                </w:tcPr>
                <w:p w14:paraId="5F36BE9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74</w:t>
                  </w:r>
                </w:p>
              </w:tc>
              <w:tc>
                <w:tcPr>
                  <w:tcW w:w="481" w:type="pct"/>
                  <w:vMerge w:val="restart"/>
                  <w:tcBorders>
                    <w:tl2br w:val="nil"/>
                    <w:tr2bl w:val="nil"/>
                  </w:tcBorders>
                  <w:noWrap w:val="0"/>
                  <w:vAlign w:val="center"/>
                </w:tcPr>
                <w:p w14:paraId="302B9555">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87</w:t>
                  </w:r>
                </w:p>
              </w:tc>
              <w:tc>
                <w:tcPr>
                  <w:tcW w:w="450" w:type="pct"/>
                  <w:tcBorders>
                    <w:tl2br w:val="nil"/>
                    <w:tr2bl w:val="nil"/>
                  </w:tcBorders>
                  <w:noWrap w:val="0"/>
                  <w:vAlign w:val="center"/>
                </w:tcPr>
                <w:p w14:paraId="2A65BD0C">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r w14:paraId="2B778A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52" w:type="pct"/>
                  <w:vMerge w:val="continue"/>
                  <w:tcBorders>
                    <w:tl2br w:val="nil"/>
                    <w:tr2bl w:val="nil"/>
                  </w:tcBorders>
                  <w:noWrap w:val="0"/>
                  <w:vAlign w:val="center"/>
                </w:tcPr>
                <w:p w14:paraId="24E85A70">
                  <w:pPr>
                    <w:pStyle w:val="119"/>
                    <w:bidi w:val="0"/>
                    <w:rPr>
                      <w:rFonts w:hint="default" w:ascii="Times New Roman" w:hAnsi="Times New Roman" w:cs="Times New Roman"/>
                      <w:color w:val="auto"/>
                      <w:sz w:val="21"/>
                      <w:szCs w:val="21"/>
                    </w:rPr>
                  </w:pPr>
                </w:p>
              </w:tc>
              <w:tc>
                <w:tcPr>
                  <w:tcW w:w="393" w:type="pct"/>
                  <w:vMerge w:val="continue"/>
                  <w:tcBorders>
                    <w:tl2br w:val="nil"/>
                    <w:tr2bl w:val="nil"/>
                  </w:tcBorders>
                  <w:noWrap w:val="0"/>
                  <w:vAlign w:val="center"/>
                </w:tcPr>
                <w:p w14:paraId="3BBB4DB5">
                  <w:pPr>
                    <w:pStyle w:val="119"/>
                    <w:bidi w:val="0"/>
                    <w:ind w:firstLine="0" w:firstLineChars="0"/>
                    <w:rPr>
                      <w:rFonts w:hint="default" w:ascii="Times New Roman" w:hAnsi="Times New Roman" w:cs="Times New Roman"/>
                      <w:color w:val="auto"/>
                      <w:sz w:val="21"/>
                      <w:szCs w:val="21"/>
                    </w:rPr>
                  </w:pPr>
                </w:p>
              </w:tc>
              <w:tc>
                <w:tcPr>
                  <w:tcW w:w="1647" w:type="dxa"/>
                  <w:tcBorders>
                    <w:tl2br w:val="nil"/>
                    <w:tr2bl w:val="nil"/>
                  </w:tcBorders>
                  <w:noWrap w:val="0"/>
                  <w:vAlign w:val="center"/>
                </w:tcPr>
                <w:p w14:paraId="35BD5A97">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2022</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11</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18</w:t>
                  </w:r>
                </w:p>
              </w:tc>
              <w:tc>
                <w:tcPr>
                  <w:tcW w:w="450" w:type="pct"/>
                  <w:tcBorders>
                    <w:tl2br w:val="nil"/>
                    <w:tr2bl w:val="nil"/>
                  </w:tcBorders>
                  <w:noWrap w:val="0"/>
                  <w:vAlign w:val="center"/>
                </w:tcPr>
                <w:p w14:paraId="2AB8D4E7">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65</w:t>
                  </w:r>
                </w:p>
              </w:tc>
              <w:tc>
                <w:tcPr>
                  <w:tcW w:w="450" w:type="pct"/>
                  <w:tcBorders>
                    <w:tl2br w:val="nil"/>
                    <w:tr2bl w:val="nil"/>
                  </w:tcBorders>
                  <w:noWrap w:val="0"/>
                  <w:vAlign w:val="center"/>
                </w:tcPr>
                <w:p w14:paraId="3E5287B2">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69</w:t>
                  </w:r>
                </w:p>
              </w:tc>
              <w:tc>
                <w:tcPr>
                  <w:tcW w:w="450" w:type="pct"/>
                  <w:tcBorders>
                    <w:tl2br w:val="nil"/>
                    <w:tr2bl w:val="nil"/>
                  </w:tcBorders>
                  <w:noWrap w:val="0"/>
                  <w:vAlign w:val="center"/>
                </w:tcPr>
                <w:p w14:paraId="6548164D">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70</w:t>
                  </w:r>
                </w:p>
              </w:tc>
              <w:tc>
                <w:tcPr>
                  <w:tcW w:w="452" w:type="pct"/>
                  <w:tcBorders>
                    <w:tl2br w:val="nil"/>
                    <w:tr2bl w:val="nil"/>
                  </w:tcBorders>
                  <w:noWrap w:val="0"/>
                  <w:vAlign w:val="center"/>
                </w:tcPr>
                <w:p w14:paraId="046ED766">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66</w:t>
                  </w:r>
                </w:p>
              </w:tc>
              <w:tc>
                <w:tcPr>
                  <w:tcW w:w="563" w:type="pct"/>
                  <w:tcBorders>
                    <w:tl2br w:val="nil"/>
                    <w:tr2bl w:val="nil"/>
                  </w:tcBorders>
                  <w:noWrap w:val="0"/>
                  <w:vAlign w:val="center"/>
                </w:tcPr>
                <w:p w14:paraId="0549F54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68</w:t>
                  </w:r>
                </w:p>
              </w:tc>
              <w:tc>
                <w:tcPr>
                  <w:tcW w:w="481" w:type="pct"/>
                  <w:vMerge w:val="continue"/>
                  <w:tcBorders>
                    <w:tl2br w:val="nil"/>
                    <w:tr2bl w:val="nil"/>
                  </w:tcBorders>
                  <w:noWrap w:val="0"/>
                  <w:vAlign w:val="center"/>
                </w:tcPr>
                <w:p w14:paraId="60653B17">
                  <w:pPr>
                    <w:pStyle w:val="119"/>
                    <w:bidi w:val="0"/>
                    <w:ind w:firstLine="0" w:firstLineChars="0"/>
                    <w:rPr>
                      <w:rFonts w:hint="default" w:ascii="Times New Roman" w:hAnsi="Times New Roman" w:cs="Times New Roman"/>
                      <w:color w:val="auto"/>
                      <w:sz w:val="21"/>
                      <w:szCs w:val="21"/>
                      <w:lang w:eastAsia="zh-CN"/>
                    </w:rPr>
                  </w:pPr>
                </w:p>
              </w:tc>
              <w:tc>
                <w:tcPr>
                  <w:tcW w:w="450" w:type="pct"/>
                  <w:tcBorders>
                    <w:tl2br w:val="nil"/>
                    <w:tr2bl w:val="nil"/>
                  </w:tcBorders>
                  <w:noWrap w:val="0"/>
                  <w:vAlign w:val="center"/>
                </w:tcPr>
                <w:p w14:paraId="5C936A9B">
                  <w:pPr>
                    <w:pStyle w:val="119"/>
                    <w:bidi w:val="0"/>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达标</w:t>
                  </w:r>
                </w:p>
              </w:tc>
            </w:tr>
            <w:tr w14:paraId="1E3F52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52" w:type="pct"/>
                  <w:vMerge w:val="continue"/>
                  <w:tcBorders>
                    <w:tl2br w:val="nil"/>
                    <w:tr2bl w:val="nil"/>
                  </w:tcBorders>
                  <w:noWrap w:val="0"/>
                  <w:vAlign w:val="center"/>
                </w:tcPr>
                <w:p w14:paraId="02C2F956">
                  <w:pPr>
                    <w:pStyle w:val="119"/>
                    <w:bidi w:val="0"/>
                    <w:rPr>
                      <w:rFonts w:hint="default" w:ascii="Times New Roman" w:hAnsi="Times New Roman" w:cs="Times New Roman"/>
                      <w:color w:val="auto"/>
                      <w:sz w:val="21"/>
                      <w:szCs w:val="21"/>
                      <w:lang w:eastAsia="zh-CN"/>
                    </w:rPr>
                  </w:pPr>
                </w:p>
              </w:tc>
              <w:tc>
                <w:tcPr>
                  <w:tcW w:w="393" w:type="pct"/>
                  <w:vMerge w:val="restart"/>
                  <w:tcBorders>
                    <w:tl2br w:val="nil"/>
                    <w:tr2bl w:val="nil"/>
                  </w:tcBorders>
                  <w:noWrap w:val="0"/>
                  <w:vAlign w:val="center"/>
                </w:tcPr>
                <w:p w14:paraId="160207D4">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氨氮</w:t>
                  </w:r>
                </w:p>
              </w:tc>
              <w:tc>
                <w:tcPr>
                  <w:tcW w:w="1647" w:type="dxa"/>
                  <w:tcBorders>
                    <w:tl2br w:val="nil"/>
                    <w:tr2bl w:val="nil"/>
                  </w:tcBorders>
                  <w:noWrap w:val="0"/>
                  <w:vAlign w:val="center"/>
                </w:tcPr>
                <w:p w14:paraId="75872B7B">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2022</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11</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17</w:t>
                  </w:r>
                </w:p>
              </w:tc>
              <w:tc>
                <w:tcPr>
                  <w:tcW w:w="450" w:type="pct"/>
                  <w:tcBorders>
                    <w:tl2br w:val="nil"/>
                    <w:tr2bl w:val="nil"/>
                  </w:tcBorders>
                  <w:noWrap w:val="0"/>
                  <w:vAlign w:val="center"/>
                </w:tcPr>
                <w:p w14:paraId="2084FA3C">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7.16</w:t>
                  </w:r>
                </w:p>
              </w:tc>
              <w:tc>
                <w:tcPr>
                  <w:tcW w:w="450" w:type="pct"/>
                  <w:tcBorders>
                    <w:tl2br w:val="nil"/>
                    <w:tr2bl w:val="nil"/>
                  </w:tcBorders>
                  <w:noWrap w:val="0"/>
                  <w:vAlign w:val="center"/>
                </w:tcPr>
                <w:p w14:paraId="7FA49BF4">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7.00</w:t>
                  </w:r>
                </w:p>
              </w:tc>
              <w:tc>
                <w:tcPr>
                  <w:tcW w:w="450" w:type="pct"/>
                  <w:tcBorders>
                    <w:tl2br w:val="nil"/>
                    <w:tr2bl w:val="nil"/>
                  </w:tcBorders>
                  <w:noWrap w:val="0"/>
                  <w:vAlign w:val="center"/>
                </w:tcPr>
                <w:p w14:paraId="0F1E60BB">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7.32</w:t>
                  </w:r>
                </w:p>
              </w:tc>
              <w:tc>
                <w:tcPr>
                  <w:tcW w:w="452" w:type="pct"/>
                  <w:tcBorders>
                    <w:tl2br w:val="nil"/>
                    <w:tr2bl w:val="nil"/>
                  </w:tcBorders>
                  <w:noWrap w:val="0"/>
                  <w:vAlign w:val="center"/>
                </w:tcPr>
                <w:p w14:paraId="46B0E583">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6.92</w:t>
                  </w:r>
                </w:p>
              </w:tc>
              <w:tc>
                <w:tcPr>
                  <w:tcW w:w="563" w:type="pct"/>
                  <w:tcBorders>
                    <w:tl2br w:val="nil"/>
                    <w:tr2bl w:val="nil"/>
                  </w:tcBorders>
                  <w:noWrap w:val="0"/>
                  <w:vAlign w:val="center"/>
                </w:tcPr>
                <w:p w14:paraId="6071DF8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7.10</w:t>
                  </w:r>
                </w:p>
              </w:tc>
              <w:tc>
                <w:tcPr>
                  <w:tcW w:w="481" w:type="pct"/>
                  <w:vMerge w:val="restart"/>
                  <w:tcBorders>
                    <w:tl2br w:val="nil"/>
                    <w:tr2bl w:val="nil"/>
                  </w:tcBorders>
                  <w:noWrap w:val="0"/>
                  <w:vAlign w:val="center"/>
                </w:tcPr>
                <w:p w14:paraId="2D609744">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c>
                <w:tcPr>
                  <w:tcW w:w="450" w:type="pct"/>
                  <w:tcBorders>
                    <w:tl2br w:val="nil"/>
                    <w:tr2bl w:val="nil"/>
                  </w:tcBorders>
                  <w:noWrap w:val="0"/>
                  <w:vAlign w:val="center"/>
                </w:tcPr>
                <w:p w14:paraId="5758C9BB">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r w14:paraId="2EA349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52" w:type="pct"/>
                  <w:vMerge w:val="continue"/>
                  <w:tcBorders>
                    <w:tl2br w:val="nil"/>
                    <w:tr2bl w:val="nil"/>
                  </w:tcBorders>
                  <w:noWrap w:val="0"/>
                  <w:vAlign w:val="center"/>
                </w:tcPr>
                <w:p w14:paraId="0E318E4A">
                  <w:pPr>
                    <w:pStyle w:val="119"/>
                    <w:bidi w:val="0"/>
                    <w:rPr>
                      <w:rFonts w:hint="default" w:ascii="Times New Roman" w:hAnsi="Times New Roman" w:cs="Times New Roman"/>
                      <w:color w:val="auto"/>
                      <w:sz w:val="21"/>
                      <w:szCs w:val="21"/>
                    </w:rPr>
                  </w:pPr>
                </w:p>
              </w:tc>
              <w:tc>
                <w:tcPr>
                  <w:tcW w:w="393" w:type="pct"/>
                  <w:vMerge w:val="continue"/>
                  <w:tcBorders>
                    <w:tl2br w:val="nil"/>
                    <w:tr2bl w:val="nil"/>
                  </w:tcBorders>
                  <w:noWrap w:val="0"/>
                  <w:vAlign w:val="center"/>
                </w:tcPr>
                <w:p w14:paraId="293E9BD6">
                  <w:pPr>
                    <w:pStyle w:val="119"/>
                    <w:bidi w:val="0"/>
                    <w:ind w:firstLine="0" w:firstLineChars="0"/>
                    <w:rPr>
                      <w:rFonts w:hint="default" w:ascii="Times New Roman" w:hAnsi="Times New Roman" w:cs="Times New Roman"/>
                      <w:color w:val="auto"/>
                      <w:sz w:val="21"/>
                      <w:szCs w:val="21"/>
                    </w:rPr>
                  </w:pPr>
                </w:p>
              </w:tc>
              <w:tc>
                <w:tcPr>
                  <w:tcW w:w="1647" w:type="dxa"/>
                  <w:tcBorders>
                    <w:tl2br w:val="nil"/>
                    <w:tr2bl w:val="nil"/>
                  </w:tcBorders>
                  <w:noWrap w:val="0"/>
                  <w:vAlign w:val="center"/>
                </w:tcPr>
                <w:p w14:paraId="67388070">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2022</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11</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18</w:t>
                  </w:r>
                </w:p>
              </w:tc>
              <w:tc>
                <w:tcPr>
                  <w:tcW w:w="450" w:type="pct"/>
                  <w:tcBorders>
                    <w:tl2br w:val="nil"/>
                    <w:tr2bl w:val="nil"/>
                  </w:tcBorders>
                  <w:noWrap w:val="0"/>
                  <w:vAlign w:val="center"/>
                </w:tcPr>
                <w:p w14:paraId="1C0E93EA">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7.04</w:t>
                  </w:r>
                </w:p>
              </w:tc>
              <w:tc>
                <w:tcPr>
                  <w:tcW w:w="450" w:type="pct"/>
                  <w:tcBorders>
                    <w:tl2br w:val="nil"/>
                    <w:tr2bl w:val="nil"/>
                  </w:tcBorders>
                  <w:noWrap w:val="0"/>
                  <w:vAlign w:val="center"/>
                </w:tcPr>
                <w:p w14:paraId="37A49B1B">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7.24</w:t>
                  </w:r>
                </w:p>
              </w:tc>
              <w:tc>
                <w:tcPr>
                  <w:tcW w:w="450" w:type="pct"/>
                  <w:tcBorders>
                    <w:tl2br w:val="nil"/>
                    <w:tr2bl w:val="nil"/>
                  </w:tcBorders>
                  <w:noWrap w:val="0"/>
                  <w:vAlign w:val="center"/>
                </w:tcPr>
                <w:p w14:paraId="2C159C36">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6.92</w:t>
                  </w:r>
                </w:p>
              </w:tc>
              <w:tc>
                <w:tcPr>
                  <w:tcW w:w="452" w:type="pct"/>
                  <w:tcBorders>
                    <w:tl2br w:val="nil"/>
                    <w:tr2bl w:val="nil"/>
                  </w:tcBorders>
                  <w:noWrap w:val="0"/>
                  <w:vAlign w:val="center"/>
                </w:tcPr>
                <w:p w14:paraId="3C657A16">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6.56</w:t>
                  </w:r>
                </w:p>
              </w:tc>
              <w:tc>
                <w:tcPr>
                  <w:tcW w:w="563" w:type="pct"/>
                  <w:tcBorders>
                    <w:tl2br w:val="nil"/>
                    <w:tr2bl w:val="nil"/>
                  </w:tcBorders>
                  <w:noWrap w:val="0"/>
                  <w:vAlign w:val="center"/>
                </w:tcPr>
                <w:p w14:paraId="2405E66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6.94</w:t>
                  </w:r>
                </w:p>
              </w:tc>
              <w:tc>
                <w:tcPr>
                  <w:tcW w:w="481" w:type="pct"/>
                  <w:vMerge w:val="continue"/>
                  <w:tcBorders>
                    <w:tl2br w:val="nil"/>
                    <w:tr2bl w:val="nil"/>
                  </w:tcBorders>
                  <w:noWrap w:val="0"/>
                  <w:vAlign w:val="center"/>
                </w:tcPr>
                <w:p w14:paraId="62A15CD1">
                  <w:pPr>
                    <w:pStyle w:val="119"/>
                    <w:bidi w:val="0"/>
                    <w:ind w:firstLine="0" w:firstLineChars="0"/>
                    <w:rPr>
                      <w:rFonts w:hint="default" w:ascii="Times New Roman" w:hAnsi="Times New Roman" w:cs="Times New Roman"/>
                      <w:color w:val="auto"/>
                      <w:sz w:val="21"/>
                      <w:szCs w:val="21"/>
                      <w:lang w:eastAsia="zh-CN"/>
                    </w:rPr>
                  </w:pPr>
                </w:p>
              </w:tc>
              <w:tc>
                <w:tcPr>
                  <w:tcW w:w="450" w:type="pct"/>
                  <w:tcBorders>
                    <w:tl2br w:val="nil"/>
                    <w:tr2bl w:val="nil"/>
                  </w:tcBorders>
                  <w:noWrap w:val="0"/>
                  <w:vAlign w:val="center"/>
                </w:tcPr>
                <w:p w14:paraId="2500F49B">
                  <w:pPr>
                    <w:pStyle w:val="119"/>
                    <w:bidi w:val="0"/>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达标</w:t>
                  </w:r>
                </w:p>
              </w:tc>
            </w:tr>
            <w:tr w14:paraId="5F3256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52" w:type="pct"/>
                  <w:vMerge w:val="continue"/>
                  <w:tcBorders>
                    <w:tl2br w:val="nil"/>
                    <w:tr2bl w:val="nil"/>
                  </w:tcBorders>
                  <w:noWrap w:val="0"/>
                  <w:vAlign w:val="center"/>
                </w:tcPr>
                <w:p w14:paraId="058A0B31">
                  <w:pPr>
                    <w:pStyle w:val="119"/>
                    <w:bidi w:val="0"/>
                    <w:rPr>
                      <w:rFonts w:hint="default" w:ascii="Times New Roman" w:hAnsi="Times New Roman" w:cs="Times New Roman"/>
                      <w:color w:val="auto"/>
                      <w:sz w:val="21"/>
                      <w:szCs w:val="21"/>
                      <w:lang w:eastAsia="zh-CN"/>
                    </w:rPr>
                  </w:pPr>
                </w:p>
              </w:tc>
              <w:tc>
                <w:tcPr>
                  <w:tcW w:w="393" w:type="pct"/>
                  <w:vMerge w:val="restart"/>
                  <w:tcBorders>
                    <w:tl2br w:val="nil"/>
                    <w:tr2bl w:val="nil"/>
                  </w:tcBorders>
                  <w:noWrap w:val="0"/>
                  <w:vAlign w:val="center"/>
                </w:tcPr>
                <w:p w14:paraId="44FD9BA0">
                  <w:pPr>
                    <w:pStyle w:val="119"/>
                    <w:bidi w:val="0"/>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总磷</w:t>
                  </w:r>
                </w:p>
              </w:tc>
              <w:tc>
                <w:tcPr>
                  <w:tcW w:w="1647" w:type="dxa"/>
                  <w:tcBorders>
                    <w:tl2br w:val="nil"/>
                    <w:tr2bl w:val="nil"/>
                  </w:tcBorders>
                  <w:noWrap w:val="0"/>
                  <w:vAlign w:val="center"/>
                </w:tcPr>
                <w:p w14:paraId="7A226D8B">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2022</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11</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17</w:t>
                  </w:r>
                </w:p>
              </w:tc>
              <w:tc>
                <w:tcPr>
                  <w:tcW w:w="450" w:type="pct"/>
                  <w:tcBorders>
                    <w:tl2br w:val="nil"/>
                    <w:tr2bl w:val="nil"/>
                  </w:tcBorders>
                  <w:noWrap w:val="0"/>
                  <w:vAlign w:val="center"/>
                </w:tcPr>
                <w:p w14:paraId="13244FC7">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1.21</w:t>
                  </w:r>
                </w:p>
              </w:tc>
              <w:tc>
                <w:tcPr>
                  <w:tcW w:w="450" w:type="pct"/>
                  <w:tcBorders>
                    <w:tl2br w:val="nil"/>
                    <w:tr2bl w:val="nil"/>
                  </w:tcBorders>
                  <w:noWrap w:val="0"/>
                  <w:vAlign w:val="center"/>
                </w:tcPr>
                <w:p w14:paraId="5660D04F">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1.22</w:t>
                  </w:r>
                </w:p>
              </w:tc>
              <w:tc>
                <w:tcPr>
                  <w:tcW w:w="450" w:type="pct"/>
                  <w:tcBorders>
                    <w:tl2br w:val="nil"/>
                    <w:tr2bl w:val="nil"/>
                  </w:tcBorders>
                  <w:noWrap w:val="0"/>
                  <w:vAlign w:val="center"/>
                </w:tcPr>
                <w:p w14:paraId="3E6FBC53">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1.21</w:t>
                  </w:r>
                </w:p>
              </w:tc>
              <w:tc>
                <w:tcPr>
                  <w:tcW w:w="452" w:type="pct"/>
                  <w:tcBorders>
                    <w:tl2br w:val="nil"/>
                    <w:tr2bl w:val="nil"/>
                  </w:tcBorders>
                  <w:noWrap w:val="0"/>
                  <w:vAlign w:val="center"/>
                </w:tcPr>
                <w:p w14:paraId="594F3E71">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1.19</w:t>
                  </w:r>
                </w:p>
              </w:tc>
              <w:tc>
                <w:tcPr>
                  <w:tcW w:w="563" w:type="pct"/>
                  <w:tcBorders>
                    <w:tl2br w:val="nil"/>
                    <w:tr2bl w:val="nil"/>
                  </w:tcBorders>
                  <w:noWrap w:val="0"/>
                  <w:vAlign w:val="center"/>
                </w:tcPr>
                <w:p w14:paraId="64D8C8D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1.21</w:t>
                  </w:r>
                </w:p>
              </w:tc>
              <w:tc>
                <w:tcPr>
                  <w:tcW w:w="481" w:type="pct"/>
                  <w:vMerge w:val="restart"/>
                  <w:tcBorders>
                    <w:tl2br w:val="nil"/>
                    <w:tr2bl w:val="nil"/>
                  </w:tcBorders>
                  <w:noWrap w:val="0"/>
                  <w:vAlign w:val="center"/>
                </w:tcPr>
                <w:p w14:paraId="2EC398EB">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450" w:type="pct"/>
                  <w:tcBorders>
                    <w:tl2br w:val="nil"/>
                    <w:tr2bl w:val="nil"/>
                  </w:tcBorders>
                  <w:noWrap w:val="0"/>
                  <w:vAlign w:val="center"/>
                </w:tcPr>
                <w:p w14:paraId="7F98F25E">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r w14:paraId="014C84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52" w:type="pct"/>
                  <w:vMerge w:val="continue"/>
                  <w:tcBorders>
                    <w:tl2br w:val="nil"/>
                    <w:tr2bl w:val="nil"/>
                  </w:tcBorders>
                  <w:noWrap w:val="0"/>
                  <w:vAlign w:val="center"/>
                </w:tcPr>
                <w:p w14:paraId="5BE4073D">
                  <w:pPr>
                    <w:pStyle w:val="119"/>
                    <w:bidi w:val="0"/>
                    <w:rPr>
                      <w:rFonts w:hint="default" w:ascii="Times New Roman" w:hAnsi="Times New Roman" w:cs="Times New Roman"/>
                      <w:color w:val="auto"/>
                      <w:sz w:val="21"/>
                      <w:szCs w:val="21"/>
                      <w:lang w:val="en-US" w:eastAsia="zh-CN"/>
                    </w:rPr>
                  </w:pPr>
                </w:p>
              </w:tc>
              <w:tc>
                <w:tcPr>
                  <w:tcW w:w="393" w:type="pct"/>
                  <w:vMerge w:val="continue"/>
                  <w:tcBorders>
                    <w:tl2br w:val="nil"/>
                    <w:tr2bl w:val="nil"/>
                  </w:tcBorders>
                  <w:noWrap w:val="0"/>
                  <w:vAlign w:val="center"/>
                </w:tcPr>
                <w:p w14:paraId="0BA48E65">
                  <w:pPr>
                    <w:pStyle w:val="119"/>
                    <w:bidi w:val="0"/>
                    <w:ind w:firstLine="0" w:firstLineChars="0"/>
                    <w:rPr>
                      <w:rFonts w:hint="default" w:ascii="Times New Roman" w:hAnsi="Times New Roman" w:cs="Times New Roman"/>
                      <w:color w:val="auto"/>
                      <w:sz w:val="21"/>
                      <w:szCs w:val="21"/>
                      <w:lang w:val="en-US" w:eastAsia="zh-CN"/>
                    </w:rPr>
                  </w:pPr>
                </w:p>
              </w:tc>
              <w:tc>
                <w:tcPr>
                  <w:tcW w:w="1647" w:type="dxa"/>
                  <w:tcBorders>
                    <w:tl2br w:val="nil"/>
                    <w:tr2bl w:val="nil"/>
                  </w:tcBorders>
                  <w:noWrap w:val="0"/>
                  <w:vAlign w:val="center"/>
                </w:tcPr>
                <w:p w14:paraId="457672A0">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2022</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11</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18</w:t>
                  </w:r>
                </w:p>
              </w:tc>
              <w:tc>
                <w:tcPr>
                  <w:tcW w:w="450" w:type="pct"/>
                  <w:tcBorders>
                    <w:tl2br w:val="nil"/>
                    <w:tr2bl w:val="nil"/>
                  </w:tcBorders>
                  <w:noWrap w:val="0"/>
                  <w:vAlign w:val="center"/>
                </w:tcPr>
                <w:p w14:paraId="32D2AF52">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1.08</w:t>
                  </w:r>
                </w:p>
              </w:tc>
              <w:tc>
                <w:tcPr>
                  <w:tcW w:w="450" w:type="pct"/>
                  <w:tcBorders>
                    <w:tl2br w:val="nil"/>
                    <w:tr2bl w:val="nil"/>
                  </w:tcBorders>
                  <w:noWrap w:val="0"/>
                  <w:vAlign w:val="center"/>
                </w:tcPr>
                <w:p w14:paraId="6BE2B621">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1.09</w:t>
                  </w:r>
                </w:p>
              </w:tc>
              <w:tc>
                <w:tcPr>
                  <w:tcW w:w="450" w:type="pct"/>
                  <w:tcBorders>
                    <w:tl2br w:val="nil"/>
                    <w:tr2bl w:val="nil"/>
                  </w:tcBorders>
                  <w:noWrap w:val="0"/>
                  <w:vAlign w:val="center"/>
                </w:tcPr>
                <w:p w14:paraId="4CD33544">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1.08</w:t>
                  </w:r>
                </w:p>
              </w:tc>
              <w:tc>
                <w:tcPr>
                  <w:tcW w:w="452" w:type="pct"/>
                  <w:tcBorders>
                    <w:tl2br w:val="nil"/>
                    <w:tr2bl w:val="nil"/>
                  </w:tcBorders>
                  <w:noWrap w:val="0"/>
                  <w:vAlign w:val="center"/>
                </w:tcPr>
                <w:p w14:paraId="645356CA">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1.06</w:t>
                  </w:r>
                </w:p>
              </w:tc>
              <w:tc>
                <w:tcPr>
                  <w:tcW w:w="563" w:type="pct"/>
                  <w:tcBorders>
                    <w:tl2br w:val="nil"/>
                    <w:tr2bl w:val="nil"/>
                  </w:tcBorders>
                  <w:noWrap w:val="0"/>
                  <w:vAlign w:val="center"/>
                </w:tcPr>
                <w:p w14:paraId="2C37DED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1.08</w:t>
                  </w:r>
                </w:p>
              </w:tc>
              <w:tc>
                <w:tcPr>
                  <w:tcW w:w="481" w:type="pct"/>
                  <w:vMerge w:val="continue"/>
                  <w:tcBorders>
                    <w:tl2br w:val="nil"/>
                    <w:tr2bl w:val="nil"/>
                  </w:tcBorders>
                  <w:noWrap w:val="0"/>
                  <w:vAlign w:val="center"/>
                </w:tcPr>
                <w:p w14:paraId="75CBE803">
                  <w:pPr>
                    <w:pStyle w:val="119"/>
                    <w:bidi w:val="0"/>
                    <w:ind w:firstLine="0" w:firstLineChars="0"/>
                    <w:rPr>
                      <w:rFonts w:hint="default" w:ascii="Times New Roman" w:hAnsi="Times New Roman" w:cs="Times New Roman"/>
                      <w:color w:val="auto"/>
                      <w:sz w:val="21"/>
                      <w:szCs w:val="21"/>
                      <w:lang w:val="en-US" w:eastAsia="zh-CN"/>
                    </w:rPr>
                  </w:pPr>
                </w:p>
              </w:tc>
              <w:tc>
                <w:tcPr>
                  <w:tcW w:w="450" w:type="pct"/>
                  <w:tcBorders>
                    <w:tl2br w:val="nil"/>
                    <w:tr2bl w:val="nil"/>
                  </w:tcBorders>
                  <w:noWrap w:val="0"/>
                  <w:vAlign w:val="center"/>
                </w:tcPr>
                <w:p w14:paraId="3B66909C">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r w14:paraId="611CF8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52" w:type="pct"/>
                  <w:vMerge w:val="continue"/>
                  <w:tcBorders>
                    <w:tl2br w:val="nil"/>
                    <w:tr2bl w:val="nil"/>
                  </w:tcBorders>
                  <w:noWrap w:val="0"/>
                  <w:vAlign w:val="center"/>
                </w:tcPr>
                <w:p w14:paraId="63B999B1">
                  <w:pPr>
                    <w:pStyle w:val="119"/>
                    <w:bidi w:val="0"/>
                    <w:rPr>
                      <w:rFonts w:hint="default" w:ascii="Times New Roman" w:hAnsi="Times New Roman" w:cs="Times New Roman"/>
                      <w:color w:val="auto"/>
                      <w:sz w:val="21"/>
                      <w:szCs w:val="21"/>
                      <w:lang w:val="en-US" w:eastAsia="zh-CN"/>
                    </w:rPr>
                  </w:pPr>
                </w:p>
              </w:tc>
              <w:tc>
                <w:tcPr>
                  <w:tcW w:w="393" w:type="pct"/>
                  <w:vMerge w:val="restart"/>
                  <w:tcBorders>
                    <w:tl2br w:val="nil"/>
                    <w:tr2bl w:val="nil"/>
                  </w:tcBorders>
                  <w:noWrap w:val="0"/>
                  <w:vAlign w:val="center"/>
                </w:tcPr>
                <w:p w14:paraId="088374C2">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总氮</w:t>
                  </w:r>
                </w:p>
              </w:tc>
              <w:tc>
                <w:tcPr>
                  <w:tcW w:w="1647" w:type="dxa"/>
                  <w:tcBorders>
                    <w:tl2br w:val="nil"/>
                    <w:tr2bl w:val="nil"/>
                  </w:tcBorders>
                  <w:noWrap w:val="0"/>
                  <w:vAlign w:val="center"/>
                </w:tcPr>
                <w:p w14:paraId="05E01311">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2022</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11</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17</w:t>
                  </w:r>
                </w:p>
              </w:tc>
              <w:tc>
                <w:tcPr>
                  <w:tcW w:w="450" w:type="pct"/>
                  <w:tcBorders>
                    <w:tl2br w:val="nil"/>
                    <w:tr2bl w:val="nil"/>
                  </w:tcBorders>
                  <w:noWrap w:val="0"/>
                  <w:vAlign w:val="center"/>
                </w:tcPr>
                <w:p w14:paraId="712C42EE">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20.8</w:t>
                  </w:r>
                </w:p>
              </w:tc>
              <w:tc>
                <w:tcPr>
                  <w:tcW w:w="450" w:type="pct"/>
                  <w:tcBorders>
                    <w:tl2br w:val="nil"/>
                    <w:tr2bl w:val="nil"/>
                  </w:tcBorders>
                  <w:noWrap w:val="0"/>
                  <w:vAlign w:val="center"/>
                </w:tcPr>
                <w:p w14:paraId="00D871D6">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20.8</w:t>
                  </w:r>
                </w:p>
              </w:tc>
              <w:tc>
                <w:tcPr>
                  <w:tcW w:w="450" w:type="pct"/>
                  <w:tcBorders>
                    <w:tl2br w:val="nil"/>
                    <w:tr2bl w:val="nil"/>
                  </w:tcBorders>
                  <w:noWrap w:val="0"/>
                  <w:vAlign w:val="center"/>
                </w:tcPr>
                <w:p w14:paraId="6CC458FA">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20.6</w:t>
                  </w:r>
                </w:p>
              </w:tc>
              <w:tc>
                <w:tcPr>
                  <w:tcW w:w="452" w:type="pct"/>
                  <w:tcBorders>
                    <w:tl2br w:val="nil"/>
                    <w:tr2bl w:val="nil"/>
                  </w:tcBorders>
                  <w:noWrap w:val="0"/>
                  <w:vAlign w:val="center"/>
                </w:tcPr>
                <w:p w14:paraId="3C010F33">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21.7</w:t>
                  </w:r>
                </w:p>
              </w:tc>
              <w:tc>
                <w:tcPr>
                  <w:tcW w:w="563" w:type="pct"/>
                  <w:tcBorders>
                    <w:tl2br w:val="nil"/>
                    <w:tr2bl w:val="nil"/>
                  </w:tcBorders>
                  <w:noWrap w:val="0"/>
                  <w:vAlign w:val="center"/>
                </w:tcPr>
                <w:p w14:paraId="46C6677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21.0</w:t>
                  </w:r>
                </w:p>
              </w:tc>
              <w:tc>
                <w:tcPr>
                  <w:tcW w:w="481" w:type="pct"/>
                  <w:vMerge w:val="restart"/>
                  <w:tcBorders>
                    <w:tl2br w:val="nil"/>
                    <w:tr2bl w:val="nil"/>
                  </w:tcBorders>
                  <w:noWrap w:val="0"/>
                  <w:vAlign w:val="center"/>
                </w:tcPr>
                <w:p w14:paraId="066123E9">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23</w:t>
                  </w:r>
                </w:p>
              </w:tc>
              <w:tc>
                <w:tcPr>
                  <w:tcW w:w="450" w:type="pct"/>
                  <w:tcBorders>
                    <w:tl2br w:val="nil"/>
                    <w:tr2bl w:val="nil"/>
                  </w:tcBorders>
                  <w:noWrap w:val="0"/>
                  <w:vAlign w:val="center"/>
                </w:tcPr>
                <w:p w14:paraId="47C522AF">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r w14:paraId="3FA611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52" w:type="pct"/>
                  <w:vMerge w:val="continue"/>
                  <w:tcBorders>
                    <w:tl2br w:val="nil"/>
                    <w:tr2bl w:val="nil"/>
                  </w:tcBorders>
                  <w:noWrap w:val="0"/>
                  <w:vAlign w:val="center"/>
                </w:tcPr>
                <w:p w14:paraId="641CCBE9">
                  <w:pPr>
                    <w:pStyle w:val="119"/>
                    <w:bidi w:val="0"/>
                    <w:rPr>
                      <w:rFonts w:hint="default" w:ascii="Times New Roman" w:hAnsi="Times New Roman" w:cs="Times New Roman"/>
                      <w:color w:val="auto"/>
                      <w:sz w:val="21"/>
                      <w:szCs w:val="21"/>
                      <w:lang w:val="en-US" w:eastAsia="zh-CN"/>
                    </w:rPr>
                  </w:pPr>
                </w:p>
              </w:tc>
              <w:tc>
                <w:tcPr>
                  <w:tcW w:w="393" w:type="pct"/>
                  <w:vMerge w:val="continue"/>
                  <w:tcBorders>
                    <w:tl2br w:val="nil"/>
                    <w:tr2bl w:val="nil"/>
                  </w:tcBorders>
                  <w:noWrap w:val="0"/>
                  <w:vAlign w:val="center"/>
                </w:tcPr>
                <w:p w14:paraId="28B441A7">
                  <w:pPr>
                    <w:pStyle w:val="119"/>
                    <w:bidi w:val="0"/>
                    <w:ind w:firstLine="0" w:firstLineChars="0"/>
                    <w:rPr>
                      <w:rFonts w:hint="default" w:ascii="Times New Roman" w:hAnsi="Times New Roman" w:cs="Times New Roman"/>
                      <w:color w:val="auto"/>
                      <w:sz w:val="21"/>
                      <w:szCs w:val="21"/>
                    </w:rPr>
                  </w:pPr>
                </w:p>
              </w:tc>
              <w:tc>
                <w:tcPr>
                  <w:tcW w:w="1647" w:type="dxa"/>
                  <w:tcBorders>
                    <w:tl2br w:val="nil"/>
                    <w:tr2bl w:val="nil"/>
                  </w:tcBorders>
                  <w:noWrap w:val="0"/>
                  <w:vAlign w:val="center"/>
                </w:tcPr>
                <w:p w14:paraId="6DD46581">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2022</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11</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18</w:t>
                  </w:r>
                </w:p>
              </w:tc>
              <w:tc>
                <w:tcPr>
                  <w:tcW w:w="450" w:type="pct"/>
                  <w:tcBorders>
                    <w:tl2br w:val="nil"/>
                    <w:tr2bl w:val="nil"/>
                  </w:tcBorders>
                  <w:noWrap w:val="0"/>
                  <w:vAlign w:val="center"/>
                </w:tcPr>
                <w:p w14:paraId="308D040B">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21.4</w:t>
                  </w:r>
                </w:p>
              </w:tc>
              <w:tc>
                <w:tcPr>
                  <w:tcW w:w="450" w:type="pct"/>
                  <w:tcBorders>
                    <w:tl2br w:val="nil"/>
                    <w:tr2bl w:val="nil"/>
                  </w:tcBorders>
                  <w:noWrap w:val="0"/>
                  <w:vAlign w:val="center"/>
                </w:tcPr>
                <w:p w14:paraId="7C52CDD3">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22.0</w:t>
                  </w:r>
                </w:p>
              </w:tc>
              <w:tc>
                <w:tcPr>
                  <w:tcW w:w="450" w:type="pct"/>
                  <w:tcBorders>
                    <w:tl2br w:val="nil"/>
                    <w:tr2bl w:val="nil"/>
                  </w:tcBorders>
                  <w:noWrap w:val="0"/>
                  <w:vAlign w:val="center"/>
                </w:tcPr>
                <w:p w14:paraId="7A7B1EE2">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20.9</w:t>
                  </w:r>
                </w:p>
              </w:tc>
              <w:tc>
                <w:tcPr>
                  <w:tcW w:w="452" w:type="pct"/>
                  <w:tcBorders>
                    <w:tl2br w:val="nil"/>
                    <w:tr2bl w:val="nil"/>
                  </w:tcBorders>
                  <w:noWrap w:val="0"/>
                  <w:vAlign w:val="center"/>
                </w:tcPr>
                <w:p w14:paraId="774801DE">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20.8</w:t>
                  </w:r>
                </w:p>
              </w:tc>
              <w:tc>
                <w:tcPr>
                  <w:tcW w:w="563" w:type="pct"/>
                  <w:tcBorders>
                    <w:tl2br w:val="nil"/>
                    <w:tr2bl w:val="nil"/>
                  </w:tcBorders>
                  <w:noWrap w:val="0"/>
                  <w:vAlign w:val="center"/>
                </w:tcPr>
                <w:p w14:paraId="774F1D0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21.3</w:t>
                  </w:r>
                </w:p>
              </w:tc>
              <w:tc>
                <w:tcPr>
                  <w:tcW w:w="481" w:type="pct"/>
                  <w:vMerge w:val="continue"/>
                  <w:tcBorders>
                    <w:tl2br w:val="nil"/>
                    <w:tr2bl w:val="nil"/>
                  </w:tcBorders>
                  <w:noWrap w:val="0"/>
                  <w:vAlign w:val="center"/>
                </w:tcPr>
                <w:p w14:paraId="346BF753">
                  <w:pPr>
                    <w:pStyle w:val="119"/>
                    <w:bidi w:val="0"/>
                    <w:ind w:firstLine="0" w:firstLineChars="0"/>
                    <w:rPr>
                      <w:rFonts w:hint="default" w:ascii="Times New Roman" w:hAnsi="Times New Roman" w:cs="Times New Roman"/>
                      <w:color w:val="auto"/>
                      <w:sz w:val="21"/>
                      <w:szCs w:val="21"/>
                      <w:lang w:val="en-US" w:eastAsia="zh-CN"/>
                    </w:rPr>
                  </w:pPr>
                </w:p>
              </w:tc>
              <w:tc>
                <w:tcPr>
                  <w:tcW w:w="450" w:type="pct"/>
                  <w:tcBorders>
                    <w:tl2br w:val="nil"/>
                    <w:tr2bl w:val="nil"/>
                  </w:tcBorders>
                  <w:noWrap w:val="0"/>
                  <w:vAlign w:val="center"/>
                </w:tcPr>
                <w:p w14:paraId="6EA43497">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bl>
          <w:p w14:paraId="0726AFA5">
            <w:pPr>
              <w:pStyle w:val="7"/>
              <w:keepNext w:val="0"/>
              <w:keepLines w:val="0"/>
              <w:pageBreakBefore w:val="0"/>
              <w:kinsoku/>
              <w:wordWrap/>
              <w:overflowPunct/>
              <w:topLinePunct w:val="0"/>
              <w:autoSpaceDE/>
              <w:autoSpaceDN/>
              <w:bidi w:val="0"/>
              <w:adjustRightInd w:val="0"/>
              <w:snapToGrid w:val="0"/>
              <w:spacing w:line="500" w:lineRule="exact"/>
              <w:ind w:left="0" w:leftChars="0" w:right="0" w:firstLine="420"/>
              <w:textAlignment w:val="auto"/>
              <w:rPr>
                <w:rFonts w:hint="eastAsia"/>
                <w:b w:val="0"/>
                <w:bCs w:val="0"/>
                <w:color w:val="auto"/>
                <w:sz w:val="21"/>
                <w:szCs w:val="21"/>
                <w:highlight w:val="none"/>
              </w:rPr>
            </w:pPr>
            <w:r>
              <w:rPr>
                <w:rFonts w:hint="eastAsia" w:ascii="宋体" w:hAnsi="宋体" w:cs="宋体"/>
                <w:color w:val="auto"/>
                <w:sz w:val="21"/>
                <w:szCs w:val="21"/>
                <w:highlight w:val="none"/>
              </w:rPr>
              <w:t>监测结</w:t>
            </w:r>
            <w:r>
              <w:rPr>
                <w:rFonts w:hint="eastAsia" w:ascii="宋体" w:hAnsi="宋体" w:cs="宋体"/>
                <w:b w:val="0"/>
                <w:bCs w:val="0"/>
                <w:color w:val="auto"/>
                <w:sz w:val="21"/>
                <w:szCs w:val="21"/>
                <w:highlight w:val="none"/>
              </w:rPr>
              <w:t>果表明，在生活污水正常排放的工况下，厂区污水总排口中污染物浓度均能达到</w:t>
            </w:r>
            <w:r>
              <w:rPr>
                <w:b w:val="0"/>
                <w:bCs w:val="0"/>
                <w:color w:val="auto"/>
                <w:spacing w:val="-4"/>
                <w:sz w:val="21"/>
                <w:szCs w:val="21"/>
                <w:highlight w:val="none"/>
              </w:rPr>
              <w:t>常州金</w:t>
            </w:r>
            <w:r>
              <w:rPr>
                <w:b w:val="0"/>
                <w:bCs w:val="0"/>
                <w:color w:val="auto"/>
                <w:spacing w:val="-3"/>
                <w:sz w:val="21"/>
                <w:szCs w:val="21"/>
                <w:highlight w:val="none"/>
              </w:rPr>
              <w:t>坛</w:t>
            </w:r>
            <w:r>
              <w:rPr>
                <w:b w:val="0"/>
                <w:bCs w:val="0"/>
                <w:color w:val="auto"/>
                <w:spacing w:val="-2"/>
                <w:sz w:val="21"/>
                <w:szCs w:val="21"/>
                <w:highlight w:val="none"/>
              </w:rPr>
              <w:t>区</w:t>
            </w:r>
            <w:r>
              <w:rPr>
                <w:rFonts w:hint="eastAsia"/>
                <w:b w:val="0"/>
                <w:bCs w:val="0"/>
                <w:color w:val="auto"/>
                <w:spacing w:val="-2"/>
                <w:sz w:val="21"/>
                <w:szCs w:val="21"/>
                <w:highlight w:val="none"/>
                <w:lang w:val="en-US" w:eastAsia="zh-CN"/>
              </w:rPr>
              <w:t>溪城</w:t>
            </w:r>
            <w:r>
              <w:rPr>
                <w:b w:val="0"/>
                <w:bCs w:val="0"/>
                <w:color w:val="auto"/>
                <w:spacing w:val="-2"/>
                <w:sz w:val="21"/>
                <w:szCs w:val="21"/>
                <w:highlight w:val="none"/>
              </w:rPr>
              <w:t>污水处理有限公司</w:t>
            </w:r>
            <w:r>
              <w:rPr>
                <w:rFonts w:hint="eastAsia" w:ascii="宋体" w:hAnsi="宋体" w:cs="宋体"/>
                <w:b w:val="0"/>
                <w:bCs w:val="0"/>
                <w:color w:val="auto"/>
                <w:sz w:val="21"/>
                <w:szCs w:val="21"/>
                <w:highlight w:val="none"/>
              </w:rPr>
              <w:t>接管限值</w:t>
            </w:r>
            <w:r>
              <w:rPr>
                <w:rFonts w:hint="eastAsia" w:ascii="宋体" w:hAnsi="宋体" w:cs="宋体"/>
                <w:b w:val="0"/>
                <w:bCs w:val="0"/>
                <w:color w:val="auto"/>
                <w:sz w:val="21"/>
                <w:szCs w:val="21"/>
                <w:highlight w:val="none"/>
                <w:lang w:val="en-US" w:eastAsia="zh-CN"/>
              </w:rPr>
              <w:t>要求</w:t>
            </w:r>
            <w:r>
              <w:rPr>
                <w:rFonts w:hint="eastAsia" w:ascii="宋体" w:hAnsi="宋体" w:cs="宋体"/>
                <w:b w:val="0"/>
                <w:bCs w:val="0"/>
                <w:color w:val="auto"/>
                <w:sz w:val="21"/>
                <w:szCs w:val="21"/>
                <w:highlight w:val="none"/>
              </w:rPr>
              <w:t>。</w:t>
            </w:r>
          </w:p>
          <w:p w14:paraId="7C8BEA9A">
            <w:pPr>
              <w:keepNext w:val="0"/>
              <w:keepLines w:val="0"/>
              <w:pageBreakBefore w:val="0"/>
              <w:kinsoku/>
              <w:wordWrap/>
              <w:overflowPunct/>
              <w:topLinePunct w:val="0"/>
              <w:autoSpaceDE/>
              <w:autoSpaceDN/>
              <w:bidi w:val="0"/>
              <w:adjustRightInd w:val="0"/>
              <w:snapToGrid w:val="0"/>
              <w:spacing w:line="500" w:lineRule="exact"/>
              <w:ind w:left="0" w:leftChars="0" w:right="0" w:firstLine="420" w:firstLineChars="200"/>
              <w:textAlignment w:val="auto"/>
              <w:rPr>
                <w:rFonts w:hint="eastAsia"/>
                <w:b w:val="0"/>
                <w:bCs w:val="0"/>
                <w:color w:val="auto"/>
                <w:sz w:val="21"/>
                <w:szCs w:val="21"/>
                <w:highlight w:val="none"/>
              </w:rPr>
            </w:pPr>
            <w:r>
              <w:rPr>
                <w:rFonts w:hint="eastAsia"/>
                <w:b w:val="0"/>
                <w:bCs w:val="0"/>
                <w:color w:val="auto"/>
                <w:sz w:val="21"/>
                <w:szCs w:val="21"/>
                <w:highlight w:val="none"/>
              </w:rPr>
              <w:t>（3）噪声</w:t>
            </w:r>
          </w:p>
          <w:p w14:paraId="1F5A467D">
            <w:pPr>
              <w:pStyle w:val="2"/>
              <w:keepNext w:val="0"/>
              <w:keepLines w:val="0"/>
              <w:pageBreakBefore w:val="0"/>
              <w:kinsoku/>
              <w:wordWrap/>
              <w:overflowPunct/>
              <w:topLinePunct w:val="0"/>
              <w:autoSpaceDE/>
              <w:autoSpaceDN/>
              <w:bidi w:val="0"/>
              <w:adjustRightInd w:val="0"/>
              <w:snapToGrid w:val="0"/>
              <w:spacing w:before="0" w:after="0" w:line="500" w:lineRule="exact"/>
              <w:ind w:left="0" w:leftChars="0" w:right="0" w:firstLine="420" w:firstLineChars="200"/>
              <w:textAlignment w:val="auto"/>
              <w:rPr>
                <w:rFonts w:ascii="Times New Roman" w:hAnsi="Times New Roman" w:eastAsia="宋体"/>
                <w:b/>
                <w:bCs/>
                <w:color w:val="auto"/>
                <w:sz w:val="21"/>
                <w:szCs w:val="21"/>
                <w:highlight w:val="none"/>
              </w:rPr>
            </w:pPr>
            <w:r>
              <w:rPr>
                <w:rFonts w:hint="eastAsia"/>
                <w:color w:val="auto"/>
                <w:sz w:val="21"/>
                <w:szCs w:val="21"/>
                <w:highlight w:val="none"/>
                <w:lang w:val="en-US" w:eastAsia="zh-CN"/>
              </w:rPr>
              <w:t>已建</w:t>
            </w:r>
            <w:r>
              <w:rPr>
                <w:rFonts w:hint="eastAsia" w:ascii="Times New Roman" w:hAnsi="Times New Roman" w:eastAsia="宋体"/>
                <w:color w:val="auto"/>
                <w:sz w:val="21"/>
                <w:szCs w:val="21"/>
                <w:highlight w:val="none"/>
              </w:rPr>
              <w:t>项目噪声监测结果见</w:t>
            </w:r>
            <w:r>
              <w:rPr>
                <w:rFonts w:hint="eastAsia" w:ascii="Times New Roman" w:hAnsi="Times New Roman" w:eastAsia="宋体"/>
                <w:color w:val="auto"/>
                <w:sz w:val="21"/>
                <w:szCs w:val="21"/>
                <w:highlight w:val="none"/>
                <w:lang w:val="en-US" w:eastAsia="zh-CN"/>
              </w:rPr>
              <w:t>下</w:t>
            </w:r>
            <w:r>
              <w:rPr>
                <w:rFonts w:hint="eastAsia" w:ascii="Times New Roman" w:hAnsi="Times New Roman" w:eastAsia="宋体"/>
                <w:color w:val="auto"/>
                <w:sz w:val="21"/>
                <w:szCs w:val="21"/>
                <w:highlight w:val="none"/>
              </w:rPr>
              <w:t>表。</w:t>
            </w:r>
          </w:p>
          <w:p w14:paraId="7E2E7605">
            <w:pPr>
              <w:pStyle w:val="2"/>
              <w:keepNext w:val="0"/>
              <w:keepLines w:val="0"/>
              <w:pageBreakBefore w:val="0"/>
              <w:widowControl/>
              <w:kinsoku/>
              <w:wordWrap/>
              <w:overflowPunct/>
              <w:topLinePunct w:val="0"/>
              <w:autoSpaceDE/>
              <w:autoSpaceDN/>
              <w:bidi w:val="0"/>
              <w:adjustRightInd w:val="0"/>
              <w:snapToGrid w:val="0"/>
              <w:spacing w:before="0" w:after="0" w:line="500" w:lineRule="exact"/>
              <w:ind w:left="0" w:leftChars="0" w:right="0"/>
              <w:jc w:val="center"/>
              <w:textAlignment w:val="auto"/>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表2-1</w:t>
            </w:r>
            <w:r>
              <w:rPr>
                <w:rFonts w:hint="eastAsia" w:cs="Times New Roman"/>
                <w:b/>
                <w:bCs/>
                <w:color w:val="auto"/>
                <w:sz w:val="21"/>
                <w:szCs w:val="21"/>
                <w:highlight w:val="none"/>
                <w:lang w:val="en-US" w:eastAsia="zh-CN"/>
              </w:rPr>
              <w:t>4</w:t>
            </w:r>
            <w:r>
              <w:rPr>
                <w:rFonts w:hint="eastAsia" w:ascii="Times New Roman" w:hAnsi="Times New Roman" w:eastAsia="宋体" w:cs="Times New Roman"/>
                <w:b/>
                <w:bCs/>
                <w:color w:val="auto"/>
                <w:sz w:val="21"/>
                <w:szCs w:val="21"/>
                <w:highlight w:val="none"/>
              </w:rPr>
              <w:t>厂界噪声监测一览表  单位：dB（A）</w:t>
            </w:r>
          </w:p>
          <w:tbl>
            <w:tblPr>
              <w:tblStyle w:val="32"/>
              <w:tblW w:w="9099"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23"/>
              <w:gridCol w:w="3143"/>
              <w:gridCol w:w="2010"/>
              <w:gridCol w:w="2023"/>
            </w:tblGrid>
            <w:tr w14:paraId="281D5C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3" w:type="dxa"/>
                  <w:vMerge w:val="restart"/>
                  <w:tcBorders>
                    <w:tl2br w:val="nil"/>
                    <w:tr2bl w:val="nil"/>
                  </w:tcBorders>
                  <w:noWrap w:val="0"/>
                  <w:vAlign w:val="center"/>
                </w:tcPr>
                <w:p w14:paraId="5EBD222E">
                  <w:pPr>
                    <w:pStyle w:val="121"/>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监测时间</w:t>
                  </w:r>
                </w:p>
              </w:tc>
              <w:tc>
                <w:tcPr>
                  <w:tcW w:w="3143" w:type="dxa"/>
                  <w:vMerge w:val="restart"/>
                  <w:tcBorders>
                    <w:tl2br w:val="nil"/>
                    <w:tr2bl w:val="nil"/>
                  </w:tcBorders>
                  <w:noWrap w:val="0"/>
                  <w:vAlign w:val="center"/>
                </w:tcPr>
                <w:p w14:paraId="176462CD">
                  <w:pPr>
                    <w:pStyle w:val="121"/>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监测点位</w:t>
                  </w:r>
                </w:p>
              </w:tc>
              <w:tc>
                <w:tcPr>
                  <w:tcW w:w="2010" w:type="dxa"/>
                  <w:tcBorders>
                    <w:tl2br w:val="nil"/>
                    <w:tr2bl w:val="nil"/>
                  </w:tcBorders>
                  <w:noWrap w:val="0"/>
                  <w:vAlign w:val="center"/>
                </w:tcPr>
                <w:p w14:paraId="0480FE88">
                  <w:pPr>
                    <w:pStyle w:val="121"/>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监测结果</w:t>
                  </w:r>
                </w:p>
              </w:tc>
              <w:tc>
                <w:tcPr>
                  <w:tcW w:w="2023" w:type="dxa"/>
                  <w:tcBorders>
                    <w:tl2br w:val="nil"/>
                    <w:tr2bl w:val="nil"/>
                  </w:tcBorders>
                  <w:noWrap w:val="0"/>
                  <w:vAlign w:val="center"/>
                </w:tcPr>
                <w:p w14:paraId="1548F419">
                  <w:pPr>
                    <w:pStyle w:val="121"/>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标准值</w:t>
                  </w:r>
                </w:p>
              </w:tc>
            </w:tr>
            <w:tr w14:paraId="00BB4A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3" w:type="dxa"/>
                  <w:vMerge w:val="continue"/>
                  <w:tcBorders>
                    <w:tl2br w:val="nil"/>
                    <w:tr2bl w:val="nil"/>
                  </w:tcBorders>
                  <w:noWrap w:val="0"/>
                  <w:vAlign w:val="center"/>
                </w:tcPr>
                <w:p w14:paraId="7DFE4904">
                  <w:pPr>
                    <w:pStyle w:val="121"/>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p>
              </w:tc>
              <w:tc>
                <w:tcPr>
                  <w:tcW w:w="3143" w:type="dxa"/>
                  <w:vMerge w:val="continue"/>
                  <w:tcBorders>
                    <w:tl2br w:val="nil"/>
                    <w:tr2bl w:val="nil"/>
                  </w:tcBorders>
                  <w:noWrap w:val="0"/>
                  <w:vAlign w:val="center"/>
                </w:tcPr>
                <w:p w14:paraId="17C1A362">
                  <w:pPr>
                    <w:pStyle w:val="121"/>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p>
              </w:tc>
              <w:tc>
                <w:tcPr>
                  <w:tcW w:w="2010" w:type="dxa"/>
                  <w:tcBorders>
                    <w:tl2br w:val="nil"/>
                    <w:tr2bl w:val="nil"/>
                  </w:tcBorders>
                  <w:noWrap w:val="0"/>
                  <w:vAlign w:val="center"/>
                </w:tcPr>
                <w:p w14:paraId="78DF113B">
                  <w:pPr>
                    <w:pStyle w:val="121"/>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昼间</w:t>
                  </w:r>
                </w:p>
              </w:tc>
              <w:tc>
                <w:tcPr>
                  <w:tcW w:w="2023" w:type="dxa"/>
                  <w:tcBorders>
                    <w:tl2br w:val="nil"/>
                    <w:tr2bl w:val="nil"/>
                  </w:tcBorders>
                  <w:noWrap w:val="0"/>
                  <w:vAlign w:val="center"/>
                </w:tcPr>
                <w:p w14:paraId="7AE1EF06">
                  <w:pPr>
                    <w:pStyle w:val="121"/>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昼间</w:t>
                  </w:r>
                </w:p>
              </w:tc>
            </w:tr>
            <w:tr w14:paraId="00EFBE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923" w:type="dxa"/>
                  <w:vMerge w:val="restart"/>
                  <w:tcBorders>
                    <w:tl2br w:val="nil"/>
                    <w:tr2bl w:val="nil"/>
                  </w:tcBorders>
                  <w:noWrap w:val="0"/>
                  <w:vAlign w:val="center"/>
                </w:tcPr>
                <w:p w14:paraId="23C1D254">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2022</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11</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17</w:t>
                  </w:r>
                </w:p>
              </w:tc>
              <w:tc>
                <w:tcPr>
                  <w:tcW w:w="3143" w:type="dxa"/>
                  <w:tcBorders>
                    <w:tl2br w:val="nil"/>
                    <w:tr2bl w:val="nil"/>
                  </w:tcBorders>
                  <w:noWrap w:val="0"/>
                  <w:vAlign w:val="center"/>
                </w:tcPr>
                <w:p w14:paraId="66DDB740">
                  <w:pPr>
                    <w:pStyle w:val="11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厂界外东1米处▲1#</w:t>
                  </w:r>
                </w:p>
              </w:tc>
              <w:tc>
                <w:tcPr>
                  <w:tcW w:w="2010" w:type="dxa"/>
                  <w:tcBorders>
                    <w:tl2br w:val="nil"/>
                    <w:tr2bl w:val="nil"/>
                  </w:tcBorders>
                  <w:noWrap w:val="0"/>
                  <w:vAlign w:val="center"/>
                </w:tcPr>
                <w:p w14:paraId="36386CA7">
                  <w:pPr>
                    <w:pStyle w:val="11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59.7</w:t>
                  </w:r>
                </w:p>
              </w:tc>
              <w:tc>
                <w:tcPr>
                  <w:tcW w:w="2023" w:type="dxa"/>
                  <w:tcBorders>
                    <w:tl2br w:val="nil"/>
                    <w:tr2bl w:val="nil"/>
                  </w:tcBorders>
                  <w:noWrap w:val="0"/>
                  <w:vAlign w:val="center"/>
                </w:tcPr>
                <w:p w14:paraId="6FF2FA2D">
                  <w:pPr>
                    <w:pStyle w:val="11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≤65</w:t>
                  </w:r>
                </w:p>
              </w:tc>
            </w:tr>
            <w:tr w14:paraId="27B1FD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923" w:type="dxa"/>
                  <w:vMerge w:val="continue"/>
                  <w:tcBorders>
                    <w:tl2br w:val="nil"/>
                    <w:tr2bl w:val="nil"/>
                  </w:tcBorders>
                  <w:noWrap w:val="0"/>
                  <w:vAlign w:val="center"/>
                </w:tcPr>
                <w:p w14:paraId="614756AD">
                  <w:pPr>
                    <w:pStyle w:val="11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p>
              </w:tc>
              <w:tc>
                <w:tcPr>
                  <w:tcW w:w="3143" w:type="dxa"/>
                  <w:tcBorders>
                    <w:tl2br w:val="nil"/>
                    <w:tr2bl w:val="nil"/>
                  </w:tcBorders>
                  <w:noWrap w:val="0"/>
                  <w:vAlign w:val="center"/>
                </w:tcPr>
                <w:p w14:paraId="49D19729">
                  <w:pPr>
                    <w:pStyle w:val="11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厂界外南1米处▲2#</w:t>
                  </w:r>
                </w:p>
              </w:tc>
              <w:tc>
                <w:tcPr>
                  <w:tcW w:w="2010" w:type="dxa"/>
                  <w:tcBorders>
                    <w:tl2br w:val="nil"/>
                    <w:tr2bl w:val="nil"/>
                  </w:tcBorders>
                  <w:noWrap w:val="0"/>
                  <w:vAlign w:val="center"/>
                </w:tcPr>
                <w:p w14:paraId="5A273A1B">
                  <w:pPr>
                    <w:pStyle w:val="11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60.5</w:t>
                  </w:r>
                </w:p>
              </w:tc>
              <w:tc>
                <w:tcPr>
                  <w:tcW w:w="2023" w:type="dxa"/>
                  <w:tcBorders>
                    <w:tl2br w:val="nil"/>
                    <w:tr2bl w:val="nil"/>
                  </w:tcBorders>
                  <w:noWrap w:val="0"/>
                  <w:vAlign w:val="center"/>
                </w:tcPr>
                <w:p w14:paraId="527FFD75">
                  <w:pPr>
                    <w:pStyle w:val="11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≤65</w:t>
                  </w:r>
                </w:p>
              </w:tc>
            </w:tr>
            <w:tr w14:paraId="0A2C03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923" w:type="dxa"/>
                  <w:vMerge w:val="continue"/>
                  <w:tcBorders>
                    <w:tl2br w:val="nil"/>
                    <w:tr2bl w:val="nil"/>
                  </w:tcBorders>
                  <w:noWrap w:val="0"/>
                  <w:vAlign w:val="center"/>
                </w:tcPr>
                <w:p w14:paraId="6E91647A">
                  <w:pPr>
                    <w:pStyle w:val="11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p>
              </w:tc>
              <w:tc>
                <w:tcPr>
                  <w:tcW w:w="3143" w:type="dxa"/>
                  <w:tcBorders>
                    <w:tl2br w:val="nil"/>
                    <w:tr2bl w:val="nil"/>
                  </w:tcBorders>
                  <w:noWrap w:val="0"/>
                  <w:vAlign w:val="center"/>
                </w:tcPr>
                <w:p w14:paraId="2B80F76A">
                  <w:pPr>
                    <w:pStyle w:val="11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厂界外西1米处▲3#</w:t>
                  </w:r>
                </w:p>
              </w:tc>
              <w:tc>
                <w:tcPr>
                  <w:tcW w:w="2010" w:type="dxa"/>
                  <w:tcBorders>
                    <w:tl2br w:val="nil"/>
                    <w:tr2bl w:val="nil"/>
                  </w:tcBorders>
                  <w:noWrap w:val="0"/>
                  <w:vAlign w:val="center"/>
                </w:tcPr>
                <w:p w14:paraId="45F99722">
                  <w:pPr>
                    <w:pStyle w:val="11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59.8</w:t>
                  </w:r>
                </w:p>
              </w:tc>
              <w:tc>
                <w:tcPr>
                  <w:tcW w:w="2023" w:type="dxa"/>
                  <w:tcBorders>
                    <w:tl2br w:val="nil"/>
                    <w:tr2bl w:val="nil"/>
                  </w:tcBorders>
                  <w:noWrap w:val="0"/>
                  <w:vAlign w:val="center"/>
                </w:tcPr>
                <w:p w14:paraId="13D4ED12">
                  <w:pPr>
                    <w:pStyle w:val="11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≤65</w:t>
                  </w:r>
                </w:p>
              </w:tc>
            </w:tr>
            <w:tr w14:paraId="06AE37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923" w:type="dxa"/>
                  <w:vMerge w:val="continue"/>
                  <w:tcBorders>
                    <w:tl2br w:val="nil"/>
                    <w:tr2bl w:val="nil"/>
                  </w:tcBorders>
                  <w:noWrap w:val="0"/>
                  <w:vAlign w:val="center"/>
                </w:tcPr>
                <w:p w14:paraId="4E3EB5D5">
                  <w:pPr>
                    <w:pStyle w:val="11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p>
              </w:tc>
              <w:tc>
                <w:tcPr>
                  <w:tcW w:w="3143" w:type="dxa"/>
                  <w:tcBorders>
                    <w:tl2br w:val="nil"/>
                    <w:tr2bl w:val="nil"/>
                  </w:tcBorders>
                  <w:noWrap w:val="0"/>
                  <w:vAlign w:val="center"/>
                </w:tcPr>
                <w:p w14:paraId="35826025">
                  <w:pPr>
                    <w:pStyle w:val="11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厂界外北1米处▲4#</w:t>
                  </w:r>
                </w:p>
              </w:tc>
              <w:tc>
                <w:tcPr>
                  <w:tcW w:w="2010" w:type="dxa"/>
                  <w:tcBorders>
                    <w:tl2br w:val="nil"/>
                    <w:tr2bl w:val="nil"/>
                  </w:tcBorders>
                  <w:noWrap w:val="0"/>
                  <w:vAlign w:val="center"/>
                </w:tcPr>
                <w:p w14:paraId="28C4C68B">
                  <w:pPr>
                    <w:pStyle w:val="11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58.4</w:t>
                  </w:r>
                </w:p>
              </w:tc>
              <w:tc>
                <w:tcPr>
                  <w:tcW w:w="2023" w:type="dxa"/>
                  <w:tcBorders>
                    <w:tl2br w:val="nil"/>
                    <w:tr2bl w:val="nil"/>
                  </w:tcBorders>
                  <w:noWrap w:val="0"/>
                  <w:vAlign w:val="center"/>
                </w:tcPr>
                <w:p w14:paraId="107CEE09">
                  <w:pPr>
                    <w:pStyle w:val="11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≤65</w:t>
                  </w:r>
                </w:p>
              </w:tc>
            </w:tr>
            <w:tr w14:paraId="1CFFE4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exact"/>
              </w:trPr>
              <w:tc>
                <w:tcPr>
                  <w:tcW w:w="1923" w:type="dxa"/>
                  <w:vMerge w:val="restart"/>
                  <w:tcBorders>
                    <w:tl2br w:val="nil"/>
                    <w:tr2bl w:val="nil"/>
                  </w:tcBorders>
                  <w:noWrap w:val="0"/>
                  <w:vAlign w:val="center"/>
                </w:tcPr>
                <w:p w14:paraId="25AFD518">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2022</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11</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18</w:t>
                  </w:r>
                </w:p>
              </w:tc>
              <w:tc>
                <w:tcPr>
                  <w:tcW w:w="3143" w:type="dxa"/>
                  <w:tcBorders>
                    <w:tl2br w:val="nil"/>
                    <w:tr2bl w:val="nil"/>
                  </w:tcBorders>
                  <w:noWrap w:val="0"/>
                  <w:vAlign w:val="center"/>
                </w:tcPr>
                <w:p w14:paraId="5BE9883D">
                  <w:pPr>
                    <w:pStyle w:val="11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厂界外东1米处▲1#</w:t>
                  </w:r>
                </w:p>
              </w:tc>
              <w:tc>
                <w:tcPr>
                  <w:tcW w:w="2010" w:type="dxa"/>
                  <w:tcBorders>
                    <w:tl2br w:val="nil"/>
                    <w:tr2bl w:val="nil"/>
                  </w:tcBorders>
                  <w:noWrap w:val="0"/>
                  <w:vAlign w:val="center"/>
                </w:tcPr>
                <w:p w14:paraId="0097C073">
                  <w:pPr>
                    <w:pStyle w:val="11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60.4</w:t>
                  </w:r>
                </w:p>
              </w:tc>
              <w:tc>
                <w:tcPr>
                  <w:tcW w:w="2023" w:type="dxa"/>
                  <w:tcBorders>
                    <w:tl2br w:val="nil"/>
                    <w:tr2bl w:val="nil"/>
                  </w:tcBorders>
                  <w:noWrap w:val="0"/>
                  <w:vAlign w:val="center"/>
                </w:tcPr>
                <w:p w14:paraId="049701B5">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≤65</w:t>
                  </w:r>
                </w:p>
              </w:tc>
            </w:tr>
            <w:tr w14:paraId="00816A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exact"/>
              </w:trPr>
              <w:tc>
                <w:tcPr>
                  <w:tcW w:w="1923" w:type="dxa"/>
                  <w:vMerge w:val="continue"/>
                  <w:tcBorders>
                    <w:tl2br w:val="nil"/>
                    <w:tr2bl w:val="nil"/>
                  </w:tcBorders>
                  <w:noWrap w:val="0"/>
                  <w:vAlign w:val="center"/>
                </w:tcPr>
                <w:p w14:paraId="33458522">
                  <w:pPr>
                    <w:pStyle w:val="11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p>
              </w:tc>
              <w:tc>
                <w:tcPr>
                  <w:tcW w:w="3143" w:type="dxa"/>
                  <w:tcBorders>
                    <w:tl2br w:val="nil"/>
                    <w:tr2bl w:val="nil"/>
                  </w:tcBorders>
                  <w:noWrap w:val="0"/>
                  <w:vAlign w:val="center"/>
                </w:tcPr>
                <w:p w14:paraId="707B17DB">
                  <w:pPr>
                    <w:pStyle w:val="11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厂界外南1米处▲2#</w:t>
                  </w:r>
                </w:p>
              </w:tc>
              <w:tc>
                <w:tcPr>
                  <w:tcW w:w="2010" w:type="dxa"/>
                  <w:tcBorders>
                    <w:tl2br w:val="nil"/>
                    <w:tr2bl w:val="nil"/>
                  </w:tcBorders>
                  <w:noWrap w:val="0"/>
                  <w:vAlign w:val="center"/>
                </w:tcPr>
                <w:p w14:paraId="4477DEB6">
                  <w:pPr>
                    <w:pStyle w:val="11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59.9</w:t>
                  </w:r>
                </w:p>
              </w:tc>
              <w:tc>
                <w:tcPr>
                  <w:tcW w:w="2023" w:type="dxa"/>
                  <w:tcBorders>
                    <w:tl2br w:val="nil"/>
                    <w:tr2bl w:val="nil"/>
                  </w:tcBorders>
                  <w:noWrap w:val="0"/>
                  <w:vAlign w:val="center"/>
                </w:tcPr>
                <w:p w14:paraId="47D4378C">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≤65</w:t>
                  </w:r>
                </w:p>
              </w:tc>
            </w:tr>
            <w:tr w14:paraId="7D99A9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exact"/>
              </w:trPr>
              <w:tc>
                <w:tcPr>
                  <w:tcW w:w="1923" w:type="dxa"/>
                  <w:vMerge w:val="continue"/>
                  <w:tcBorders>
                    <w:tl2br w:val="nil"/>
                    <w:tr2bl w:val="nil"/>
                  </w:tcBorders>
                  <w:noWrap w:val="0"/>
                  <w:vAlign w:val="center"/>
                </w:tcPr>
                <w:p w14:paraId="79F14D34">
                  <w:pPr>
                    <w:pStyle w:val="11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p>
              </w:tc>
              <w:tc>
                <w:tcPr>
                  <w:tcW w:w="3143" w:type="dxa"/>
                  <w:tcBorders>
                    <w:tl2br w:val="nil"/>
                    <w:tr2bl w:val="nil"/>
                  </w:tcBorders>
                  <w:noWrap w:val="0"/>
                  <w:vAlign w:val="center"/>
                </w:tcPr>
                <w:p w14:paraId="1353BABA">
                  <w:pPr>
                    <w:pStyle w:val="11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厂界外西1米处▲3#</w:t>
                  </w:r>
                </w:p>
              </w:tc>
              <w:tc>
                <w:tcPr>
                  <w:tcW w:w="2010" w:type="dxa"/>
                  <w:tcBorders>
                    <w:tl2br w:val="nil"/>
                    <w:tr2bl w:val="nil"/>
                  </w:tcBorders>
                  <w:noWrap w:val="0"/>
                  <w:vAlign w:val="center"/>
                </w:tcPr>
                <w:p w14:paraId="6336748E">
                  <w:pPr>
                    <w:pStyle w:val="11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60.1</w:t>
                  </w:r>
                </w:p>
              </w:tc>
              <w:tc>
                <w:tcPr>
                  <w:tcW w:w="2023" w:type="dxa"/>
                  <w:tcBorders>
                    <w:tl2br w:val="nil"/>
                    <w:tr2bl w:val="nil"/>
                  </w:tcBorders>
                  <w:noWrap w:val="0"/>
                  <w:vAlign w:val="center"/>
                </w:tcPr>
                <w:p w14:paraId="0860F09C">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≤65</w:t>
                  </w:r>
                </w:p>
              </w:tc>
            </w:tr>
            <w:tr w14:paraId="5EAC7D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exact"/>
              </w:trPr>
              <w:tc>
                <w:tcPr>
                  <w:tcW w:w="1923" w:type="dxa"/>
                  <w:vMerge w:val="continue"/>
                  <w:tcBorders>
                    <w:tl2br w:val="nil"/>
                    <w:tr2bl w:val="nil"/>
                  </w:tcBorders>
                  <w:noWrap w:val="0"/>
                  <w:vAlign w:val="center"/>
                </w:tcPr>
                <w:p w14:paraId="55362FCB">
                  <w:pPr>
                    <w:pStyle w:val="11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p>
              </w:tc>
              <w:tc>
                <w:tcPr>
                  <w:tcW w:w="3143" w:type="dxa"/>
                  <w:tcBorders>
                    <w:tl2br w:val="nil"/>
                    <w:tr2bl w:val="nil"/>
                  </w:tcBorders>
                  <w:noWrap w:val="0"/>
                  <w:vAlign w:val="center"/>
                </w:tcPr>
                <w:p w14:paraId="186E4D1F">
                  <w:pPr>
                    <w:pStyle w:val="11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厂界外北1米处▲4#</w:t>
                  </w:r>
                </w:p>
              </w:tc>
              <w:tc>
                <w:tcPr>
                  <w:tcW w:w="2010" w:type="dxa"/>
                  <w:tcBorders>
                    <w:tl2br w:val="nil"/>
                    <w:tr2bl w:val="nil"/>
                  </w:tcBorders>
                  <w:noWrap w:val="0"/>
                  <w:vAlign w:val="center"/>
                </w:tcPr>
                <w:p w14:paraId="06EF02DD">
                  <w:pPr>
                    <w:pStyle w:val="11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59.1</w:t>
                  </w:r>
                </w:p>
              </w:tc>
              <w:tc>
                <w:tcPr>
                  <w:tcW w:w="2023" w:type="dxa"/>
                  <w:tcBorders>
                    <w:tl2br w:val="nil"/>
                    <w:tr2bl w:val="nil"/>
                  </w:tcBorders>
                  <w:noWrap w:val="0"/>
                  <w:vAlign w:val="center"/>
                </w:tcPr>
                <w:p w14:paraId="4BDD4154">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≤65</w:t>
                  </w:r>
                </w:p>
              </w:tc>
            </w:tr>
          </w:tbl>
          <w:p w14:paraId="31C5A6B5">
            <w:pPr>
              <w:pStyle w:val="7"/>
              <w:keepNext w:val="0"/>
              <w:keepLines w:val="0"/>
              <w:pageBreakBefore w:val="0"/>
              <w:widowControl w:val="0"/>
              <w:kinsoku/>
              <w:wordWrap/>
              <w:overflowPunct/>
              <w:topLinePunct w:val="0"/>
              <w:autoSpaceDE/>
              <w:autoSpaceDN/>
              <w:bidi w:val="0"/>
              <w:adjustRightInd w:val="0"/>
              <w:snapToGrid w:val="0"/>
              <w:spacing w:before="120" w:beforeLines="50" w:line="240" w:lineRule="auto"/>
              <w:ind w:firstLine="42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注：项目夜间不生产。</w:t>
            </w:r>
          </w:p>
          <w:p w14:paraId="3060A26C">
            <w:pPr>
              <w:pStyle w:val="7"/>
              <w:adjustRightInd w:val="0"/>
              <w:snapToGrid w:val="0"/>
              <w:spacing w:before="120" w:beforeLines="50" w:line="360" w:lineRule="auto"/>
              <w:ind w:firstLine="420"/>
              <w:rPr>
                <w:color w:val="auto"/>
                <w:sz w:val="21"/>
                <w:szCs w:val="21"/>
                <w:highlight w:val="none"/>
              </w:rPr>
            </w:pPr>
            <w:r>
              <w:rPr>
                <w:rFonts w:hint="eastAsia"/>
                <w:color w:val="auto"/>
                <w:sz w:val="21"/>
                <w:szCs w:val="21"/>
                <w:highlight w:val="none"/>
              </w:rPr>
              <w:t>监测结果表明，厂界</w:t>
            </w:r>
            <w:r>
              <w:rPr>
                <w:rFonts w:hint="eastAsia"/>
                <w:color w:val="auto"/>
                <w:sz w:val="21"/>
                <w:szCs w:val="21"/>
                <w:highlight w:val="none"/>
                <w:lang w:val="en-US" w:eastAsia="zh-CN"/>
              </w:rPr>
              <w:t>昼间</w:t>
            </w:r>
            <w:r>
              <w:rPr>
                <w:rFonts w:hint="eastAsia"/>
                <w:color w:val="auto"/>
                <w:sz w:val="21"/>
                <w:szCs w:val="21"/>
                <w:highlight w:val="none"/>
              </w:rPr>
              <w:t>噪声监测值均符合《工业企业厂界环境噪声排放标准》（GB12348-2008）</w:t>
            </w:r>
            <w:r>
              <w:rPr>
                <w:rFonts w:hint="eastAsia"/>
                <w:color w:val="auto"/>
                <w:sz w:val="21"/>
                <w:szCs w:val="21"/>
                <w:highlight w:val="none"/>
                <w:lang w:val="en-US" w:eastAsia="zh-CN"/>
              </w:rPr>
              <w:t>3</w:t>
            </w:r>
            <w:r>
              <w:rPr>
                <w:rFonts w:hint="eastAsia"/>
                <w:color w:val="auto"/>
                <w:sz w:val="21"/>
                <w:szCs w:val="21"/>
                <w:highlight w:val="none"/>
              </w:rPr>
              <w:t>类标准限值要求。</w:t>
            </w:r>
          </w:p>
          <w:p w14:paraId="173254EC">
            <w:pPr>
              <w:pStyle w:val="7"/>
              <w:numPr>
                <w:ilvl w:val="0"/>
                <w:numId w:val="6"/>
              </w:numPr>
              <w:adjustRightInd w:val="0"/>
              <w:snapToGrid w:val="0"/>
              <w:spacing w:line="360" w:lineRule="auto"/>
              <w:ind w:firstLine="422"/>
              <w:rPr>
                <w:rFonts w:hint="eastAsia"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固废</w:t>
            </w:r>
          </w:p>
          <w:p w14:paraId="51CCD78A">
            <w:pPr>
              <w:pStyle w:val="25"/>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firstLine="420" w:firstLineChars="20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 xml:space="preserve"> 已建项目厂区已设置1处一般固废仓库，占地面积10m</w:t>
            </w:r>
            <w:r>
              <w:rPr>
                <w:rFonts w:hint="eastAsia" w:ascii="Calibri" w:hAnsi="Calibri" w:eastAsia="宋体" w:cs="Times New Roman"/>
                <w:color w:val="auto"/>
                <w:kern w:val="2"/>
                <w:sz w:val="21"/>
                <w:szCs w:val="21"/>
                <w:highlight w:val="none"/>
                <w:vertAlign w:val="superscript"/>
                <w:lang w:val="en-US" w:eastAsia="zh-CN" w:bidi="ar-SA"/>
              </w:rPr>
              <w:t>2</w:t>
            </w:r>
            <w:r>
              <w:rPr>
                <w:rFonts w:hint="eastAsia" w:ascii="Calibri" w:hAnsi="Calibri" w:eastAsia="宋体" w:cs="Times New Roman"/>
                <w:color w:val="auto"/>
                <w:kern w:val="2"/>
                <w:sz w:val="21"/>
                <w:szCs w:val="21"/>
                <w:highlight w:val="none"/>
                <w:lang w:val="en-US" w:eastAsia="zh-CN" w:bidi="ar-SA"/>
              </w:rPr>
              <w:t>；1处危废仓库，占地面积10m</w:t>
            </w:r>
            <w:r>
              <w:rPr>
                <w:rFonts w:hint="eastAsia" w:ascii="Calibri" w:hAnsi="Calibri" w:eastAsia="宋体" w:cs="Times New Roman"/>
                <w:color w:val="auto"/>
                <w:kern w:val="2"/>
                <w:sz w:val="21"/>
                <w:szCs w:val="21"/>
                <w:highlight w:val="none"/>
                <w:vertAlign w:val="superscript"/>
                <w:lang w:val="en-US" w:eastAsia="zh-CN" w:bidi="ar-SA"/>
              </w:rPr>
              <w:t>2</w:t>
            </w:r>
            <w:r>
              <w:rPr>
                <w:rFonts w:hint="eastAsia" w:ascii="Calibri" w:hAnsi="Calibri" w:eastAsia="宋体" w:cs="Times New Roman"/>
                <w:color w:val="auto"/>
                <w:kern w:val="2"/>
                <w:sz w:val="21"/>
                <w:szCs w:val="21"/>
                <w:highlight w:val="none"/>
                <w:lang w:val="en-US" w:eastAsia="zh-CN" w:bidi="ar-SA"/>
              </w:rPr>
              <w:t>，危废仓库已做好防渗漏、防扬散、防流失措施。</w:t>
            </w:r>
          </w:p>
          <w:p w14:paraId="16C6D65E">
            <w:pPr>
              <w:pStyle w:val="105"/>
              <w:ind w:firstLine="48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表2-1</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 xml:space="preserve"> </w:t>
            </w:r>
            <w:r>
              <w:rPr>
                <w:rFonts w:hint="eastAsia" w:cs="Times New Roman"/>
                <w:color w:val="auto"/>
                <w:sz w:val="21"/>
                <w:szCs w:val="21"/>
                <w:lang w:val="en-US" w:eastAsia="zh-CN"/>
              </w:rPr>
              <w:t>已建</w:t>
            </w:r>
            <w:r>
              <w:rPr>
                <w:rFonts w:hint="default" w:ascii="Times New Roman" w:hAnsi="Times New Roman" w:eastAsia="宋体" w:cs="Times New Roman"/>
                <w:color w:val="auto"/>
                <w:sz w:val="21"/>
                <w:szCs w:val="21"/>
              </w:rPr>
              <w:t>项目固体废物产生</w:t>
            </w:r>
            <w:r>
              <w:rPr>
                <w:rFonts w:hint="eastAsia" w:ascii="Times New Roman" w:hAnsi="Times New Roman" w:eastAsia="宋体" w:cs="Times New Roman"/>
                <w:color w:val="auto"/>
                <w:sz w:val="21"/>
                <w:szCs w:val="21"/>
                <w:lang w:val="en-US" w:eastAsia="zh-CN"/>
              </w:rPr>
              <w:t>及处置</w:t>
            </w:r>
            <w:r>
              <w:rPr>
                <w:rFonts w:hint="default" w:ascii="Times New Roman" w:hAnsi="Times New Roman" w:eastAsia="宋体" w:cs="Times New Roman"/>
                <w:color w:val="auto"/>
                <w:sz w:val="21"/>
                <w:szCs w:val="21"/>
              </w:rPr>
              <w:t>情况汇总表</w:t>
            </w:r>
          </w:p>
          <w:tbl>
            <w:tblPr>
              <w:tblStyle w:val="32"/>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1627"/>
              <w:gridCol w:w="1425"/>
              <w:gridCol w:w="1629"/>
              <w:gridCol w:w="1414"/>
              <w:gridCol w:w="1651"/>
            </w:tblGrid>
            <w:tr w14:paraId="275437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tcBorders>
                    <w:tl2br w:val="nil"/>
                    <w:tr2bl w:val="nil"/>
                  </w:tcBorders>
                  <w:noWrap w:val="0"/>
                  <w:vAlign w:val="center"/>
                </w:tcPr>
                <w:p w14:paraId="0F5E2FF2">
                  <w:pPr>
                    <w:pStyle w:val="121"/>
                    <w:bidi w:val="0"/>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类别</w:t>
                  </w:r>
                </w:p>
              </w:tc>
              <w:tc>
                <w:tcPr>
                  <w:tcW w:w="940" w:type="pct"/>
                  <w:tcBorders>
                    <w:tl2br w:val="nil"/>
                    <w:tr2bl w:val="nil"/>
                  </w:tcBorders>
                  <w:noWrap w:val="0"/>
                  <w:vAlign w:val="center"/>
                </w:tcPr>
                <w:p w14:paraId="277BB092">
                  <w:pPr>
                    <w:pStyle w:val="121"/>
                    <w:bidi w:val="0"/>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名称</w:t>
                  </w:r>
                </w:p>
              </w:tc>
              <w:tc>
                <w:tcPr>
                  <w:tcW w:w="823" w:type="pct"/>
                  <w:tcBorders>
                    <w:tl2br w:val="nil"/>
                    <w:tr2bl w:val="nil"/>
                  </w:tcBorders>
                  <w:noWrap w:val="0"/>
                  <w:vAlign w:val="center"/>
                </w:tcPr>
                <w:p w14:paraId="264B6F22">
                  <w:pPr>
                    <w:pStyle w:val="121"/>
                    <w:bidi w:val="0"/>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产生工序</w:t>
                  </w:r>
                </w:p>
              </w:tc>
              <w:tc>
                <w:tcPr>
                  <w:tcW w:w="941" w:type="pct"/>
                  <w:tcBorders>
                    <w:tl2br w:val="nil"/>
                    <w:tr2bl w:val="nil"/>
                  </w:tcBorders>
                  <w:noWrap w:val="0"/>
                  <w:vAlign w:val="center"/>
                </w:tcPr>
                <w:p w14:paraId="776965D7">
                  <w:pPr>
                    <w:pStyle w:val="121"/>
                    <w:bidi w:val="0"/>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废物代码</w:t>
                  </w:r>
                </w:p>
              </w:tc>
              <w:tc>
                <w:tcPr>
                  <w:tcW w:w="817" w:type="pct"/>
                  <w:tcBorders>
                    <w:tl2br w:val="nil"/>
                    <w:tr2bl w:val="nil"/>
                  </w:tcBorders>
                  <w:noWrap w:val="0"/>
                  <w:vAlign w:val="center"/>
                </w:tcPr>
                <w:p w14:paraId="1AE7921D">
                  <w:pPr>
                    <w:pStyle w:val="121"/>
                    <w:bidi w:val="0"/>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产生量t/a</w:t>
                  </w:r>
                </w:p>
              </w:tc>
              <w:tc>
                <w:tcPr>
                  <w:tcW w:w="953" w:type="pct"/>
                  <w:tcBorders>
                    <w:tl2br w:val="nil"/>
                    <w:tr2bl w:val="nil"/>
                  </w:tcBorders>
                  <w:noWrap w:val="0"/>
                  <w:vAlign w:val="center"/>
                </w:tcPr>
                <w:p w14:paraId="74D6EA2E">
                  <w:pPr>
                    <w:pStyle w:val="121"/>
                    <w:bidi w:val="0"/>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防治措施</w:t>
                  </w:r>
                </w:p>
              </w:tc>
            </w:tr>
            <w:tr w14:paraId="493F18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Merge w:val="restart"/>
                  <w:tcBorders>
                    <w:tl2br w:val="nil"/>
                    <w:tr2bl w:val="nil"/>
                  </w:tcBorders>
                  <w:noWrap w:val="0"/>
                  <w:vAlign w:val="center"/>
                </w:tcPr>
                <w:p w14:paraId="20B5C372">
                  <w:pPr>
                    <w:pStyle w:val="119"/>
                    <w:bidi w:val="0"/>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一般固废</w:t>
                  </w:r>
                </w:p>
              </w:tc>
              <w:tc>
                <w:tcPr>
                  <w:tcW w:w="940" w:type="pct"/>
                  <w:tcBorders>
                    <w:tl2br w:val="nil"/>
                    <w:tr2bl w:val="nil"/>
                  </w:tcBorders>
                  <w:noWrap w:val="0"/>
                  <w:vAlign w:val="center"/>
                </w:tcPr>
                <w:p w14:paraId="55C2A6A1">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边角料</w:t>
                  </w:r>
                </w:p>
              </w:tc>
              <w:tc>
                <w:tcPr>
                  <w:tcW w:w="823" w:type="pct"/>
                  <w:tcBorders>
                    <w:tl2br w:val="nil"/>
                    <w:tr2bl w:val="nil"/>
                  </w:tcBorders>
                  <w:noWrap w:val="0"/>
                  <w:vAlign w:val="center"/>
                </w:tcPr>
                <w:p w14:paraId="4FDA014F">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分切</w:t>
                  </w:r>
                </w:p>
              </w:tc>
              <w:tc>
                <w:tcPr>
                  <w:tcW w:w="941" w:type="pct"/>
                  <w:tcBorders>
                    <w:tl2br w:val="nil"/>
                    <w:tr2bl w:val="nil"/>
                  </w:tcBorders>
                  <w:noWrap w:val="0"/>
                  <w:vAlign w:val="center"/>
                </w:tcPr>
                <w:p w14:paraId="4EFC8E4E">
                  <w:pPr>
                    <w:widowControl/>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cs="Times New Roman"/>
                      <w:color w:val="auto"/>
                      <w:sz w:val="21"/>
                      <w:szCs w:val="21"/>
                      <w:lang w:val="en-US" w:eastAsia="zh-CN"/>
                    </w:rPr>
                    <w:t>900-003-S17</w:t>
                  </w:r>
                </w:p>
              </w:tc>
              <w:tc>
                <w:tcPr>
                  <w:tcW w:w="817" w:type="pct"/>
                  <w:tcBorders>
                    <w:tl2br w:val="nil"/>
                    <w:tr2bl w:val="nil"/>
                  </w:tcBorders>
                  <w:noWrap w:val="0"/>
                  <w:vAlign w:val="center"/>
                </w:tcPr>
                <w:p w14:paraId="1B393DA2">
                  <w:pPr>
                    <w:pStyle w:val="119"/>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w:t>
                  </w:r>
                </w:p>
              </w:tc>
              <w:tc>
                <w:tcPr>
                  <w:tcW w:w="953" w:type="pct"/>
                  <w:tcBorders>
                    <w:tl2br w:val="nil"/>
                    <w:tr2bl w:val="nil"/>
                  </w:tcBorders>
                  <w:noWrap w:val="0"/>
                  <w:vAlign w:val="center"/>
                </w:tcPr>
                <w:p w14:paraId="7C73A56D">
                  <w:pPr>
                    <w:bidi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外售综合利用</w:t>
                  </w:r>
                </w:p>
              </w:tc>
            </w:tr>
            <w:tr w14:paraId="2E8F61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Merge w:val="continue"/>
                  <w:tcBorders>
                    <w:tl2br w:val="nil"/>
                    <w:tr2bl w:val="nil"/>
                  </w:tcBorders>
                  <w:noWrap w:val="0"/>
                  <w:vAlign w:val="center"/>
                </w:tcPr>
                <w:p w14:paraId="7A0C302E">
                  <w:pPr>
                    <w:pStyle w:val="119"/>
                    <w:bidi w:val="0"/>
                    <w:spacing w:line="240" w:lineRule="auto"/>
                    <w:rPr>
                      <w:rFonts w:hint="default" w:ascii="Times New Roman" w:hAnsi="Times New Roman" w:cs="Times New Roman"/>
                      <w:color w:val="auto"/>
                      <w:lang w:val="en-US" w:eastAsia="zh-CN"/>
                    </w:rPr>
                  </w:pPr>
                </w:p>
              </w:tc>
              <w:tc>
                <w:tcPr>
                  <w:tcW w:w="940" w:type="pct"/>
                  <w:tcBorders>
                    <w:tl2br w:val="nil"/>
                    <w:tr2bl w:val="nil"/>
                  </w:tcBorders>
                  <w:noWrap w:val="0"/>
                  <w:vAlign w:val="center"/>
                </w:tcPr>
                <w:p w14:paraId="74B8E276">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次品</w:t>
                  </w:r>
                </w:p>
              </w:tc>
              <w:tc>
                <w:tcPr>
                  <w:tcW w:w="823" w:type="pct"/>
                  <w:tcBorders>
                    <w:tl2br w:val="nil"/>
                    <w:tr2bl w:val="nil"/>
                  </w:tcBorders>
                  <w:noWrap w:val="0"/>
                  <w:vAlign w:val="center"/>
                </w:tcPr>
                <w:p w14:paraId="7F0AC4AB">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检验</w:t>
                  </w:r>
                </w:p>
              </w:tc>
              <w:tc>
                <w:tcPr>
                  <w:tcW w:w="941" w:type="pct"/>
                  <w:tcBorders>
                    <w:tl2br w:val="nil"/>
                    <w:tr2bl w:val="nil"/>
                  </w:tcBorders>
                  <w:noWrap w:val="0"/>
                  <w:vAlign w:val="center"/>
                </w:tcPr>
                <w:p w14:paraId="2411A47B">
                  <w:pPr>
                    <w:widowControl/>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cs="Times New Roman"/>
                      <w:color w:val="auto"/>
                      <w:sz w:val="21"/>
                      <w:szCs w:val="21"/>
                      <w:lang w:val="en-US" w:eastAsia="zh-CN"/>
                    </w:rPr>
                    <w:t>900-003-S17</w:t>
                  </w:r>
                </w:p>
              </w:tc>
              <w:tc>
                <w:tcPr>
                  <w:tcW w:w="817" w:type="pct"/>
                  <w:tcBorders>
                    <w:tl2br w:val="nil"/>
                    <w:tr2bl w:val="nil"/>
                  </w:tcBorders>
                  <w:noWrap w:val="0"/>
                  <w:vAlign w:val="center"/>
                </w:tcPr>
                <w:p w14:paraId="5D76D3C1">
                  <w:pPr>
                    <w:pStyle w:val="119"/>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1.8</w:t>
                  </w:r>
                </w:p>
              </w:tc>
              <w:tc>
                <w:tcPr>
                  <w:tcW w:w="953" w:type="pct"/>
                  <w:tcBorders>
                    <w:tl2br w:val="nil"/>
                    <w:tr2bl w:val="nil"/>
                  </w:tcBorders>
                  <w:noWrap w:val="0"/>
                  <w:vAlign w:val="center"/>
                </w:tcPr>
                <w:p w14:paraId="65F509A7">
                  <w:pPr>
                    <w:bidi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外售综合利用</w:t>
                  </w:r>
                </w:p>
              </w:tc>
            </w:tr>
            <w:tr w14:paraId="5FB216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Merge w:val="continue"/>
                  <w:tcBorders>
                    <w:tl2br w:val="nil"/>
                    <w:tr2bl w:val="nil"/>
                  </w:tcBorders>
                  <w:noWrap w:val="0"/>
                  <w:vAlign w:val="center"/>
                </w:tcPr>
                <w:p w14:paraId="407A2BC0">
                  <w:pPr>
                    <w:pStyle w:val="119"/>
                    <w:bidi w:val="0"/>
                    <w:spacing w:line="240" w:lineRule="auto"/>
                    <w:rPr>
                      <w:rFonts w:hint="default" w:ascii="Times New Roman" w:hAnsi="Times New Roman" w:cs="Times New Roman"/>
                      <w:color w:val="auto"/>
                      <w:lang w:val="en-US" w:eastAsia="zh-CN"/>
                    </w:rPr>
                  </w:pPr>
                </w:p>
              </w:tc>
              <w:tc>
                <w:tcPr>
                  <w:tcW w:w="940" w:type="pct"/>
                  <w:tcBorders>
                    <w:tl2br w:val="nil"/>
                    <w:tr2bl w:val="nil"/>
                  </w:tcBorders>
                  <w:noWrap w:val="0"/>
                  <w:vAlign w:val="center"/>
                </w:tcPr>
                <w:p w14:paraId="75BF26CE">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废包装材料</w:t>
                  </w:r>
                </w:p>
              </w:tc>
              <w:tc>
                <w:tcPr>
                  <w:tcW w:w="823" w:type="pct"/>
                  <w:tcBorders>
                    <w:tl2br w:val="nil"/>
                    <w:tr2bl w:val="nil"/>
                  </w:tcBorders>
                  <w:noWrap w:val="0"/>
                  <w:vAlign w:val="center"/>
                </w:tcPr>
                <w:p w14:paraId="2EF15EC9">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物料包装</w:t>
                  </w:r>
                </w:p>
              </w:tc>
              <w:tc>
                <w:tcPr>
                  <w:tcW w:w="941" w:type="pct"/>
                  <w:tcBorders>
                    <w:tl2br w:val="nil"/>
                    <w:tr2bl w:val="nil"/>
                  </w:tcBorders>
                  <w:noWrap w:val="0"/>
                  <w:vAlign w:val="center"/>
                </w:tcPr>
                <w:p w14:paraId="4E1C10F8">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cs="Times New Roman"/>
                      <w:color w:val="auto"/>
                      <w:sz w:val="21"/>
                      <w:szCs w:val="21"/>
                      <w:lang w:val="en-US" w:eastAsia="zh-CN"/>
                    </w:rPr>
                    <w:t>900-003-S17</w:t>
                  </w:r>
                </w:p>
              </w:tc>
              <w:tc>
                <w:tcPr>
                  <w:tcW w:w="817" w:type="pct"/>
                  <w:tcBorders>
                    <w:tl2br w:val="nil"/>
                    <w:tr2bl w:val="nil"/>
                  </w:tcBorders>
                  <w:noWrap w:val="0"/>
                  <w:vAlign w:val="center"/>
                </w:tcPr>
                <w:p w14:paraId="6520D766">
                  <w:pPr>
                    <w:pStyle w:val="119"/>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0.7</w:t>
                  </w:r>
                </w:p>
              </w:tc>
              <w:tc>
                <w:tcPr>
                  <w:tcW w:w="953" w:type="pct"/>
                  <w:tcBorders>
                    <w:tl2br w:val="nil"/>
                    <w:tr2bl w:val="nil"/>
                  </w:tcBorders>
                  <w:noWrap w:val="0"/>
                  <w:vAlign w:val="center"/>
                </w:tcPr>
                <w:p w14:paraId="7F1E60B2">
                  <w:pPr>
                    <w:bidi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外售综合利用</w:t>
                  </w:r>
                </w:p>
              </w:tc>
            </w:tr>
            <w:tr w14:paraId="2C78E4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Merge w:val="restart"/>
                  <w:tcBorders>
                    <w:tl2br w:val="nil"/>
                    <w:tr2bl w:val="nil"/>
                  </w:tcBorders>
                  <w:noWrap w:val="0"/>
                  <w:vAlign w:val="center"/>
                </w:tcPr>
                <w:p w14:paraId="27F6E1A9">
                  <w:pPr>
                    <w:pStyle w:val="119"/>
                    <w:bidi w:val="0"/>
                    <w:spacing w:line="240" w:lineRule="auto"/>
                    <w:rPr>
                      <w:rFonts w:hint="default" w:ascii="Times New Roman" w:hAnsi="Times New Roman" w:cs="Times New Roman"/>
                      <w:color w:val="auto"/>
                      <w:lang w:val="en-US" w:eastAsia="zh-CN"/>
                    </w:rPr>
                  </w:pPr>
                  <w:r>
                    <w:rPr>
                      <w:rFonts w:hint="default" w:ascii="Times New Roman" w:hAnsi="Times New Roman" w:cs="Times New Roman"/>
                      <w:bCs/>
                      <w:color w:val="auto"/>
                      <w:szCs w:val="21"/>
                    </w:rPr>
                    <w:t>危险废物</w:t>
                  </w:r>
                </w:p>
              </w:tc>
              <w:tc>
                <w:tcPr>
                  <w:tcW w:w="940" w:type="pct"/>
                  <w:tcBorders>
                    <w:tl2br w:val="nil"/>
                    <w:tr2bl w:val="nil"/>
                  </w:tcBorders>
                  <w:noWrap w:val="0"/>
                  <w:vAlign w:val="center"/>
                </w:tcPr>
                <w:p w14:paraId="3BB4A0A9">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含油墨废抹布</w:t>
                  </w:r>
                </w:p>
              </w:tc>
              <w:tc>
                <w:tcPr>
                  <w:tcW w:w="823" w:type="pct"/>
                  <w:tcBorders>
                    <w:tl2br w:val="nil"/>
                    <w:tr2bl w:val="nil"/>
                  </w:tcBorders>
                  <w:noWrap w:val="0"/>
                  <w:vAlign w:val="center"/>
                </w:tcPr>
                <w:p w14:paraId="24019639">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磨辊</w:t>
                  </w:r>
                  <w:r>
                    <w:rPr>
                      <w:rFonts w:hint="eastAsia" w:cs="Times New Roman"/>
                      <w:color w:val="auto"/>
                      <w:kern w:val="0"/>
                      <w:sz w:val="21"/>
                      <w:szCs w:val="20"/>
                      <w:lang w:val="en-US" w:eastAsia="zh-CN" w:bidi="ar-SA"/>
                    </w:rPr>
                    <w:t>擦拭</w:t>
                  </w:r>
                </w:p>
              </w:tc>
              <w:tc>
                <w:tcPr>
                  <w:tcW w:w="941" w:type="pct"/>
                  <w:tcBorders>
                    <w:tl2br w:val="nil"/>
                    <w:tr2bl w:val="nil"/>
                  </w:tcBorders>
                  <w:noWrap w:val="0"/>
                  <w:vAlign w:val="center"/>
                </w:tcPr>
                <w:p w14:paraId="1D605719">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HW49</w:t>
                  </w:r>
                </w:p>
                <w:p w14:paraId="00CA5713">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900-041-49</w:t>
                  </w:r>
                </w:p>
              </w:tc>
              <w:tc>
                <w:tcPr>
                  <w:tcW w:w="817" w:type="pct"/>
                  <w:tcBorders>
                    <w:tl2br w:val="nil"/>
                    <w:tr2bl w:val="nil"/>
                  </w:tcBorders>
                  <w:noWrap w:val="0"/>
                  <w:vAlign w:val="center"/>
                </w:tcPr>
                <w:p w14:paraId="0AF890DF">
                  <w:pPr>
                    <w:pStyle w:val="119"/>
                    <w:bidi w:val="0"/>
                    <w:spacing w:line="240" w:lineRule="auto"/>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0.3</w:t>
                  </w:r>
                </w:p>
              </w:tc>
              <w:tc>
                <w:tcPr>
                  <w:tcW w:w="953" w:type="pct"/>
                  <w:vMerge w:val="restart"/>
                  <w:tcBorders>
                    <w:tl2br w:val="nil"/>
                    <w:tr2bl w:val="nil"/>
                  </w:tcBorders>
                  <w:noWrap w:val="0"/>
                  <w:vAlign w:val="center"/>
                </w:tcPr>
                <w:p w14:paraId="3F269E9F">
                  <w:pPr>
                    <w:pStyle w:val="119"/>
                    <w:bidi w:val="0"/>
                    <w:spacing w:line="240" w:lineRule="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kern w:val="0"/>
                      <w:sz w:val="21"/>
                      <w:szCs w:val="20"/>
                      <w:lang w:val="en-US" w:eastAsia="zh-CN" w:bidi="ar-SA"/>
                    </w:rPr>
                    <w:t>委托常州市和润环保科技有限公司</w:t>
                  </w:r>
                </w:p>
              </w:tc>
            </w:tr>
            <w:tr w14:paraId="3FEDDE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Merge w:val="continue"/>
                  <w:tcBorders>
                    <w:tl2br w:val="nil"/>
                    <w:tr2bl w:val="nil"/>
                  </w:tcBorders>
                  <w:noWrap w:val="0"/>
                  <w:vAlign w:val="center"/>
                </w:tcPr>
                <w:p w14:paraId="5BDD061F">
                  <w:pPr>
                    <w:pStyle w:val="119"/>
                    <w:bidi w:val="0"/>
                    <w:spacing w:line="240" w:lineRule="auto"/>
                    <w:rPr>
                      <w:rFonts w:hint="default" w:ascii="Times New Roman" w:hAnsi="Times New Roman" w:cs="Times New Roman"/>
                      <w:color w:val="auto"/>
                      <w:lang w:val="en-US" w:eastAsia="zh-CN"/>
                    </w:rPr>
                  </w:pPr>
                </w:p>
              </w:tc>
              <w:tc>
                <w:tcPr>
                  <w:tcW w:w="940" w:type="pct"/>
                  <w:tcBorders>
                    <w:tl2br w:val="nil"/>
                    <w:tr2bl w:val="nil"/>
                  </w:tcBorders>
                  <w:noWrap w:val="0"/>
                  <w:vAlign w:val="center"/>
                </w:tcPr>
                <w:p w14:paraId="0F9F24F9">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废包装桶</w:t>
                  </w:r>
                </w:p>
              </w:tc>
              <w:tc>
                <w:tcPr>
                  <w:tcW w:w="823" w:type="pct"/>
                  <w:tcBorders>
                    <w:tl2br w:val="nil"/>
                    <w:tr2bl w:val="nil"/>
                  </w:tcBorders>
                  <w:noWrap w:val="0"/>
                  <w:vAlign w:val="center"/>
                </w:tcPr>
                <w:p w14:paraId="585533C0">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物料包装</w:t>
                  </w:r>
                </w:p>
              </w:tc>
              <w:tc>
                <w:tcPr>
                  <w:tcW w:w="941" w:type="pct"/>
                  <w:tcBorders>
                    <w:tl2br w:val="nil"/>
                    <w:tr2bl w:val="nil"/>
                  </w:tcBorders>
                  <w:noWrap w:val="0"/>
                  <w:vAlign w:val="center"/>
                </w:tcPr>
                <w:p w14:paraId="7496C336">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HW49</w:t>
                  </w:r>
                </w:p>
                <w:p w14:paraId="6C0F4510">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900-041-49</w:t>
                  </w:r>
                </w:p>
              </w:tc>
              <w:tc>
                <w:tcPr>
                  <w:tcW w:w="817" w:type="pct"/>
                  <w:tcBorders>
                    <w:tl2br w:val="nil"/>
                    <w:tr2bl w:val="nil"/>
                  </w:tcBorders>
                  <w:noWrap w:val="0"/>
                  <w:vAlign w:val="center"/>
                </w:tcPr>
                <w:p w14:paraId="19499088">
                  <w:pPr>
                    <w:pStyle w:val="119"/>
                    <w:bidi w:val="0"/>
                    <w:spacing w:line="240" w:lineRule="auto"/>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0.68</w:t>
                  </w:r>
                </w:p>
              </w:tc>
              <w:tc>
                <w:tcPr>
                  <w:tcW w:w="953" w:type="pct"/>
                  <w:vMerge w:val="continue"/>
                  <w:tcBorders>
                    <w:tl2br w:val="nil"/>
                    <w:tr2bl w:val="nil"/>
                  </w:tcBorders>
                  <w:noWrap w:val="0"/>
                  <w:vAlign w:val="center"/>
                </w:tcPr>
                <w:p w14:paraId="2D872CD9">
                  <w:pPr>
                    <w:pStyle w:val="119"/>
                    <w:bidi w:val="0"/>
                    <w:spacing w:line="240" w:lineRule="auto"/>
                    <w:rPr>
                      <w:rFonts w:hint="default" w:ascii="Times New Roman" w:hAnsi="Times New Roman" w:eastAsia="宋体" w:cs="Times New Roman"/>
                      <w:color w:val="auto"/>
                      <w:kern w:val="0"/>
                      <w:sz w:val="21"/>
                      <w:szCs w:val="20"/>
                      <w:lang w:val="en-US" w:eastAsia="zh-CN" w:bidi="ar-SA"/>
                    </w:rPr>
                  </w:pPr>
                </w:p>
              </w:tc>
            </w:tr>
            <w:tr w14:paraId="549F81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Merge w:val="continue"/>
                  <w:tcBorders>
                    <w:tl2br w:val="nil"/>
                    <w:tr2bl w:val="nil"/>
                  </w:tcBorders>
                  <w:noWrap w:val="0"/>
                  <w:vAlign w:val="center"/>
                </w:tcPr>
                <w:p w14:paraId="49A97B1D">
                  <w:pPr>
                    <w:pStyle w:val="119"/>
                    <w:bidi w:val="0"/>
                    <w:spacing w:line="240" w:lineRule="auto"/>
                    <w:rPr>
                      <w:rFonts w:hint="default" w:ascii="Times New Roman" w:hAnsi="Times New Roman" w:cs="Times New Roman"/>
                      <w:color w:val="auto"/>
                      <w:lang w:val="en-US" w:eastAsia="zh-CN"/>
                    </w:rPr>
                  </w:pPr>
                </w:p>
              </w:tc>
              <w:tc>
                <w:tcPr>
                  <w:tcW w:w="940" w:type="pct"/>
                  <w:tcBorders>
                    <w:tl2br w:val="nil"/>
                    <w:tr2bl w:val="nil"/>
                  </w:tcBorders>
                  <w:noWrap w:val="0"/>
                  <w:vAlign w:val="center"/>
                </w:tcPr>
                <w:p w14:paraId="10F0BB3C">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废活性炭</w:t>
                  </w:r>
                </w:p>
              </w:tc>
              <w:tc>
                <w:tcPr>
                  <w:tcW w:w="823" w:type="pct"/>
                  <w:tcBorders>
                    <w:tl2br w:val="nil"/>
                    <w:tr2bl w:val="nil"/>
                  </w:tcBorders>
                  <w:noWrap w:val="0"/>
                  <w:vAlign w:val="center"/>
                </w:tcPr>
                <w:p w14:paraId="2DC625CF">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废气处理</w:t>
                  </w:r>
                </w:p>
              </w:tc>
              <w:tc>
                <w:tcPr>
                  <w:tcW w:w="941" w:type="pct"/>
                  <w:tcBorders>
                    <w:tl2br w:val="nil"/>
                    <w:tr2bl w:val="nil"/>
                  </w:tcBorders>
                  <w:noWrap w:val="0"/>
                  <w:vAlign w:val="center"/>
                </w:tcPr>
                <w:p w14:paraId="11B00A5E">
                  <w:pPr>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HW49</w:t>
                  </w:r>
                </w:p>
                <w:p w14:paraId="31F9C3CE">
                  <w:pPr>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900-039-49</w:t>
                  </w:r>
                </w:p>
              </w:tc>
              <w:tc>
                <w:tcPr>
                  <w:tcW w:w="817" w:type="pct"/>
                  <w:tcBorders>
                    <w:tl2br w:val="nil"/>
                    <w:tr2bl w:val="nil"/>
                  </w:tcBorders>
                  <w:noWrap w:val="0"/>
                  <w:vAlign w:val="center"/>
                </w:tcPr>
                <w:p w14:paraId="1317BB39">
                  <w:pPr>
                    <w:pStyle w:val="119"/>
                    <w:bidi w:val="0"/>
                    <w:spacing w:line="240" w:lineRule="auto"/>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9.1</w:t>
                  </w:r>
                </w:p>
              </w:tc>
              <w:tc>
                <w:tcPr>
                  <w:tcW w:w="953" w:type="pct"/>
                  <w:vMerge w:val="continue"/>
                  <w:tcBorders>
                    <w:tl2br w:val="nil"/>
                    <w:tr2bl w:val="nil"/>
                  </w:tcBorders>
                  <w:noWrap w:val="0"/>
                  <w:vAlign w:val="center"/>
                </w:tcPr>
                <w:p w14:paraId="5D437663">
                  <w:pPr>
                    <w:pStyle w:val="119"/>
                    <w:bidi w:val="0"/>
                    <w:spacing w:line="240" w:lineRule="auto"/>
                    <w:rPr>
                      <w:rFonts w:hint="default" w:ascii="Times New Roman" w:hAnsi="Times New Roman" w:eastAsia="宋体" w:cs="Times New Roman"/>
                      <w:color w:val="auto"/>
                      <w:kern w:val="0"/>
                      <w:sz w:val="21"/>
                      <w:szCs w:val="20"/>
                      <w:lang w:val="en-US" w:eastAsia="zh-CN" w:bidi="ar-SA"/>
                    </w:rPr>
                  </w:pPr>
                </w:p>
              </w:tc>
            </w:tr>
            <w:tr w14:paraId="4F046E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tcBorders>
                    <w:tl2br w:val="nil"/>
                    <w:tr2bl w:val="nil"/>
                  </w:tcBorders>
                  <w:noWrap w:val="0"/>
                  <w:vAlign w:val="center"/>
                </w:tcPr>
                <w:p w14:paraId="74F6B90F">
                  <w:pPr>
                    <w:pStyle w:val="119"/>
                    <w:bidi w:val="0"/>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生活垃圾</w:t>
                  </w:r>
                </w:p>
              </w:tc>
              <w:tc>
                <w:tcPr>
                  <w:tcW w:w="940" w:type="pct"/>
                  <w:tcBorders>
                    <w:tl2br w:val="nil"/>
                    <w:tr2bl w:val="nil"/>
                  </w:tcBorders>
                  <w:noWrap w:val="0"/>
                  <w:vAlign w:val="center"/>
                </w:tcPr>
                <w:p w14:paraId="036DA7D4">
                  <w:pPr>
                    <w:pStyle w:val="119"/>
                    <w:bidi w:val="0"/>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生活垃圾</w:t>
                  </w:r>
                </w:p>
              </w:tc>
              <w:tc>
                <w:tcPr>
                  <w:tcW w:w="823" w:type="pct"/>
                  <w:tcBorders>
                    <w:tl2br w:val="nil"/>
                    <w:tr2bl w:val="nil"/>
                  </w:tcBorders>
                  <w:noWrap w:val="0"/>
                  <w:vAlign w:val="center"/>
                </w:tcPr>
                <w:p w14:paraId="737578D0">
                  <w:pPr>
                    <w:pStyle w:val="119"/>
                    <w:bidi w:val="0"/>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日常生活</w:t>
                  </w:r>
                </w:p>
              </w:tc>
              <w:tc>
                <w:tcPr>
                  <w:tcW w:w="941" w:type="pct"/>
                  <w:tcBorders>
                    <w:tl2br w:val="nil"/>
                    <w:tr2bl w:val="nil"/>
                  </w:tcBorders>
                  <w:noWrap w:val="0"/>
                  <w:vAlign w:val="center"/>
                </w:tcPr>
                <w:p w14:paraId="78A7A480">
                  <w:pPr>
                    <w:pStyle w:val="119"/>
                    <w:bidi w:val="0"/>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817" w:type="pct"/>
                  <w:tcBorders>
                    <w:tl2br w:val="nil"/>
                    <w:tr2bl w:val="nil"/>
                  </w:tcBorders>
                  <w:noWrap w:val="0"/>
                  <w:vAlign w:val="center"/>
                </w:tcPr>
                <w:p w14:paraId="31B0BB02">
                  <w:pPr>
                    <w:pStyle w:val="119"/>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0.6</w:t>
                  </w:r>
                </w:p>
              </w:tc>
              <w:tc>
                <w:tcPr>
                  <w:tcW w:w="953" w:type="pct"/>
                  <w:tcBorders>
                    <w:tl2br w:val="nil"/>
                    <w:tr2bl w:val="nil"/>
                  </w:tcBorders>
                  <w:noWrap w:val="0"/>
                  <w:vAlign w:val="center"/>
                </w:tcPr>
                <w:p w14:paraId="4CE0E99A">
                  <w:pPr>
                    <w:pStyle w:val="119"/>
                    <w:bidi w:val="0"/>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环卫部门统一清运</w:t>
                  </w:r>
                </w:p>
              </w:tc>
            </w:tr>
          </w:tbl>
          <w:p w14:paraId="3009AD03">
            <w:pPr>
              <w:pStyle w:val="94"/>
              <w:keepNext w:val="0"/>
              <w:keepLines w:val="0"/>
              <w:pageBreakBefore w:val="0"/>
              <w:widowControl w:val="0"/>
              <w:kinsoku/>
              <w:wordWrap/>
              <w:overflowPunct/>
              <w:topLinePunct w:val="0"/>
              <w:autoSpaceDE/>
              <w:autoSpaceDN/>
              <w:bidi w:val="0"/>
              <w:adjustRightInd w:val="0"/>
              <w:snapToGrid w:val="0"/>
              <w:spacing w:line="500" w:lineRule="exact"/>
              <w:ind w:left="0" w:leftChars="0" w:firstLine="422" w:firstLineChars="200"/>
              <w:textAlignment w:val="auto"/>
              <w:rPr>
                <w:rFonts w:hint="eastAsia" w:ascii="Calibri" w:hAnsi="Calibri" w:eastAsia="宋体" w:cs="Times New Roman"/>
                <w:b/>
                <w:bCs/>
                <w:color w:val="auto"/>
                <w:kern w:val="2"/>
                <w:sz w:val="21"/>
                <w:szCs w:val="21"/>
                <w:highlight w:val="none"/>
                <w:lang w:val="en-US" w:eastAsia="zh-CN" w:bidi="ar-SA"/>
              </w:rPr>
            </w:pPr>
            <w:r>
              <w:rPr>
                <w:rFonts w:hint="eastAsia" w:ascii="Calibri" w:hAnsi="Calibri" w:eastAsia="宋体" w:cs="Times New Roman"/>
                <w:b/>
                <w:bCs/>
                <w:color w:val="auto"/>
                <w:kern w:val="2"/>
                <w:sz w:val="21"/>
                <w:szCs w:val="21"/>
                <w:highlight w:val="none"/>
                <w:lang w:val="en-US" w:eastAsia="zh-CN" w:bidi="ar-SA"/>
              </w:rPr>
              <w:t>2、在建项目</w:t>
            </w:r>
          </w:p>
          <w:p w14:paraId="5B8F99B3">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20" w:firstLineChars="20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在建项目为常州安圣印务有限公司软包装彩印项目（</w:t>
            </w:r>
            <w:r>
              <w:rPr>
                <w:rFonts w:hint="default" w:ascii="Calibri" w:hAnsi="Calibri" w:eastAsia="宋体" w:cs="Times New Roman"/>
                <w:color w:val="auto"/>
                <w:kern w:val="2"/>
                <w:sz w:val="21"/>
                <w:szCs w:val="21"/>
                <w:highlight w:val="none"/>
                <w:lang w:val="en-US" w:eastAsia="zh-CN" w:bidi="ar-SA"/>
              </w:rPr>
              <w:t>年产</w:t>
            </w:r>
            <w:r>
              <w:rPr>
                <w:rFonts w:hint="eastAsia" w:ascii="Calibri" w:hAnsi="Calibri" w:eastAsia="宋体" w:cs="Times New Roman"/>
                <w:color w:val="auto"/>
                <w:kern w:val="2"/>
                <w:sz w:val="21"/>
                <w:szCs w:val="21"/>
                <w:highlight w:val="none"/>
                <w:lang w:val="en-US" w:eastAsia="zh-CN" w:bidi="ar-SA"/>
              </w:rPr>
              <w:t>8</w:t>
            </w:r>
            <w:r>
              <w:rPr>
                <w:rFonts w:hint="default" w:ascii="Calibri" w:hAnsi="Calibri" w:eastAsia="宋体" w:cs="Times New Roman"/>
                <w:color w:val="auto"/>
                <w:kern w:val="2"/>
                <w:sz w:val="21"/>
                <w:szCs w:val="21"/>
                <w:highlight w:val="none"/>
                <w:lang w:val="en-US" w:eastAsia="zh-CN" w:bidi="ar-SA"/>
              </w:rPr>
              <w:t>0吨塑料膜、年产1</w:t>
            </w:r>
            <w:r>
              <w:rPr>
                <w:rFonts w:hint="eastAsia" w:ascii="Calibri" w:hAnsi="Calibri" w:eastAsia="宋体" w:cs="Times New Roman"/>
                <w:color w:val="auto"/>
                <w:kern w:val="2"/>
                <w:sz w:val="21"/>
                <w:szCs w:val="21"/>
                <w:highlight w:val="none"/>
                <w:lang w:val="en-US" w:eastAsia="zh-CN" w:bidi="ar-SA"/>
              </w:rPr>
              <w:t>2</w:t>
            </w:r>
            <w:r>
              <w:rPr>
                <w:rFonts w:hint="default" w:ascii="Calibri" w:hAnsi="Calibri" w:eastAsia="宋体" w:cs="Times New Roman"/>
                <w:color w:val="auto"/>
                <w:kern w:val="2"/>
                <w:sz w:val="21"/>
                <w:szCs w:val="21"/>
                <w:highlight w:val="none"/>
                <w:lang w:val="en-US" w:eastAsia="zh-CN" w:bidi="ar-SA"/>
              </w:rPr>
              <w:t>0吨塑料包装袋</w:t>
            </w:r>
            <w:r>
              <w:rPr>
                <w:rFonts w:hint="eastAsia" w:ascii="Calibri" w:hAnsi="Calibri" w:eastAsia="宋体" w:cs="Times New Roman"/>
                <w:color w:val="auto"/>
                <w:kern w:val="2"/>
                <w:sz w:val="21"/>
                <w:szCs w:val="21"/>
                <w:highlight w:val="none"/>
                <w:lang w:val="en-US" w:eastAsia="zh-CN" w:bidi="ar-SA"/>
              </w:rPr>
              <w:t>）。</w:t>
            </w:r>
          </w:p>
          <w:p w14:paraId="5B04CBB7">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20" w:firstLineChars="20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（1）废气</w:t>
            </w:r>
          </w:p>
          <w:p w14:paraId="588E8F13">
            <w:pPr>
              <w:pStyle w:val="7"/>
              <w:keepNext w:val="0"/>
              <w:keepLines w:val="0"/>
              <w:pageBreakBefore w:val="0"/>
              <w:widowControl w:val="0"/>
              <w:kinsoku/>
              <w:wordWrap/>
              <w:overflowPunct/>
              <w:topLinePunct w:val="0"/>
              <w:autoSpaceDE/>
              <w:autoSpaceDN/>
              <w:bidi w:val="0"/>
              <w:adjustRightInd w:val="0"/>
              <w:snapToGrid w:val="0"/>
              <w:spacing w:line="500" w:lineRule="exact"/>
              <w:ind w:firstLine="42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在建项目印刷、复合、熟化、磨辊清洗废气采用密闭空间</w:t>
            </w:r>
            <w:r>
              <w:rPr>
                <w:rFonts w:hint="default" w:ascii="Calibri" w:hAnsi="Calibri" w:eastAsia="宋体" w:cs="Times New Roman"/>
                <w:color w:val="auto"/>
                <w:kern w:val="2"/>
                <w:sz w:val="21"/>
                <w:szCs w:val="21"/>
                <w:highlight w:val="none"/>
                <w:lang w:val="en-US" w:eastAsia="zh-CN" w:bidi="ar-SA"/>
              </w:rPr>
              <w:t>收集后</w:t>
            </w:r>
            <w:r>
              <w:rPr>
                <w:rFonts w:hint="eastAsia" w:ascii="Calibri" w:hAnsi="Calibri" w:eastAsia="宋体" w:cs="Times New Roman"/>
                <w:color w:val="auto"/>
                <w:kern w:val="2"/>
                <w:sz w:val="21"/>
                <w:szCs w:val="21"/>
                <w:highlight w:val="none"/>
                <w:lang w:val="en-US" w:eastAsia="zh-CN" w:bidi="ar-SA"/>
              </w:rPr>
              <w:t>依托已建项目</w:t>
            </w:r>
            <w:r>
              <w:rPr>
                <w:rFonts w:hint="default" w:ascii="Calibri" w:hAnsi="Calibri" w:eastAsia="宋体" w:cs="Times New Roman"/>
                <w:color w:val="auto"/>
                <w:kern w:val="2"/>
                <w:sz w:val="21"/>
                <w:szCs w:val="21"/>
                <w:highlight w:val="none"/>
                <w:lang w:val="en-US" w:eastAsia="zh-CN" w:bidi="ar-SA"/>
              </w:rPr>
              <w:t>二级活性炭处理装置处理</w:t>
            </w:r>
            <w:r>
              <w:rPr>
                <w:rFonts w:hint="eastAsia" w:ascii="Calibri" w:hAnsi="Calibri" w:eastAsia="宋体" w:cs="Times New Roman"/>
                <w:color w:val="auto"/>
                <w:kern w:val="2"/>
                <w:sz w:val="21"/>
                <w:szCs w:val="21"/>
                <w:highlight w:val="none"/>
                <w:lang w:val="en-US" w:eastAsia="zh-CN" w:bidi="ar-SA"/>
              </w:rPr>
              <w:t>，尾气依托已建项目</w:t>
            </w:r>
            <w:r>
              <w:rPr>
                <w:rFonts w:hint="default" w:ascii="Calibri" w:hAnsi="Calibri" w:eastAsia="宋体" w:cs="Times New Roman"/>
                <w:color w:val="auto"/>
                <w:kern w:val="2"/>
                <w:sz w:val="21"/>
                <w:szCs w:val="21"/>
                <w:highlight w:val="none"/>
                <w:lang w:val="en-US" w:eastAsia="zh-CN" w:bidi="ar-SA"/>
              </w:rPr>
              <w:t>1根15米排气筒排放</w:t>
            </w:r>
            <w:r>
              <w:rPr>
                <w:rFonts w:hint="eastAsia" w:ascii="Calibri" w:hAnsi="Calibri" w:eastAsia="宋体" w:cs="Times New Roman"/>
                <w:color w:val="auto"/>
                <w:kern w:val="2"/>
                <w:sz w:val="21"/>
                <w:szCs w:val="21"/>
                <w:highlight w:val="none"/>
                <w:lang w:val="en-US" w:eastAsia="zh-CN" w:bidi="ar-SA"/>
              </w:rPr>
              <w:t>，非甲烷总烃有组织排放量为</w:t>
            </w:r>
            <w:r>
              <w:rPr>
                <w:rFonts w:hint="default" w:ascii="Calibri" w:hAnsi="Calibri" w:eastAsia="宋体" w:cs="Times New Roman"/>
                <w:color w:val="auto"/>
                <w:kern w:val="2"/>
                <w:sz w:val="21"/>
                <w:szCs w:val="21"/>
                <w:highlight w:val="none"/>
                <w:lang w:val="en-US" w:eastAsia="zh-CN" w:bidi="ar-SA"/>
              </w:rPr>
              <w:t>0.</w:t>
            </w:r>
            <w:r>
              <w:rPr>
                <w:rFonts w:hint="eastAsia" w:ascii="Calibri" w:hAnsi="Calibri" w:eastAsia="宋体" w:cs="Times New Roman"/>
                <w:color w:val="auto"/>
                <w:kern w:val="2"/>
                <w:sz w:val="21"/>
                <w:szCs w:val="21"/>
                <w:highlight w:val="none"/>
                <w:lang w:val="en-US" w:eastAsia="zh-CN" w:bidi="ar-SA"/>
              </w:rPr>
              <w:t>089t/a。未收集的印刷、复合、熟化、磨辊清洗废气在厂区无组织排放，非甲烷总烃无组织排放量为0.047t/a。</w:t>
            </w:r>
          </w:p>
          <w:p w14:paraId="19C8A1A2">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20" w:firstLineChars="20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（2）废水</w:t>
            </w:r>
          </w:p>
          <w:p w14:paraId="36821EDB">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20" w:firstLineChars="20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在建项目少量生活污水（140t/a）经化粪池预处理后排入常州金坛区溪城污水处理有限公司集中处理。</w:t>
            </w:r>
          </w:p>
          <w:p w14:paraId="7800A06B">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20" w:firstLineChars="20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（3）噪声</w:t>
            </w:r>
          </w:p>
          <w:p w14:paraId="159CCE0D">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20" w:firstLineChars="200"/>
              <w:textAlignment w:val="auto"/>
              <w:rPr>
                <w:rFonts w:hint="default"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在建项目噪声主要为</w:t>
            </w:r>
            <w:r>
              <w:rPr>
                <w:rFonts w:hint="default" w:ascii="Calibri" w:hAnsi="Calibri" w:eastAsia="宋体" w:cs="Times New Roman"/>
                <w:color w:val="auto"/>
                <w:kern w:val="2"/>
                <w:sz w:val="21"/>
                <w:szCs w:val="21"/>
                <w:highlight w:val="none"/>
                <w:lang w:val="en-US" w:eastAsia="zh-CN" w:bidi="ar-SA"/>
              </w:rPr>
              <w:t>制袋机</w:t>
            </w:r>
            <w:r>
              <w:rPr>
                <w:rFonts w:hint="eastAsia" w:ascii="Calibri" w:hAnsi="Calibri" w:eastAsia="宋体" w:cs="Times New Roman"/>
                <w:color w:val="auto"/>
                <w:kern w:val="2"/>
                <w:sz w:val="21"/>
                <w:szCs w:val="21"/>
                <w:highlight w:val="none"/>
                <w:lang w:val="en-US" w:eastAsia="zh-CN" w:bidi="ar-SA"/>
              </w:rPr>
              <w:t>、复合机等运行噪声，主要采取</w:t>
            </w:r>
            <w:r>
              <w:rPr>
                <w:rFonts w:hint="default" w:ascii="Calibri" w:hAnsi="Calibri" w:eastAsia="宋体" w:cs="Times New Roman"/>
                <w:color w:val="auto"/>
                <w:kern w:val="2"/>
                <w:sz w:val="21"/>
                <w:szCs w:val="21"/>
                <w:highlight w:val="none"/>
                <w:lang w:val="en-US" w:eastAsia="zh-CN" w:bidi="ar-SA"/>
              </w:rPr>
              <w:t>合理布局、减振、厂房隔声、距离衰减等措施</w:t>
            </w:r>
            <w:r>
              <w:rPr>
                <w:rFonts w:hint="eastAsia" w:ascii="Calibri" w:hAnsi="Calibri" w:eastAsia="宋体" w:cs="Times New Roman"/>
                <w:color w:val="auto"/>
                <w:kern w:val="2"/>
                <w:sz w:val="21"/>
                <w:szCs w:val="21"/>
                <w:highlight w:val="none"/>
                <w:lang w:val="en-US" w:eastAsia="zh-CN" w:bidi="ar-SA"/>
              </w:rPr>
              <w:t>。由于</w:t>
            </w:r>
            <w:r>
              <w:rPr>
                <w:rFonts w:hint="default" w:ascii="Calibri" w:hAnsi="Calibri" w:eastAsia="宋体" w:cs="Times New Roman"/>
                <w:color w:val="auto"/>
                <w:kern w:val="2"/>
                <w:sz w:val="21"/>
                <w:szCs w:val="21"/>
                <w:highlight w:val="none"/>
                <w:lang w:val="en-US" w:eastAsia="zh-CN" w:bidi="ar-SA"/>
              </w:rPr>
              <w:t>制袋机</w:t>
            </w:r>
            <w:r>
              <w:rPr>
                <w:rFonts w:hint="eastAsia" w:ascii="Calibri" w:hAnsi="Calibri" w:eastAsia="宋体" w:cs="Times New Roman"/>
                <w:color w:val="auto"/>
                <w:kern w:val="2"/>
                <w:sz w:val="21"/>
                <w:szCs w:val="21"/>
                <w:highlight w:val="none"/>
                <w:lang w:val="en-US" w:eastAsia="zh-CN" w:bidi="ar-SA"/>
              </w:rPr>
              <w:t>、复合机均位于室内，运行噪声较低，且距离厂界四周均较远（100m以上），东、南、西、北厂界贡献值可忽略不计。</w:t>
            </w:r>
          </w:p>
          <w:p w14:paraId="7EA26EEC">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20" w:firstLineChars="20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（4）固废</w:t>
            </w:r>
          </w:p>
          <w:p w14:paraId="78800F22">
            <w:pPr>
              <w:keepNext w:val="0"/>
              <w:keepLines w:val="0"/>
              <w:pageBreakBefore w:val="0"/>
              <w:widowControl w:val="0"/>
              <w:kinsoku/>
              <w:wordWrap/>
              <w:overflowPunct/>
              <w:topLinePunct w:val="0"/>
              <w:autoSpaceDE/>
              <w:autoSpaceDN/>
              <w:bidi w:val="0"/>
              <w:adjustRightInd w:val="0"/>
              <w:snapToGrid w:val="0"/>
              <w:spacing w:line="500" w:lineRule="exact"/>
              <w:ind w:left="210" w:leftChars="100" w:firstLine="210" w:firstLineChars="100"/>
              <w:textAlignment w:val="auto"/>
              <w:rPr>
                <w:rFonts w:hint="default" w:ascii="Times New Roman" w:hAnsi="Times New Roman" w:cs="Times New Roman" w:eastAsiaTheme="minorEastAsia"/>
                <w:b/>
                <w:bCs/>
                <w:color w:val="auto"/>
                <w:sz w:val="21"/>
                <w:szCs w:val="21"/>
                <w:highlight w:val="none"/>
                <w:lang w:val="en-US" w:eastAsia="zh-CN"/>
              </w:rPr>
            </w:pPr>
            <w:r>
              <w:rPr>
                <w:rFonts w:hint="eastAsia" w:ascii="Calibri" w:hAnsi="Calibri" w:eastAsia="宋体" w:cs="Times New Roman"/>
                <w:color w:val="auto"/>
                <w:kern w:val="2"/>
                <w:sz w:val="21"/>
                <w:szCs w:val="21"/>
                <w:highlight w:val="none"/>
                <w:lang w:val="en-US" w:eastAsia="zh-CN" w:bidi="ar-SA"/>
              </w:rPr>
              <w:t>在建项目一般固废、危废暂存均依托已建的一般固</w:t>
            </w:r>
            <w:r>
              <w:rPr>
                <w:rFonts w:hint="default" w:ascii="Calibri" w:hAnsi="Calibri" w:eastAsia="宋体" w:cs="Times New Roman"/>
                <w:color w:val="auto"/>
                <w:kern w:val="2"/>
                <w:sz w:val="21"/>
                <w:szCs w:val="21"/>
                <w:highlight w:val="none"/>
                <w:lang w:val="en-US" w:eastAsia="zh-CN" w:bidi="ar-SA"/>
              </w:rPr>
              <w:t>废</w:t>
            </w:r>
            <w:r>
              <w:rPr>
                <w:rFonts w:hint="eastAsia" w:ascii="Calibri" w:hAnsi="Calibri" w:eastAsia="宋体" w:cs="Times New Roman"/>
                <w:color w:val="auto"/>
                <w:kern w:val="2"/>
                <w:sz w:val="21"/>
                <w:szCs w:val="21"/>
                <w:highlight w:val="none"/>
                <w:lang w:val="en-US" w:eastAsia="zh-CN" w:bidi="ar-SA"/>
              </w:rPr>
              <w:t>仓库</w:t>
            </w:r>
            <w:r>
              <w:rPr>
                <w:rFonts w:hint="default" w:ascii="Calibri" w:hAnsi="Calibri" w:eastAsia="宋体" w:cs="Times New Roman"/>
                <w:color w:val="auto"/>
                <w:kern w:val="2"/>
                <w:sz w:val="21"/>
                <w:szCs w:val="21"/>
                <w:highlight w:val="none"/>
                <w:lang w:val="en-US" w:eastAsia="zh-CN" w:bidi="ar-SA"/>
              </w:rPr>
              <w:t>和危废</w:t>
            </w:r>
            <w:r>
              <w:rPr>
                <w:rFonts w:hint="eastAsia" w:ascii="Calibri" w:hAnsi="Calibri" w:eastAsia="宋体" w:cs="Times New Roman"/>
                <w:color w:val="auto"/>
                <w:kern w:val="2"/>
                <w:sz w:val="21"/>
                <w:szCs w:val="21"/>
                <w:highlight w:val="none"/>
                <w:lang w:val="en-US" w:eastAsia="zh-CN" w:bidi="ar-SA"/>
              </w:rPr>
              <w:t>仓库</w:t>
            </w:r>
            <w:r>
              <w:rPr>
                <w:rFonts w:hint="default" w:ascii="Calibri" w:hAnsi="Calibri" w:eastAsia="宋体" w:cs="Times New Roman"/>
                <w:color w:val="auto"/>
                <w:kern w:val="2"/>
                <w:sz w:val="21"/>
                <w:szCs w:val="21"/>
                <w:highlight w:val="none"/>
                <w:lang w:val="en-US" w:eastAsia="zh-CN" w:bidi="ar-SA"/>
              </w:rPr>
              <w:t>。项目一般</w:t>
            </w:r>
            <w:r>
              <w:rPr>
                <w:rFonts w:hint="eastAsia" w:ascii="Calibri" w:hAnsi="Calibri" w:eastAsia="宋体" w:cs="Times New Roman"/>
                <w:color w:val="auto"/>
                <w:kern w:val="2"/>
                <w:sz w:val="21"/>
                <w:szCs w:val="21"/>
                <w:highlight w:val="none"/>
                <w:lang w:val="en-US" w:eastAsia="zh-CN" w:bidi="ar-SA"/>
              </w:rPr>
              <w:t>固废边角料</w:t>
            </w:r>
            <w:r>
              <w:rPr>
                <w:rFonts w:hint="default" w:ascii="Calibri" w:hAnsi="Calibri" w:eastAsia="宋体" w:cs="Times New Roman"/>
                <w:color w:val="auto"/>
                <w:kern w:val="2"/>
                <w:sz w:val="21"/>
                <w:szCs w:val="21"/>
                <w:highlight w:val="none"/>
                <w:lang w:val="en-US" w:eastAsia="zh-CN" w:bidi="ar-SA"/>
              </w:rPr>
              <w:t>（</w:t>
            </w:r>
            <w:r>
              <w:rPr>
                <w:rFonts w:hint="eastAsia" w:ascii="Calibri" w:hAnsi="Calibri" w:eastAsia="宋体" w:cs="Times New Roman"/>
                <w:color w:val="auto"/>
                <w:kern w:val="2"/>
                <w:sz w:val="21"/>
                <w:szCs w:val="21"/>
                <w:highlight w:val="none"/>
                <w:lang w:val="en-US" w:eastAsia="zh-CN" w:bidi="ar-SA"/>
              </w:rPr>
              <w:t>2</w:t>
            </w:r>
            <w:r>
              <w:rPr>
                <w:rFonts w:hint="default" w:ascii="Calibri" w:hAnsi="Calibri" w:eastAsia="宋体" w:cs="Times New Roman"/>
                <w:color w:val="auto"/>
                <w:kern w:val="2"/>
                <w:sz w:val="21"/>
                <w:szCs w:val="21"/>
                <w:highlight w:val="none"/>
                <w:lang w:val="en-US" w:eastAsia="zh-CN" w:bidi="ar-SA"/>
              </w:rPr>
              <w:t>t/a）</w:t>
            </w:r>
            <w:r>
              <w:rPr>
                <w:rFonts w:hint="eastAsia" w:ascii="Calibri" w:hAnsi="Calibri" w:eastAsia="宋体" w:cs="Times New Roman"/>
                <w:color w:val="auto"/>
                <w:kern w:val="2"/>
                <w:sz w:val="21"/>
                <w:szCs w:val="21"/>
                <w:highlight w:val="none"/>
                <w:lang w:val="en-US" w:eastAsia="zh-CN" w:bidi="ar-SA"/>
              </w:rPr>
              <w:t>、次品</w:t>
            </w:r>
            <w:r>
              <w:rPr>
                <w:rFonts w:hint="default" w:ascii="Calibri" w:hAnsi="Calibri" w:eastAsia="宋体" w:cs="Times New Roman"/>
                <w:color w:val="auto"/>
                <w:kern w:val="2"/>
                <w:sz w:val="21"/>
                <w:szCs w:val="21"/>
                <w:highlight w:val="none"/>
                <w:lang w:val="en-US" w:eastAsia="zh-CN" w:bidi="ar-SA"/>
              </w:rPr>
              <w:t>（</w:t>
            </w:r>
            <w:r>
              <w:rPr>
                <w:rFonts w:hint="eastAsia" w:ascii="Calibri" w:hAnsi="Calibri" w:eastAsia="宋体" w:cs="Times New Roman"/>
                <w:color w:val="auto"/>
                <w:kern w:val="2"/>
                <w:sz w:val="21"/>
                <w:szCs w:val="21"/>
                <w:highlight w:val="none"/>
                <w:lang w:val="en-US" w:eastAsia="zh-CN" w:bidi="ar-SA"/>
              </w:rPr>
              <w:t>0.7</w:t>
            </w:r>
            <w:r>
              <w:rPr>
                <w:rFonts w:hint="default" w:ascii="Calibri" w:hAnsi="Calibri" w:eastAsia="宋体" w:cs="Times New Roman"/>
                <w:color w:val="auto"/>
                <w:kern w:val="2"/>
                <w:sz w:val="21"/>
                <w:szCs w:val="21"/>
                <w:highlight w:val="none"/>
                <w:lang w:val="en-US" w:eastAsia="zh-CN" w:bidi="ar-SA"/>
              </w:rPr>
              <w:t>t/a）</w:t>
            </w:r>
            <w:r>
              <w:rPr>
                <w:rFonts w:hint="eastAsia" w:ascii="Calibri" w:hAnsi="Calibri" w:eastAsia="宋体" w:cs="Times New Roman"/>
                <w:color w:val="auto"/>
                <w:kern w:val="2"/>
                <w:sz w:val="21"/>
                <w:szCs w:val="21"/>
                <w:highlight w:val="none"/>
                <w:lang w:val="en-US" w:eastAsia="zh-CN" w:bidi="ar-SA"/>
              </w:rPr>
              <w:t>、废包装材料</w:t>
            </w:r>
            <w:r>
              <w:rPr>
                <w:rFonts w:hint="default" w:ascii="Calibri" w:hAnsi="Calibri" w:eastAsia="宋体" w:cs="Times New Roman"/>
                <w:color w:val="auto"/>
                <w:kern w:val="2"/>
                <w:sz w:val="21"/>
                <w:szCs w:val="21"/>
                <w:highlight w:val="none"/>
                <w:lang w:val="en-US" w:eastAsia="zh-CN" w:bidi="ar-SA"/>
              </w:rPr>
              <w:t>（</w:t>
            </w:r>
            <w:r>
              <w:rPr>
                <w:rFonts w:hint="eastAsia" w:ascii="Calibri" w:hAnsi="Calibri" w:eastAsia="宋体" w:cs="Times New Roman"/>
                <w:color w:val="auto"/>
                <w:kern w:val="2"/>
                <w:sz w:val="21"/>
                <w:szCs w:val="21"/>
                <w:highlight w:val="none"/>
                <w:lang w:val="en-US" w:eastAsia="zh-CN" w:bidi="ar-SA"/>
              </w:rPr>
              <w:t>0.3</w:t>
            </w:r>
            <w:r>
              <w:rPr>
                <w:rFonts w:hint="default" w:ascii="Calibri" w:hAnsi="Calibri" w:eastAsia="宋体" w:cs="Times New Roman"/>
                <w:color w:val="auto"/>
                <w:kern w:val="2"/>
                <w:sz w:val="21"/>
                <w:szCs w:val="21"/>
                <w:highlight w:val="none"/>
                <w:lang w:val="en-US" w:eastAsia="zh-CN" w:bidi="ar-SA"/>
              </w:rPr>
              <w:t>t/a）外售综合利用；生活垃圾（</w:t>
            </w:r>
            <w:r>
              <w:rPr>
                <w:rFonts w:hint="eastAsia" w:ascii="Calibri" w:hAnsi="Calibri" w:eastAsia="宋体" w:cs="Times New Roman"/>
                <w:color w:val="auto"/>
                <w:kern w:val="2"/>
                <w:sz w:val="21"/>
                <w:szCs w:val="21"/>
                <w:highlight w:val="none"/>
                <w:lang w:val="en-US" w:eastAsia="zh-CN" w:bidi="ar-SA"/>
              </w:rPr>
              <w:t>0.6</w:t>
            </w:r>
            <w:r>
              <w:rPr>
                <w:rFonts w:hint="default" w:ascii="Calibri" w:hAnsi="Calibri" w:eastAsia="宋体" w:cs="Times New Roman"/>
                <w:color w:val="auto"/>
                <w:kern w:val="2"/>
                <w:sz w:val="21"/>
                <w:szCs w:val="21"/>
                <w:highlight w:val="none"/>
                <w:lang w:val="en-US" w:eastAsia="zh-CN" w:bidi="ar-SA"/>
              </w:rPr>
              <w:t>t/a）由环卫部门定期清运；危险废物废活性炭（</w:t>
            </w:r>
            <w:r>
              <w:rPr>
                <w:rFonts w:hint="eastAsia" w:ascii="Calibri" w:hAnsi="Calibri" w:eastAsia="宋体" w:cs="Times New Roman"/>
                <w:color w:val="auto"/>
                <w:kern w:val="2"/>
                <w:sz w:val="21"/>
                <w:szCs w:val="21"/>
                <w:highlight w:val="none"/>
                <w:lang w:val="en-US" w:eastAsia="zh-CN" w:bidi="ar-SA"/>
              </w:rPr>
              <w:t>16.892t</w:t>
            </w:r>
            <w:r>
              <w:rPr>
                <w:rFonts w:hint="default" w:ascii="Calibri" w:hAnsi="Calibri" w:eastAsia="宋体" w:cs="Times New Roman"/>
                <w:color w:val="auto"/>
                <w:kern w:val="2"/>
                <w:sz w:val="21"/>
                <w:szCs w:val="21"/>
                <w:highlight w:val="none"/>
                <w:lang w:val="en-US" w:eastAsia="zh-CN" w:bidi="ar-SA"/>
              </w:rPr>
              <w:t>/a）</w:t>
            </w:r>
            <w:r>
              <w:rPr>
                <w:rFonts w:hint="eastAsia" w:ascii="Calibri" w:hAnsi="Calibri" w:eastAsia="宋体" w:cs="Times New Roman"/>
                <w:color w:val="auto"/>
                <w:kern w:val="2"/>
                <w:sz w:val="21"/>
                <w:szCs w:val="21"/>
                <w:highlight w:val="none"/>
                <w:lang w:val="en-US" w:eastAsia="zh-CN" w:bidi="ar-SA"/>
              </w:rPr>
              <w:t>、废包装桶</w:t>
            </w:r>
            <w:r>
              <w:rPr>
                <w:rFonts w:hint="default" w:ascii="Calibri" w:hAnsi="Calibri" w:eastAsia="宋体" w:cs="Times New Roman"/>
                <w:color w:val="auto"/>
                <w:kern w:val="2"/>
                <w:sz w:val="21"/>
                <w:szCs w:val="21"/>
                <w:highlight w:val="none"/>
                <w:lang w:val="en-US" w:eastAsia="zh-CN" w:bidi="ar-SA"/>
              </w:rPr>
              <w:t>（</w:t>
            </w:r>
            <w:r>
              <w:rPr>
                <w:rFonts w:hint="eastAsia" w:ascii="Calibri" w:hAnsi="Calibri" w:eastAsia="宋体" w:cs="Times New Roman"/>
                <w:color w:val="auto"/>
                <w:kern w:val="2"/>
                <w:sz w:val="21"/>
                <w:szCs w:val="21"/>
                <w:highlight w:val="none"/>
                <w:lang w:val="en-US" w:eastAsia="zh-CN" w:bidi="ar-SA"/>
              </w:rPr>
              <w:t>0.44</w:t>
            </w:r>
            <w:r>
              <w:rPr>
                <w:rFonts w:hint="default" w:ascii="Calibri" w:hAnsi="Calibri" w:eastAsia="宋体" w:cs="Times New Roman"/>
                <w:color w:val="auto"/>
                <w:kern w:val="2"/>
                <w:sz w:val="21"/>
                <w:szCs w:val="21"/>
                <w:highlight w:val="none"/>
                <w:lang w:val="en-US" w:eastAsia="zh-CN" w:bidi="ar-SA"/>
              </w:rPr>
              <w:t>t/a）</w:t>
            </w:r>
            <w:r>
              <w:rPr>
                <w:rFonts w:hint="eastAsia" w:ascii="Calibri" w:hAnsi="Calibri"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0"/>
                <w:sz w:val="21"/>
                <w:szCs w:val="20"/>
                <w:lang w:val="en-US" w:eastAsia="zh-CN" w:bidi="ar-SA"/>
              </w:rPr>
              <w:t>含油墨废抹布</w:t>
            </w:r>
            <w:r>
              <w:rPr>
                <w:rFonts w:hint="default" w:ascii="Calibri" w:hAnsi="Calibri" w:eastAsia="宋体" w:cs="Times New Roman"/>
                <w:color w:val="auto"/>
                <w:kern w:val="2"/>
                <w:sz w:val="21"/>
                <w:szCs w:val="21"/>
                <w:highlight w:val="none"/>
                <w:lang w:val="en-US" w:eastAsia="zh-CN" w:bidi="ar-SA"/>
              </w:rPr>
              <w:t>（</w:t>
            </w:r>
            <w:r>
              <w:rPr>
                <w:rFonts w:hint="eastAsia" w:ascii="Calibri" w:hAnsi="Calibri" w:eastAsia="宋体" w:cs="Times New Roman"/>
                <w:color w:val="auto"/>
                <w:kern w:val="2"/>
                <w:sz w:val="21"/>
                <w:szCs w:val="21"/>
                <w:highlight w:val="none"/>
                <w:lang w:val="en-US" w:eastAsia="zh-CN" w:bidi="ar-SA"/>
              </w:rPr>
              <w:t>0.2</w:t>
            </w:r>
            <w:r>
              <w:rPr>
                <w:rFonts w:hint="default" w:ascii="Calibri" w:hAnsi="Calibri" w:eastAsia="宋体" w:cs="Times New Roman"/>
                <w:color w:val="auto"/>
                <w:kern w:val="2"/>
                <w:sz w:val="21"/>
                <w:szCs w:val="21"/>
                <w:highlight w:val="none"/>
                <w:lang w:val="en-US" w:eastAsia="zh-CN" w:bidi="ar-SA"/>
              </w:rPr>
              <w:t>t/a）委托资质单位处置。</w:t>
            </w:r>
          </w:p>
          <w:p w14:paraId="5FA50A20">
            <w:pPr>
              <w:pStyle w:val="7"/>
              <w:keepNext w:val="0"/>
              <w:keepLines w:val="0"/>
              <w:pageBreakBefore w:val="0"/>
              <w:widowControl w:val="0"/>
              <w:kinsoku/>
              <w:wordWrap/>
              <w:overflowPunct/>
              <w:topLinePunct w:val="0"/>
              <w:autoSpaceDE/>
              <w:autoSpaceDN/>
              <w:bidi w:val="0"/>
              <w:adjustRightInd w:val="0"/>
              <w:snapToGrid w:val="0"/>
              <w:spacing w:line="500" w:lineRule="exact"/>
              <w:ind w:firstLine="422"/>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四、原有项目污染物排放总量情况</w:t>
            </w:r>
          </w:p>
          <w:p w14:paraId="015698C8">
            <w:pPr>
              <w:pStyle w:val="7"/>
              <w:keepNext w:val="0"/>
              <w:keepLines w:val="0"/>
              <w:pageBreakBefore w:val="0"/>
              <w:widowControl w:val="0"/>
              <w:kinsoku/>
              <w:wordWrap/>
              <w:overflowPunct/>
              <w:topLinePunct w:val="0"/>
              <w:autoSpaceDE/>
              <w:autoSpaceDN/>
              <w:bidi w:val="0"/>
              <w:adjustRightInd w:val="0"/>
              <w:snapToGrid w:val="0"/>
              <w:spacing w:line="500" w:lineRule="exact"/>
              <w:ind w:firstLine="420"/>
              <w:textAlignment w:val="auto"/>
              <w:rPr>
                <w:rFonts w:hint="default" w:ascii="Times New Roman" w:hAnsi="Times New Roman" w:cs="Times New Roman" w:eastAsiaTheme="minorEastAsia"/>
                <w:color w:val="auto"/>
                <w:sz w:val="21"/>
                <w:szCs w:val="21"/>
                <w:highlight w:val="none"/>
              </w:rPr>
            </w:pPr>
            <w:r>
              <w:rPr>
                <w:color w:val="auto"/>
                <w:sz w:val="21"/>
                <w:szCs w:val="21"/>
                <w:highlight w:val="none"/>
              </w:rPr>
              <w:t>根据</w:t>
            </w:r>
            <w:r>
              <w:rPr>
                <w:rFonts w:hint="eastAsia"/>
                <w:color w:val="auto"/>
                <w:sz w:val="21"/>
                <w:szCs w:val="21"/>
                <w:highlight w:val="none"/>
              </w:rPr>
              <w:t>原有项目环评报告及竣工验收报告中数据，原有项目污染物环评批复排放量及实际排放量</w:t>
            </w:r>
            <w:r>
              <w:rPr>
                <w:rFonts w:hint="default" w:ascii="Times New Roman" w:hAnsi="Times New Roman" w:cs="Times New Roman" w:eastAsiaTheme="minorEastAsia"/>
                <w:color w:val="auto"/>
                <w:sz w:val="21"/>
                <w:szCs w:val="21"/>
                <w:highlight w:val="none"/>
              </w:rPr>
              <w:t>见</w:t>
            </w:r>
            <w:r>
              <w:rPr>
                <w:rFonts w:hint="eastAsia" w:ascii="Times New Roman" w:hAnsi="Times New Roman" w:cs="Times New Roman" w:eastAsiaTheme="minorEastAsia"/>
                <w:color w:val="auto"/>
                <w:sz w:val="21"/>
                <w:szCs w:val="21"/>
                <w:highlight w:val="none"/>
                <w:lang w:val="en-US" w:eastAsia="zh-CN"/>
              </w:rPr>
              <w:t>下</w:t>
            </w:r>
            <w:r>
              <w:rPr>
                <w:rFonts w:hint="default" w:ascii="Times New Roman" w:hAnsi="Times New Roman" w:cs="Times New Roman" w:eastAsiaTheme="minorEastAsia"/>
                <w:color w:val="auto"/>
                <w:sz w:val="21"/>
                <w:szCs w:val="21"/>
                <w:highlight w:val="none"/>
              </w:rPr>
              <w:t>表。</w:t>
            </w:r>
          </w:p>
          <w:p w14:paraId="3F19B91C">
            <w:pPr>
              <w:pStyle w:val="7"/>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bCs/>
                <w:color w:val="auto"/>
                <w:sz w:val="21"/>
                <w:szCs w:val="21"/>
                <w:highlight w:val="none"/>
              </w:rPr>
              <w:t>表2-1</w:t>
            </w:r>
            <w:r>
              <w:rPr>
                <w:rFonts w:hint="eastAsia" w:ascii="Times New Roman" w:hAnsi="Times New Roman" w:cs="Times New Roman" w:eastAsiaTheme="minorEastAsia"/>
                <w:b/>
                <w:bCs/>
                <w:color w:val="auto"/>
                <w:sz w:val="21"/>
                <w:szCs w:val="21"/>
                <w:highlight w:val="none"/>
                <w:lang w:val="en-US" w:eastAsia="zh-CN"/>
              </w:rPr>
              <w:t>6</w:t>
            </w:r>
            <w:r>
              <w:rPr>
                <w:rFonts w:hint="default" w:ascii="Times New Roman" w:hAnsi="Times New Roman" w:cs="Times New Roman" w:eastAsiaTheme="minorEastAsia"/>
                <w:b/>
                <w:bCs/>
                <w:color w:val="auto"/>
                <w:sz w:val="21"/>
                <w:szCs w:val="21"/>
                <w:highlight w:val="none"/>
              </w:rPr>
              <w:t xml:space="preserve"> 原有项目污染物环评批复排放量汇总表</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09"/>
              <w:gridCol w:w="855"/>
              <w:gridCol w:w="890"/>
              <w:gridCol w:w="1823"/>
              <w:gridCol w:w="1397"/>
              <w:gridCol w:w="1006"/>
              <w:gridCol w:w="2169"/>
              <w:gridCol w:w="4"/>
            </w:tblGrid>
            <w:tr w14:paraId="0CD016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9" w:hRule="atLeast"/>
                <w:tblHeader/>
                <w:jc w:val="center"/>
              </w:trPr>
              <w:tc>
                <w:tcPr>
                  <w:tcW w:w="294" w:type="pct"/>
                  <w:vMerge w:val="restart"/>
                  <w:noWrap w:val="0"/>
                  <w:vAlign w:val="center"/>
                </w:tcPr>
                <w:p w14:paraId="5DDE2414">
                  <w:pPr>
                    <w:spacing w:before="48" w:beforeLines="20" w:after="48" w:afterLines="20"/>
                    <w:jc w:val="center"/>
                    <w:rPr>
                      <w:b/>
                      <w:color w:val="auto"/>
                      <w:sz w:val="21"/>
                      <w:szCs w:val="21"/>
                      <w:highlight w:val="none"/>
                    </w:rPr>
                  </w:pPr>
                  <w:r>
                    <w:rPr>
                      <w:b/>
                      <w:color w:val="auto"/>
                      <w:sz w:val="21"/>
                      <w:szCs w:val="21"/>
                      <w:highlight w:val="none"/>
                    </w:rPr>
                    <w:t>分类</w:t>
                  </w:r>
                </w:p>
              </w:tc>
              <w:tc>
                <w:tcPr>
                  <w:tcW w:w="1008" w:type="pct"/>
                  <w:gridSpan w:val="2"/>
                  <w:vMerge w:val="restart"/>
                  <w:noWrap w:val="0"/>
                  <w:vAlign w:val="center"/>
                </w:tcPr>
                <w:p w14:paraId="11B9D2F0">
                  <w:pPr>
                    <w:spacing w:before="48" w:beforeLines="20" w:after="48" w:afterLines="20"/>
                    <w:jc w:val="center"/>
                    <w:rPr>
                      <w:b/>
                      <w:color w:val="auto"/>
                      <w:sz w:val="21"/>
                      <w:szCs w:val="21"/>
                      <w:highlight w:val="none"/>
                    </w:rPr>
                  </w:pPr>
                  <w:r>
                    <w:rPr>
                      <w:b/>
                      <w:color w:val="auto"/>
                      <w:sz w:val="21"/>
                      <w:szCs w:val="21"/>
                      <w:highlight w:val="none"/>
                    </w:rPr>
                    <w:t>污染物</w:t>
                  </w:r>
                </w:p>
              </w:tc>
              <w:tc>
                <w:tcPr>
                  <w:tcW w:w="2441" w:type="pct"/>
                  <w:gridSpan w:val="3"/>
                  <w:noWrap w:val="0"/>
                  <w:vAlign w:val="center"/>
                </w:tcPr>
                <w:p w14:paraId="6F3AC126">
                  <w:pPr>
                    <w:spacing w:before="48" w:beforeLines="20" w:after="48" w:afterLines="20"/>
                    <w:jc w:val="center"/>
                    <w:rPr>
                      <w:rFonts w:hint="eastAsia"/>
                      <w:b/>
                      <w:bCs/>
                      <w:color w:val="auto"/>
                      <w:sz w:val="21"/>
                      <w:szCs w:val="21"/>
                      <w:highlight w:val="none"/>
                    </w:rPr>
                  </w:pPr>
                  <w:r>
                    <w:rPr>
                      <w:b/>
                      <w:bCs/>
                      <w:color w:val="auto"/>
                      <w:sz w:val="21"/>
                      <w:szCs w:val="21"/>
                    </w:rPr>
                    <w:t>批复排放量（t/a）</w:t>
                  </w:r>
                </w:p>
              </w:tc>
              <w:tc>
                <w:tcPr>
                  <w:tcW w:w="1255" w:type="pct"/>
                  <w:gridSpan w:val="2"/>
                  <w:noWrap w:val="0"/>
                  <w:vAlign w:val="center"/>
                </w:tcPr>
                <w:p w14:paraId="5785CC7A">
                  <w:pPr>
                    <w:spacing w:before="48" w:beforeLines="20" w:after="48" w:afterLines="20"/>
                    <w:jc w:val="center"/>
                    <w:rPr>
                      <w:rFonts w:hint="eastAsia"/>
                      <w:b/>
                      <w:bCs/>
                      <w:color w:val="auto"/>
                      <w:sz w:val="21"/>
                      <w:szCs w:val="21"/>
                      <w:highlight w:val="none"/>
                    </w:rPr>
                  </w:pPr>
                  <w:r>
                    <w:rPr>
                      <w:b/>
                      <w:bCs/>
                      <w:color w:val="auto"/>
                      <w:sz w:val="21"/>
                      <w:szCs w:val="21"/>
                    </w:rPr>
                    <w:t>环保竣工验收核算的实际排放(接管)量（t/a）</w:t>
                  </w:r>
                </w:p>
              </w:tc>
            </w:tr>
            <w:tr w14:paraId="3E0484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 w:type="pct"/>
                <w:trHeight w:val="179" w:hRule="atLeast"/>
                <w:tblHeader/>
                <w:jc w:val="center"/>
              </w:trPr>
              <w:tc>
                <w:tcPr>
                  <w:tcW w:w="294" w:type="pct"/>
                  <w:vMerge w:val="continue"/>
                  <w:noWrap w:val="0"/>
                  <w:vAlign w:val="center"/>
                </w:tcPr>
                <w:p w14:paraId="170228B3">
                  <w:pPr>
                    <w:spacing w:before="48" w:beforeLines="20" w:after="48" w:afterLines="20"/>
                    <w:jc w:val="center"/>
                    <w:rPr>
                      <w:color w:val="auto"/>
                    </w:rPr>
                  </w:pPr>
                </w:p>
              </w:tc>
              <w:tc>
                <w:tcPr>
                  <w:tcW w:w="1008" w:type="pct"/>
                  <w:gridSpan w:val="2"/>
                  <w:vMerge w:val="continue"/>
                  <w:noWrap w:val="0"/>
                  <w:vAlign w:val="center"/>
                </w:tcPr>
                <w:p w14:paraId="56B38FC6">
                  <w:pPr>
                    <w:spacing w:before="48" w:beforeLines="20" w:after="48" w:afterLines="20"/>
                    <w:jc w:val="center"/>
                    <w:rPr>
                      <w:color w:val="auto"/>
                    </w:rPr>
                  </w:pPr>
                </w:p>
              </w:tc>
              <w:tc>
                <w:tcPr>
                  <w:tcW w:w="1053" w:type="pct"/>
                  <w:noWrap w:val="0"/>
                  <w:vAlign w:val="center"/>
                </w:tcPr>
                <w:p w14:paraId="397A7999">
                  <w:pPr>
                    <w:jc w:val="center"/>
                    <w:rPr>
                      <w:b/>
                      <w:bCs/>
                      <w:color w:val="auto"/>
                    </w:rPr>
                  </w:pPr>
                  <w:r>
                    <w:rPr>
                      <w:rFonts w:hint="eastAsia"/>
                      <w:b/>
                      <w:bCs/>
                      <w:color w:val="auto"/>
                      <w:sz w:val="21"/>
                      <w:szCs w:val="21"/>
                    </w:rPr>
                    <w:t>已建项目</w:t>
                  </w:r>
                </w:p>
              </w:tc>
              <w:tc>
                <w:tcPr>
                  <w:tcW w:w="807" w:type="pct"/>
                  <w:noWrap w:val="0"/>
                  <w:vAlign w:val="center"/>
                </w:tcPr>
                <w:p w14:paraId="194FBDB1">
                  <w:pPr>
                    <w:jc w:val="center"/>
                    <w:rPr>
                      <w:b/>
                      <w:bCs/>
                      <w:color w:val="auto"/>
                    </w:rPr>
                  </w:pPr>
                  <w:r>
                    <w:rPr>
                      <w:rFonts w:hint="eastAsia"/>
                      <w:b/>
                      <w:bCs/>
                      <w:color w:val="auto"/>
                      <w:sz w:val="21"/>
                      <w:szCs w:val="21"/>
                      <w:lang w:val="en-US" w:eastAsia="zh-CN"/>
                    </w:rPr>
                    <w:t>在建项目</w:t>
                  </w:r>
                </w:p>
              </w:tc>
              <w:tc>
                <w:tcPr>
                  <w:tcW w:w="581" w:type="pct"/>
                  <w:noWrap w:val="0"/>
                  <w:vAlign w:val="center"/>
                </w:tcPr>
                <w:p w14:paraId="2D1288CD">
                  <w:pPr>
                    <w:jc w:val="center"/>
                    <w:rPr>
                      <w:b/>
                      <w:bCs/>
                      <w:color w:val="auto"/>
                    </w:rPr>
                  </w:pPr>
                  <w:r>
                    <w:rPr>
                      <w:rFonts w:hint="eastAsia"/>
                      <w:b/>
                      <w:bCs/>
                      <w:color w:val="auto"/>
                      <w:sz w:val="21"/>
                      <w:szCs w:val="21"/>
                      <w:lang w:val="en-US" w:eastAsia="zh-CN"/>
                    </w:rPr>
                    <w:t>合计</w:t>
                  </w:r>
                </w:p>
              </w:tc>
              <w:tc>
                <w:tcPr>
                  <w:tcW w:w="1253" w:type="pct"/>
                  <w:noWrap w:val="0"/>
                  <w:vAlign w:val="center"/>
                </w:tcPr>
                <w:p w14:paraId="58B39B02">
                  <w:pPr>
                    <w:spacing w:before="48" w:beforeLines="20" w:after="48" w:afterLines="20"/>
                    <w:jc w:val="center"/>
                    <w:rPr>
                      <w:rFonts w:hint="eastAsia" w:eastAsia="宋体"/>
                      <w:b/>
                      <w:bCs/>
                      <w:color w:val="auto"/>
                      <w:lang w:val="en-US" w:eastAsia="zh-CN"/>
                    </w:rPr>
                  </w:pPr>
                  <w:r>
                    <w:rPr>
                      <w:rFonts w:hint="eastAsia"/>
                      <w:b/>
                      <w:bCs/>
                      <w:color w:val="auto"/>
                      <w:sz w:val="21"/>
                      <w:szCs w:val="21"/>
                    </w:rPr>
                    <w:t>已建项目</w:t>
                  </w:r>
                </w:p>
              </w:tc>
            </w:tr>
            <w:tr w14:paraId="35AE70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 w:type="pct"/>
                <w:trHeight w:val="340" w:hRule="atLeast"/>
                <w:tblHeader/>
                <w:jc w:val="center"/>
              </w:trPr>
              <w:tc>
                <w:tcPr>
                  <w:tcW w:w="294" w:type="pct"/>
                  <w:vMerge w:val="restart"/>
                  <w:noWrap w:val="0"/>
                  <w:vAlign w:val="center"/>
                </w:tcPr>
                <w:p w14:paraId="4768503D">
                  <w:pPr>
                    <w:spacing w:before="48" w:beforeLines="20" w:after="48" w:afterLines="20"/>
                    <w:jc w:val="center"/>
                    <w:rPr>
                      <w:color w:val="auto"/>
                      <w:sz w:val="21"/>
                      <w:szCs w:val="21"/>
                      <w:highlight w:val="none"/>
                    </w:rPr>
                  </w:pPr>
                  <w:r>
                    <w:rPr>
                      <w:color w:val="auto"/>
                      <w:sz w:val="21"/>
                      <w:szCs w:val="21"/>
                      <w:highlight w:val="none"/>
                    </w:rPr>
                    <w:t>废水</w:t>
                  </w:r>
                </w:p>
              </w:tc>
              <w:tc>
                <w:tcPr>
                  <w:tcW w:w="1008" w:type="pct"/>
                  <w:gridSpan w:val="2"/>
                  <w:noWrap w:val="0"/>
                  <w:vAlign w:val="center"/>
                </w:tcPr>
                <w:p w14:paraId="27C5349E">
                  <w:pPr>
                    <w:spacing w:before="48" w:beforeLines="20" w:after="48" w:afterLines="20"/>
                    <w:jc w:val="center"/>
                    <w:rPr>
                      <w:color w:val="auto"/>
                      <w:sz w:val="21"/>
                      <w:szCs w:val="21"/>
                      <w:highlight w:val="none"/>
                    </w:rPr>
                  </w:pPr>
                  <w:r>
                    <w:rPr>
                      <w:color w:val="auto"/>
                      <w:sz w:val="21"/>
                      <w:szCs w:val="21"/>
                      <w:highlight w:val="none"/>
                    </w:rPr>
                    <w:t>废水量</w:t>
                  </w:r>
                </w:p>
              </w:tc>
              <w:tc>
                <w:tcPr>
                  <w:tcW w:w="1053" w:type="pct"/>
                  <w:noWrap w:val="0"/>
                  <w:vAlign w:val="center"/>
                </w:tcPr>
                <w:p w14:paraId="35678D48">
                  <w:pPr>
                    <w:widowControl w:val="0"/>
                    <w:bidi w:val="0"/>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220</w:t>
                  </w:r>
                </w:p>
              </w:tc>
              <w:tc>
                <w:tcPr>
                  <w:tcW w:w="807" w:type="pct"/>
                  <w:noWrap w:val="0"/>
                  <w:vAlign w:val="center"/>
                </w:tcPr>
                <w:p w14:paraId="3485C30D">
                  <w:pPr>
                    <w:widowControl w:val="0"/>
                    <w:bidi w:val="0"/>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140</w:t>
                  </w:r>
                </w:p>
              </w:tc>
              <w:tc>
                <w:tcPr>
                  <w:tcW w:w="581" w:type="pct"/>
                  <w:noWrap w:val="0"/>
                  <w:vAlign w:val="center"/>
                </w:tcPr>
                <w:p w14:paraId="37C8CAF5">
                  <w:pPr>
                    <w:widowControl w:val="0"/>
                    <w:bidi w:val="0"/>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360</w:t>
                  </w:r>
                </w:p>
              </w:tc>
              <w:tc>
                <w:tcPr>
                  <w:tcW w:w="1253" w:type="pct"/>
                  <w:noWrap w:val="0"/>
                  <w:vAlign w:val="center"/>
                </w:tcPr>
                <w:p w14:paraId="2879939D">
                  <w:pPr>
                    <w:widowControl w:val="0"/>
                    <w:bidi w:val="0"/>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w:t>
                  </w:r>
                </w:p>
              </w:tc>
            </w:tr>
            <w:tr w14:paraId="35CCAC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 w:type="pct"/>
                <w:trHeight w:val="340" w:hRule="atLeast"/>
                <w:tblHeader/>
                <w:jc w:val="center"/>
              </w:trPr>
              <w:tc>
                <w:tcPr>
                  <w:tcW w:w="294" w:type="pct"/>
                  <w:vMerge w:val="continue"/>
                  <w:noWrap w:val="0"/>
                  <w:vAlign w:val="center"/>
                </w:tcPr>
                <w:p w14:paraId="3D5FC2F6">
                  <w:pPr>
                    <w:spacing w:before="48" w:beforeLines="20" w:after="48" w:afterLines="20"/>
                    <w:jc w:val="center"/>
                    <w:rPr>
                      <w:color w:val="auto"/>
                      <w:sz w:val="21"/>
                      <w:szCs w:val="21"/>
                      <w:highlight w:val="none"/>
                    </w:rPr>
                  </w:pPr>
                </w:p>
              </w:tc>
              <w:tc>
                <w:tcPr>
                  <w:tcW w:w="1008" w:type="pct"/>
                  <w:gridSpan w:val="2"/>
                  <w:noWrap w:val="0"/>
                  <w:vAlign w:val="center"/>
                </w:tcPr>
                <w:p w14:paraId="5822E0E1">
                  <w:pPr>
                    <w:widowControl w:val="0"/>
                    <w:bidi w:val="0"/>
                    <w:spacing w:line="240" w:lineRule="exact"/>
                    <w:ind w:firstLine="0" w:firstLineChars="0"/>
                    <w:jc w:val="center"/>
                    <w:rPr>
                      <w:color w:val="auto"/>
                      <w:sz w:val="21"/>
                      <w:szCs w:val="21"/>
                      <w:highlight w:val="none"/>
                    </w:rPr>
                  </w:pPr>
                  <w:r>
                    <w:rPr>
                      <w:rFonts w:hint="default" w:ascii="Times New Roman" w:hAnsi="Times New Roman" w:cs="Times New Roman"/>
                      <w:color w:val="auto"/>
                      <w:sz w:val="21"/>
                      <w:szCs w:val="21"/>
                      <w:lang w:val="en-US" w:eastAsia="zh-CN"/>
                    </w:rPr>
                    <w:t>COD</w:t>
                  </w:r>
                </w:p>
              </w:tc>
              <w:tc>
                <w:tcPr>
                  <w:tcW w:w="1053" w:type="pct"/>
                  <w:noWrap w:val="0"/>
                  <w:vAlign w:val="center"/>
                </w:tcPr>
                <w:p w14:paraId="188B121F">
                  <w:pPr>
                    <w:widowControl w:val="0"/>
                    <w:bidi w:val="0"/>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0.054</w:t>
                  </w:r>
                </w:p>
              </w:tc>
              <w:tc>
                <w:tcPr>
                  <w:tcW w:w="807" w:type="pct"/>
                  <w:noWrap w:val="0"/>
                  <w:vAlign w:val="center"/>
                </w:tcPr>
                <w:p w14:paraId="4B50EFF3">
                  <w:pPr>
                    <w:widowControl w:val="0"/>
                    <w:bidi w:val="0"/>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0.036</w:t>
                  </w:r>
                </w:p>
              </w:tc>
              <w:tc>
                <w:tcPr>
                  <w:tcW w:w="581" w:type="pct"/>
                  <w:noWrap w:val="0"/>
                  <w:vAlign w:val="center"/>
                </w:tcPr>
                <w:p w14:paraId="7F44C3F9">
                  <w:pPr>
                    <w:widowControl w:val="0"/>
                    <w:bidi w:val="0"/>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0.09</w:t>
                  </w:r>
                </w:p>
              </w:tc>
              <w:tc>
                <w:tcPr>
                  <w:tcW w:w="1253" w:type="pct"/>
                  <w:noWrap w:val="0"/>
                  <w:vAlign w:val="center"/>
                </w:tcPr>
                <w:p w14:paraId="0F14F1E6">
                  <w:pPr>
                    <w:widowControl w:val="0"/>
                    <w:bidi w:val="0"/>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0.018</w:t>
                  </w:r>
                </w:p>
              </w:tc>
            </w:tr>
            <w:tr w14:paraId="201E54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 w:type="pct"/>
                <w:trHeight w:val="340" w:hRule="atLeast"/>
                <w:tblHeader/>
                <w:jc w:val="center"/>
              </w:trPr>
              <w:tc>
                <w:tcPr>
                  <w:tcW w:w="294" w:type="pct"/>
                  <w:vMerge w:val="continue"/>
                  <w:noWrap w:val="0"/>
                  <w:vAlign w:val="center"/>
                </w:tcPr>
                <w:p w14:paraId="24C2BA9D">
                  <w:pPr>
                    <w:spacing w:before="48" w:beforeLines="20" w:after="48" w:afterLines="20"/>
                    <w:jc w:val="center"/>
                    <w:rPr>
                      <w:color w:val="auto"/>
                      <w:sz w:val="21"/>
                      <w:szCs w:val="21"/>
                      <w:highlight w:val="none"/>
                    </w:rPr>
                  </w:pPr>
                </w:p>
              </w:tc>
              <w:tc>
                <w:tcPr>
                  <w:tcW w:w="1008" w:type="pct"/>
                  <w:gridSpan w:val="2"/>
                  <w:noWrap w:val="0"/>
                  <w:vAlign w:val="center"/>
                </w:tcPr>
                <w:p w14:paraId="7D149D25">
                  <w:pPr>
                    <w:widowControl w:val="0"/>
                    <w:bidi w:val="0"/>
                    <w:spacing w:line="240" w:lineRule="exact"/>
                    <w:ind w:firstLine="0" w:firstLineChars="0"/>
                    <w:jc w:val="center"/>
                    <w:rPr>
                      <w:color w:val="auto"/>
                      <w:sz w:val="21"/>
                      <w:szCs w:val="21"/>
                      <w:highlight w:val="none"/>
                    </w:rPr>
                  </w:pPr>
                  <w:r>
                    <w:rPr>
                      <w:rFonts w:hint="default" w:ascii="Times New Roman" w:hAnsi="Times New Roman" w:cs="Times New Roman"/>
                      <w:color w:val="auto"/>
                      <w:sz w:val="21"/>
                      <w:szCs w:val="21"/>
                      <w:lang w:val="en-US" w:eastAsia="zh-CN"/>
                    </w:rPr>
                    <w:t>SS</w:t>
                  </w:r>
                </w:p>
              </w:tc>
              <w:tc>
                <w:tcPr>
                  <w:tcW w:w="1053" w:type="pct"/>
                  <w:noWrap w:val="0"/>
                  <w:vAlign w:val="center"/>
                </w:tcPr>
                <w:p w14:paraId="6328ED7F">
                  <w:pPr>
                    <w:widowControl w:val="0"/>
                    <w:bidi w:val="0"/>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0.014</w:t>
                  </w:r>
                </w:p>
              </w:tc>
              <w:tc>
                <w:tcPr>
                  <w:tcW w:w="807" w:type="pct"/>
                  <w:noWrap w:val="0"/>
                  <w:vAlign w:val="center"/>
                </w:tcPr>
                <w:p w14:paraId="23BC903E">
                  <w:pPr>
                    <w:widowControl w:val="0"/>
                    <w:bidi w:val="0"/>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0.0148</w:t>
                  </w:r>
                </w:p>
              </w:tc>
              <w:tc>
                <w:tcPr>
                  <w:tcW w:w="581" w:type="pct"/>
                  <w:noWrap w:val="0"/>
                  <w:vAlign w:val="center"/>
                </w:tcPr>
                <w:p w14:paraId="63ED1F42">
                  <w:pPr>
                    <w:widowControl w:val="0"/>
                    <w:bidi w:val="0"/>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0.0288</w:t>
                  </w:r>
                </w:p>
              </w:tc>
              <w:tc>
                <w:tcPr>
                  <w:tcW w:w="1253" w:type="pct"/>
                  <w:noWrap w:val="0"/>
                  <w:vAlign w:val="center"/>
                </w:tcPr>
                <w:p w14:paraId="4C46AF9A">
                  <w:pPr>
                    <w:widowControl w:val="0"/>
                    <w:bidi w:val="0"/>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0.010</w:t>
                  </w:r>
                </w:p>
              </w:tc>
            </w:tr>
            <w:tr w14:paraId="1EA7BA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 w:type="pct"/>
                <w:trHeight w:val="340" w:hRule="atLeast"/>
                <w:tblHeader/>
                <w:jc w:val="center"/>
              </w:trPr>
              <w:tc>
                <w:tcPr>
                  <w:tcW w:w="294" w:type="pct"/>
                  <w:vMerge w:val="continue"/>
                  <w:noWrap w:val="0"/>
                  <w:vAlign w:val="center"/>
                </w:tcPr>
                <w:p w14:paraId="763F8F0F">
                  <w:pPr>
                    <w:spacing w:before="48" w:beforeLines="20" w:after="48" w:afterLines="20"/>
                    <w:jc w:val="center"/>
                    <w:rPr>
                      <w:color w:val="auto"/>
                      <w:sz w:val="21"/>
                      <w:szCs w:val="21"/>
                      <w:highlight w:val="none"/>
                    </w:rPr>
                  </w:pPr>
                </w:p>
              </w:tc>
              <w:tc>
                <w:tcPr>
                  <w:tcW w:w="1008" w:type="pct"/>
                  <w:gridSpan w:val="2"/>
                  <w:noWrap w:val="0"/>
                  <w:vAlign w:val="center"/>
                </w:tcPr>
                <w:p w14:paraId="18075E7F">
                  <w:pPr>
                    <w:widowControl w:val="0"/>
                    <w:bidi w:val="0"/>
                    <w:spacing w:line="240" w:lineRule="exact"/>
                    <w:ind w:firstLine="0" w:firstLineChars="0"/>
                    <w:jc w:val="center"/>
                    <w:rPr>
                      <w:color w:val="auto"/>
                      <w:sz w:val="21"/>
                      <w:szCs w:val="21"/>
                      <w:highlight w:val="none"/>
                    </w:rPr>
                  </w:pPr>
                  <w:r>
                    <w:rPr>
                      <w:rFonts w:hint="default" w:ascii="Times New Roman" w:hAnsi="Times New Roman" w:cs="Times New Roman"/>
                      <w:color w:val="auto"/>
                      <w:sz w:val="21"/>
                      <w:szCs w:val="21"/>
                      <w:lang w:val="en-US" w:eastAsia="zh-CN"/>
                    </w:rPr>
                    <w:t>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w:t>
                  </w:r>
                </w:p>
              </w:tc>
              <w:tc>
                <w:tcPr>
                  <w:tcW w:w="1053" w:type="pct"/>
                  <w:noWrap w:val="0"/>
                  <w:vAlign w:val="center"/>
                </w:tcPr>
                <w:p w14:paraId="0B10DA31">
                  <w:pPr>
                    <w:widowControl w:val="0"/>
                    <w:bidi w:val="0"/>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0.002</w:t>
                  </w:r>
                </w:p>
              </w:tc>
              <w:tc>
                <w:tcPr>
                  <w:tcW w:w="807" w:type="pct"/>
                  <w:noWrap w:val="0"/>
                  <w:vAlign w:val="center"/>
                </w:tcPr>
                <w:p w14:paraId="6AF345F2">
                  <w:pPr>
                    <w:widowControl w:val="0"/>
                    <w:bidi w:val="0"/>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0.0016</w:t>
                  </w:r>
                </w:p>
              </w:tc>
              <w:tc>
                <w:tcPr>
                  <w:tcW w:w="581" w:type="pct"/>
                  <w:noWrap w:val="0"/>
                  <w:vAlign w:val="center"/>
                </w:tcPr>
                <w:p w14:paraId="5E6C40A9">
                  <w:pPr>
                    <w:widowControl w:val="0"/>
                    <w:bidi w:val="0"/>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0.0036</w:t>
                  </w:r>
                </w:p>
              </w:tc>
              <w:tc>
                <w:tcPr>
                  <w:tcW w:w="1253" w:type="pct"/>
                  <w:noWrap w:val="0"/>
                  <w:vAlign w:val="center"/>
                </w:tcPr>
                <w:p w14:paraId="52303F13">
                  <w:pPr>
                    <w:widowControl w:val="0"/>
                    <w:bidi w:val="0"/>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0.001</w:t>
                  </w:r>
                </w:p>
              </w:tc>
            </w:tr>
            <w:tr w14:paraId="0D8E27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 w:type="pct"/>
                <w:trHeight w:val="340" w:hRule="atLeast"/>
                <w:tblHeader/>
                <w:jc w:val="center"/>
              </w:trPr>
              <w:tc>
                <w:tcPr>
                  <w:tcW w:w="294" w:type="pct"/>
                  <w:vMerge w:val="continue"/>
                  <w:noWrap w:val="0"/>
                  <w:vAlign w:val="center"/>
                </w:tcPr>
                <w:p w14:paraId="3BE79D87">
                  <w:pPr>
                    <w:spacing w:before="48" w:beforeLines="20" w:after="48" w:afterLines="20"/>
                    <w:jc w:val="center"/>
                    <w:rPr>
                      <w:color w:val="auto"/>
                      <w:sz w:val="21"/>
                      <w:szCs w:val="21"/>
                      <w:highlight w:val="none"/>
                    </w:rPr>
                  </w:pPr>
                </w:p>
              </w:tc>
              <w:tc>
                <w:tcPr>
                  <w:tcW w:w="1008" w:type="pct"/>
                  <w:gridSpan w:val="2"/>
                  <w:noWrap w:val="0"/>
                  <w:vAlign w:val="center"/>
                </w:tcPr>
                <w:p w14:paraId="59F391B9">
                  <w:pPr>
                    <w:widowControl w:val="0"/>
                    <w:bidi w:val="0"/>
                    <w:spacing w:line="240" w:lineRule="exact"/>
                    <w:ind w:firstLine="0" w:firstLineChars="0"/>
                    <w:jc w:val="center"/>
                    <w:rPr>
                      <w:rFonts w:hint="eastAsia" w:eastAsia="宋体"/>
                      <w:color w:val="auto"/>
                      <w:sz w:val="21"/>
                      <w:szCs w:val="21"/>
                      <w:highlight w:val="none"/>
                      <w:lang w:eastAsia="zh-CN"/>
                    </w:rPr>
                  </w:pPr>
                  <w:r>
                    <w:rPr>
                      <w:rFonts w:hint="default" w:ascii="Times New Roman" w:hAnsi="Times New Roman" w:cs="Times New Roman"/>
                      <w:color w:val="auto"/>
                      <w:sz w:val="21"/>
                      <w:szCs w:val="21"/>
                      <w:lang w:val="en-US" w:eastAsia="zh-CN"/>
                    </w:rPr>
                    <w:t>TP</w:t>
                  </w:r>
                </w:p>
              </w:tc>
              <w:tc>
                <w:tcPr>
                  <w:tcW w:w="1053" w:type="pct"/>
                  <w:noWrap w:val="0"/>
                  <w:vAlign w:val="center"/>
                </w:tcPr>
                <w:p w14:paraId="493A28A9">
                  <w:pPr>
                    <w:widowControl w:val="0"/>
                    <w:bidi w:val="0"/>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0.0004</w:t>
                  </w:r>
                </w:p>
              </w:tc>
              <w:tc>
                <w:tcPr>
                  <w:tcW w:w="807" w:type="pct"/>
                  <w:noWrap w:val="0"/>
                  <w:vAlign w:val="center"/>
                </w:tcPr>
                <w:p w14:paraId="6855EA22">
                  <w:pPr>
                    <w:widowControl w:val="0"/>
                    <w:bidi w:val="0"/>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0.0003</w:t>
                  </w:r>
                </w:p>
              </w:tc>
              <w:tc>
                <w:tcPr>
                  <w:tcW w:w="581" w:type="pct"/>
                  <w:noWrap w:val="0"/>
                  <w:vAlign w:val="center"/>
                </w:tcPr>
                <w:p w14:paraId="0D91238B">
                  <w:pPr>
                    <w:widowControl w:val="0"/>
                    <w:bidi w:val="0"/>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0.0007</w:t>
                  </w:r>
                </w:p>
              </w:tc>
              <w:tc>
                <w:tcPr>
                  <w:tcW w:w="1253" w:type="pct"/>
                  <w:noWrap w:val="0"/>
                  <w:vAlign w:val="center"/>
                </w:tcPr>
                <w:p w14:paraId="147F9409">
                  <w:pPr>
                    <w:widowControl w:val="0"/>
                    <w:bidi w:val="0"/>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0.0002</w:t>
                  </w:r>
                </w:p>
              </w:tc>
            </w:tr>
            <w:tr w14:paraId="6F571F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 w:type="pct"/>
                <w:trHeight w:val="340" w:hRule="atLeast"/>
                <w:tblHeader/>
                <w:jc w:val="center"/>
              </w:trPr>
              <w:tc>
                <w:tcPr>
                  <w:tcW w:w="294" w:type="pct"/>
                  <w:vMerge w:val="continue"/>
                  <w:noWrap w:val="0"/>
                  <w:vAlign w:val="center"/>
                </w:tcPr>
                <w:p w14:paraId="433F107A">
                  <w:pPr>
                    <w:spacing w:before="48" w:beforeLines="20" w:after="48" w:afterLines="20"/>
                    <w:jc w:val="center"/>
                    <w:rPr>
                      <w:color w:val="auto"/>
                      <w:sz w:val="21"/>
                      <w:szCs w:val="21"/>
                      <w:highlight w:val="none"/>
                    </w:rPr>
                  </w:pPr>
                </w:p>
              </w:tc>
              <w:tc>
                <w:tcPr>
                  <w:tcW w:w="1008" w:type="pct"/>
                  <w:gridSpan w:val="2"/>
                  <w:noWrap w:val="0"/>
                  <w:vAlign w:val="center"/>
                </w:tcPr>
                <w:p w14:paraId="22321AAA">
                  <w:pPr>
                    <w:widowControl w:val="0"/>
                    <w:bidi w:val="0"/>
                    <w:spacing w:line="240" w:lineRule="exact"/>
                    <w:ind w:firstLine="0" w:firstLineChars="0"/>
                    <w:jc w:val="center"/>
                    <w:rPr>
                      <w:rFonts w:hint="eastAsia" w:eastAsia="宋体"/>
                      <w:color w:val="auto"/>
                      <w:sz w:val="21"/>
                      <w:szCs w:val="21"/>
                      <w:highlight w:val="none"/>
                      <w:lang w:eastAsia="zh-CN"/>
                    </w:rPr>
                  </w:pPr>
                  <w:r>
                    <w:rPr>
                      <w:rFonts w:hint="default" w:ascii="Times New Roman" w:hAnsi="Times New Roman" w:cs="Times New Roman"/>
                      <w:color w:val="auto"/>
                      <w:sz w:val="21"/>
                      <w:szCs w:val="21"/>
                      <w:lang w:val="en-US" w:eastAsia="zh-CN"/>
                    </w:rPr>
                    <w:t>TN</w:t>
                  </w:r>
                </w:p>
              </w:tc>
              <w:tc>
                <w:tcPr>
                  <w:tcW w:w="1053" w:type="pct"/>
                  <w:noWrap w:val="0"/>
                  <w:vAlign w:val="center"/>
                </w:tcPr>
                <w:p w14:paraId="66597D39">
                  <w:pPr>
                    <w:widowControl w:val="0"/>
                    <w:bidi w:val="0"/>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0.0043</w:t>
                  </w:r>
                </w:p>
              </w:tc>
              <w:tc>
                <w:tcPr>
                  <w:tcW w:w="807" w:type="pct"/>
                  <w:noWrap w:val="0"/>
                  <w:vAlign w:val="center"/>
                </w:tcPr>
                <w:p w14:paraId="4D328806">
                  <w:pPr>
                    <w:widowControl w:val="0"/>
                    <w:bidi w:val="0"/>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0.0029</w:t>
                  </w:r>
                </w:p>
              </w:tc>
              <w:tc>
                <w:tcPr>
                  <w:tcW w:w="581" w:type="pct"/>
                  <w:noWrap w:val="0"/>
                  <w:vAlign w:val="center"/>
                </w:tcPr>
                <w:p w14:paraId="52309A2E">
                  <w:pPr>
                    <w:widowControl w:val="0"/>
                    <w:bidi w:val="0"/>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0.0072</w:t>
                  </w:r>
                </w:p>
              </w:tc>
              <w:tc>
                <w:tcPr>
                  <w:tcW w:w="1253" w:type="pct"/>
                  <w:noWrap w:val="0"/>
                  <w:vAlign w:val="center"/>
                </w:tcPr>
                <w:p w14:paraId="26DB8D8E">
                  <w:pPr>
                    <w:widowControl w:val="0"/>
                    <w:bidi w:val="0"/>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0.0032</w:t>
                  </w:r>
                </w:p>
              </w:tc>
            </w:tr>
            <w:tr w14:paraId="65BD20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 w:type="pct"/>
                <w:trHeight w:val="340" w:hRule="atLeast"/>
                <w:tblHeader/>
                <w:jc w:val="center"/>
              </w:trPr>
              <w:tc>
                <w:tcPr>
                  <w:tcW w:w="294" w:type="pct"/>
                  <w:vMerge w:val="restart"/>
                  <w:noWrap w:val="0"/>
                  <w:vAlign w:val="center"/>
                </w:tcPr>
                <w:p w14:paraId="75C97CCF">
                  <w:pPr>
                    <w:spacing w:before="48" w:beforeLines="20" w:after="48" w:afterLines="20"/>
                    <w:jc w:val="center"/>
                    <w:rPr>
                      <w:color w:val="auto"/>
                      <w:sz w:val="21"/>
                      <w:szCs w:val="21"/>
                      <w:highlight w:val="none"/>
                    </w:rPr>
                  </w:pPr>
                  <w:r>
                    <w:rPr>
                      <w:color w:val="auto"/>
                      <w:sz w:val="21"/>
                      <w:szCs w:val="21"/>
                      <w:highlight w:val="none"/>
                    </w:rPr>
                    <w:t>废气</w:t>
                  </w:r>
                </w:p>
              </w:tc>
              <w:tc>
                <w:tcPr>
                  <w:tcW w:w="494" w:type="pct"/>
                  <w:vMerge w:val="restart"/>
                  <w:noWrap w:val="0"/>
                  <w:vAlign w:val="center"/>
                </w:tcPr>
                <w:p w14:paraId="25EC4EF2">
                  <w:pPr>
                    <w:pStyle w:val="62"/>
                    <w:spacing w:before="48" w:beforeLines="20" w:after="48" w:afterLines="20"/>
                    <w:ind w:right="0" w:rightChars="0"/>
                    <w:rPr>
                      <w:rFonts w:ascii="Times New Roman" w:hAnsi="Times New Roman"/>
                      <w:color w:val="auto"/>
                      <w:kern w:val="0"/>
                      <w:sz w:val="21"/>
                      <w:szCs w:val="21"/>
                      <w:highlight w:val="none"/>
                      <w:lang w:val="en-US" w:eastAsia="zh-CN" w:bidi="ar-SA"/>
                    </w:rPr>
                  </w:pPr>
                  <w:r>
                    <w:rPr>
                      <w:rFonts w:hint="eastAsia" w:ascii="Times New Roman" w:hAnsi="Times New Roman"/>
                      <w:color w:val="auto"/>
                      <w:sz w:val="21"/>
                      <w:szCs w:val="21"/>
                      <w:highlight w:val="none"/>
                    </w:rPr>
                    <w:t>非甲烷总烃</w:t>
                  </w:r>
                </w:p>
              </w:tc>
              <w:tc>
                <w:tcPr>
                  <w:tcW w:w="514" w:type="pct"/>
                  <w:noWrap w:val="0"/>
                  <w:vAlign w:val="center"/>
                </w:tcPr>
                <w:p w14:paraId="1DF19F8C">
                  <w:pPr>
                    <w:pStyle w:val="62"/>
                    <w:spacing w:before="48" w:beforeLines="20" w:after="48" w:afterLines="20"/>
                    <w:ind w:right="0" w:rightChars="0"/>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有组织</w:t>
                  </w:r>
                </w:p>
              </w:tc>
              <w:tc>
                <w:tcPr>
                  <w:tcW w:w="1053" w:type="pct"/>
                  <w:noWrap w:val="0"/>
                  <w:vAlign w:val="center"/>
                </w:tcPr>
                <w:p w14:paraId="4341618E">
                  <w:pPr>
                    <w:widowControl w:val="0"/>
                    <w:bidi w:val="0"/>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0.132</w:t>
                  </w:r>
                </w:p>
              </w:tc>
              <w:tc>
                <w:tcPr>
                  <w:tcW w:w="807" w:type="pct"/>
                  <w:noWrap w:val="0"/>
                  <w:vAlign w:val="center"/>
                </w:tcPr>
                <w:p w14:paraId="673AA71D">
                  <w:pPr>
                    <w:widowControl w:val="0"/>
                    <w:bidi w:val="0"/>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0.089</w:t>
                  </w:r>
                </w:p>
              </w:tc>
              <w:tc>
                <w:tcPr>
                  <w:tcW w:w="581" w:type="pct"/>
                  <w:noWrap w:val="0"/>
                  <w:vAlign w:val="center"/>
                </w:tcPr>
                <w:p w14:paraId="147BB782">
                  <w:pPr>
                    <w:widowControl w:val="0"/>
                    <w:bidi w:val="0"/>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0.221</w:t>
                  </w:r>
                </w:p>
              </w:tc>
              <w:tc>
                <w:tcPr>
                  <w:tcW w:w="1253" w:type="pct"/>
                  <w:noWrap w:val="0"/>
                  <w:vAlign w:val="center"/>
                </w:tcPr>
                <w:p w14:paraId="635A549C">
                  <w:pPr>
                    <w:widowControl w:val="0"/>
                    <w:bidi w:val="0"/>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w:t>
                  </w:r>
                </w:p>
              </w:tc>
            </w:tr>
            <w:tr w14:paraId="214805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 w:type="pct"/>
                <w:trHeight w:val="340" w:hRule="atLeast"/>
                <w:tblHeader/>
                <w:jc w:val="center"/>
              </w:trPr>
              <w:tc>
                <w:tcPr>
                  <w:tcW w:w="294" w:type="pct"/>
                  <w:vMerge w:val="continue"/>
                  <w:noWrap w:val="0"/>
                  <w:vAlign w:val="center"/>
                </w:tcPr>
                <w:p w14:paraId="77DEED2D">
                  <w:pPr>
                    <w:spacing w:before="48" w:beforeLines="20" w:after="48" w:afterLines="20"/>
                    <w:jc w:val="center"/>
                    <w:rPr>
                      <w:color w:val="auto"/>
                      <w:sz w:val="21"/>
                      <w:szCs w:val="21"/>
                      <w:highlight w:val="none"/>
                    </w:rPr>
                  </w:pPr>
                </w:p>
              </w:tc>
              <w:tc>
                <w:tcPr>
                  <w:tcW w:w="494" w:type="pct"/>
                  <w:vMerge w:val="continue"/>
                  <w:noWrap w:val="0"/>
                  <w:vAlign w:val="center"/>
                </w:tcPr>
                <w:p w14:paraId="7E5D7895">
                  <w:pPr>
                    <w:pStyle w:val="62"/>
                    <w:spacing w:before="48" w:beforeLines="20" w:after="48" w:afterLines="20"/>
                    <w:ind w:right="0" w:rightChars="0"/>
                    <w:rPr>
                      <w:rFonts w:ascii="Times New Roman" w:hAnsi="Times New Roman"/>
                      <w:color w:val="auto"/>
                      <w:kern w:val="0"/>
                      <w:sz w:val="21"/>
                      <w:szCs w:val="21"/>
                      <w:highlight w:val="none"/>
                      <w:lang w:val="en-US" w:eastAsia="zh-CN" w:bidi="ar-SA"/>
                    </w:rPr>
                  </w:pPr>
                </w:p>
              </w:tc>
              <w:tc>
                <w:tcPr>
                  <w:tcW w:w="514" w:type="pct"/>
                  <w:noWrap w:val="0"/>
                  <w:vAlign w:val="center"/>
                </w:tcPr>
                <w:p w14:paraId="509483B7">
                  <w:pPr>
                    <w:pStyle w:val="62"/>
                    <w:spacing w:before="48" w:beforeLines="20" w:after="48" w:afterLines="20"/>
                    <w:ind w:right="0" w:rightChars="0"/>
                    <w:rPr>
                      <w:rFonts w:hint="default" w:ascii="Times New Roman" w:hAnsi="Times New Roman"/>
                      <w:color w:val="auto"/>
                      <w:kern w:val="0"/>
                      <w:sz w:val="21"/>
                      <w:szCs w:val="21"/>
                      <w:highlight w:val="none"/>
                      <w:lang w:val="en-US" w:eastAsia="zh-CN" w:bidi="ar-SA"/>
                    </w:rPr>
                  </w:pPr>
                  <w:r>
                    <w:rPr>
                      <w:rFonts w:hint="eastAsia" w:ascii="Times New Roman" w:hAnsi="Times New Roman"/>
                      <w:color w:val="auto"/>
                      <w:kern w:val="0"/>
                      <w:sz w:val="21"/>
                      <w:szCs w:val="21"/>
                      <w:highlight w:val="none"/>
                      <w:lang w:val="en-US" w:eastAsia="zh-CN" w:bidi="ar-SA"/>
                    </w:rPr>
                    <w:t>无组织</w:t>
                  </w:r>
                </w:p>
              </w:tc>
              <w:tc>
                <w:tcPr>
                  <w:tcW w:w="1053" w:type="pct"/>
                  <w:noWrap w:val="0"/>
                  <w:vAlign w:val="center"/>
                </w:tcPr>
                <w:p w14:paraId="1B7C79E3">
                  <w:pPr>
                    <w:spacing w:before="48" w:beforeLines="20" w:after="48" w:afterLines="20"/>
                    <w:jc w:val="center"/>
                    <w:rPr>
                      <w:rFonts w:hint="eastAsia"/>
                      <w:color w:val="auto"/>
                      <w:sz w:val="21"/>
                      <w:szCs w:val="21"/>
                    </w:rPr>
                  </w:pPr>
                  <w:r>
                    <w:rPr>
                      <w:rFonts w:hint="eastAsia" w:cs="Times New Roman"/>
                      <w:color w:val="auto"/>
                      <w:sz w:val="21"/>
                      <w:szCs w:val="21"/>
                      <w:highlight w:val="none"/>
                      <w:lang w:val="en-US" w:eastAsia="zh-CN"/>
                    </w:rPr>
                    <w:t>0.07</w:t>
                  </w:r>
                </w:p>
              </w:tc>
              <w:tc>
                <w:tcPr>
                  <w:tcW w:w="807" w:type="pct"/>
                  <w:noWrap w:val="0"/>
                  <w:vAlign w:val="center"/>
                </w:tcPr>
                <w:p w14:paraId="74FD9925">
                  <w:pPr>
                    <w:spacing w:before="48" w:beforeLines="20" w:after="48" w:afterLines="20"/>
                    <w:jc w:val="center"/>
                    <w:rPr>
                      <w:rFonts w:hint="eastAsia"/>
                      <w:color w:val="auto"/>
                      <w:sz w:val="21"/>
                      <w:szCs w:val="21"/>
                    </w:rPr>
                  </w:pPr>
                  <w:r>
                    <w:rPr>
                      <w:rFonts w:hint="eastAsia" w:cs="Times New Roman"/>
                      <w:color w:val="auto"/>
                      <w:sz w:val="21"/>
                      <w:szCs w:val="21"/>
                      <w:highlight w:val="none"/>
                      <w:lang w:val="en-US" w:eastAsia="zh-CN"/>
                    </w:rPr>
                    <w:t>0.047</w:t>
                  </w:r>
                </w:p>
              </w:tc>
              <w:tc>
                <w:tcPr>
                  <w:tcW w:w="581" w:type="pct"/>
                  <w:noWrap w:val="0"/>
                  <w:vAlign w:val="center"/>
                </w:tcPr>
                <w:p w14:paraId="76D03E2D">
                  <w:pPr>
                    <w:spacing w:before="48" w:beforeLines="20" w:after="48" w:afterLines="20"/>
                    <w:jc w:val="center"/>
                    <w:rPr>
                      <w:rFonts w:hint="eastAsia"/>
                      <w:color w:val="auto"/>
                      <w:sz w:val="21"/>
                      <w:szCs w:val="21"/>
                    </w:rPr>
                  </w:pPr>
                  <w:r>
                    <w:rPr>
                      <w:rFonts w:hint="eastAsia"/>
                      <w:color w:val="auto"/>
                      <w:sz w:val="21"/>
                      <w:szCs w:val="21"/>
                    </w:rPr>
                    <w:t>0.117</w:t>
                  </w:r>
                </w:p>
              </w:tc>
              <w:tc>
                <w:tcPr>
                  <w:tcW w:w="1253" w:type="pct"/>
                  <w:noWrap w:val="0"/>
                  <w:vAlign w:val="center"/>
                </w:tcPr>
                <w:p w14:paraId="0184ACB4">
                  <w:pPr>
                    <w:spacing w:before="48" w:beforeLines="20" w:after="48" w:afterLines="2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039C95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 w:type="pct"/>
                <w:trHeight w:val="340" w:hRule="atLeast"/>
                <w:tblHeader/>
                <w:jc w:val="center"/>
              </w:trPr>
              <w:tc>
                <w:tcPr>
                  <w:tcW w:w="1302" w:type="pct"/>
                  <w:gridSpan w:val="3"/>
                  <w:noWrap w:val="0"/>
                  <w:vAlign w:val="center"/>
                </w:tcPr>
                <w:p w14:paraId="160CCFF3">
                  <w:pPr>
                    <w:spacing w:before="48" w:beforeLines="20" w:after="48" w:afterLines="20"/>
                    <w:jc w:val="center"/>
                    <w:rPr>
                      <w:color w:val="auto"/>
                      <w:sz w:val="21"/>
                      <w:szCs w:val="21"/>
                      <w:highlight w:val="none"/>
                    </w:rPr>
                  </w:pPr>
                  <w:r>
                    <w:rPr>
                      <w:color w:val="auto"/>
                      <w:sz w:val="21"/>
                      <w:szCs w:val="21"/>
                      <w:highlight w:val="none"/>
                    </w:rPr>
                    <w:t>固废</w:t>
                  </w:r>
                </w:p>
              </w:tc>
              <w:tc>
                <w:tcPr>
                  <w:tcW w:w="1053" w:type="pct"/>
                  <w:noWrap w:val="0"/>
                  <w:vAlign w:val="center"/>
                </w:tcPr>
                <w:p w14:paraId="6E06AD09">
                  <w:pPr>
                    <w:spacing w:before="48" w:beforeLines="20" w:after="48" w:afterLines="20"/>
                    <w:jc w:val="center"/>
                    <w:rPr>
                      <w:rFonts w:hint="eastAsia"/>
                      <w:color w:val="auto"/>
                      <w:sz w:val="21"/>
                      <w:szCs w:val="21"/>
                      <w:highlight w:val="none"/>
                    </w:rPr>
                  </w:pPr>
                  <w:r>
                    <w:rPr>
                      <w:rFonts w:hint="eastAsia" w:ascii="Times New Roman" w:hAnsi="Times New Roman" w:eastAsia="宋体" w:cs="Times New Roman"/>
                      <w:color w:val="auto"/>
                      <w:sz w:val="21"/>
                      <w:szCs w:val="21"/>
                      <w:highlight w:val="none"/>
                    </w:rPr>
                    <w:t>0</w:t>
                  </w:r>
                </w:p>
              </w:tc>
              <w:tc>
                <w:tcPr>
                  <w:tcW w:w="807" w:type="pct"/>
                  <w:noWrap w:val="0"/>
                  <w:vAlign w:val="center"/>
                </w:tcPr>
                <w:p w14:paraId="0B96F0D1">
                  <w:pPr>
                    <w:spacing w:before="48" w:beforeLines="20" w:after="48" w:afterLines="20"/>
                    <w:jc w:val="center"/>
                    <w:rPr>
                      <w:rFonts w:hint="eastAsia"/>
                      <w:color w:val="auto"/>
                      <w:sz w:val="21"/>
                      <w:szCs w:val="21"/>
                      <w:highlight w:val="none"/>
                    </w:rPr>
                  </w:pPr>
                  <w:r>
                    <w:rPr>
                      <w:rFonts w:hint="eastAsia" w:ascii="Times New Roman" w:hAnsi="Times New Roman" w:eastAsia="宋体" w:cs="Times New Roman"/>
                      <w:color w:val="auto"/>
                      <w:sz w:val="21"/>
                      <w:szCs w:val="21"/>
                      <w:highlight w:val="none"/>
                    </w:rPr>
                    <w:t>0</w:t>
                  </w:r>
                </w:p>
              </w:tc>
              <w:tc>
                <w:tcPr>
                  <w:tcW w:w="581" w:type="pct"/>
                  <w:noWrap w:val="0"/>
                  <w:vAlign w:val="center"/>
                </w:tcPr>
                <w:p w14:paraId="6B33C6B6">
                  <w:pPr>
                    <w:spacing w:before="48" w:beforeLines="20" w:after="48" w:afterLines="20"/>
                    <w:jc w:val="center"/>
                    <w:rPr>
                      <w:rFonts w:hint="eastAsia"/>
                      <w:color w:val="auto"/>
                      <w:sz w:val="21"/>
                      <w:szCs w:val="21"/>
                      <w:highlight w:val="none"/>
                    </w:rPr>
                  </w:pPr>
                  <w:r>
                    <w:rPr>
                      <w:rFonts w:hint="eastAsia" w:ascii="Times New Roman" w:hAnsi="Times New Roman" w:eastAsia="宋体" w:cs="Times New Roman"/>
                      <w:color w:val="auto"/>
                      <w:sz w:val="21"/>
                      <w:szCs w:val="21"/>
                      <w:highlight w:val="none"/>
                    </w:rPr>
                    <w:t>0</w:t>
                  </w:r>
                </w:p>
              </w:tc>
              <w:tc>
                <w:tcPr>
                  <w:tcW w:w="1253" w:type="pct"/>
                  <w:noWrap w:val="0"/>
                  <w:vAlign w:val="center"/>
                </w:tcPr>
                <w:p w14:paraId="5FD1B30E">
                  <w:pPr>
                    <w:spacing w:before="48" w:beforeLines="20" w:after="48" w:afterLines="2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0</w:t>
                  </w:r>
                </w:p>
              </w:tc>
            </w:tr>
          </w:tbl>
          <w:p w14:paraId="2F341F9D">
            <w:pPr>
              <w:pStyle w:val="7"/>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firstLine="422"/>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五、原有项目环境问题</w:t>
            </w:r>
          </w:p>
          <w:p w14:paraId="5366D25C">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firstLine="422" w:firstLineChars="200"/>
              <w:textAlignment w:val="auto"/>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bCs/>
                <w:color w:val="auto"/>
                <w:sz w:val="21"/>
                <w:szCs w:val="21"/>
                <w:highlight w:val="none"/>
              </w:rPr>
              <w:t>1、搬迁前原有项目存在的环保问题</w:t>
            </w:r>
          </w:p>
          <w:p w14:paraId="69E790D5">
            <w:pPr>
              <w:pStyle w:val="7"/>
              <w:keepNext w:val="0"/>
              <w:keepLines w:val="0"/>
              <w:pageBreakBefore w:val="0"/>
              <w:widowControl w:val="0"/>
              <w:kinsoku/>
              <w:wordWrap/>
              <w:overflowPunct/>
              <w:topLinePunct w:val="0"/>
              <w:autoSpaceDE/>
              <w:autoSpaceDN/>
              <w:bidi w:val="0"/>
              <w:spacing w:beforeAutospacing="0" w:afterAutospacing="0" w:line="500" w:lineRule="exact"/>
              <w:ind w:left="0" w:leftChars="0" w:firstLine="420"/>
              <w:textAlignment w:val="auto"/>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（1）原有项目环境影响</w:t>
            </w:r>
          </w:p>
          <w:p w14:paraId="6F2C9CFC">
            <w:pPr>
              <w:pStyle w:val="7"/>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firstLine="420"/>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原有</w:t>
            </w:r>
            <w:r>
              <w:rPr>
                <w:rFonts w:hint="default" w:ascii="Times New Roman" w:hAnsi="Times New Roman" w:cs="Times New Roman" w:eastAsiaTheme="minorEastAsia"/>
                <w:bCs/>
                <w:color w:val="auto"/>
                <w:sz w:val="21"/>
                <w:szCs w:val="21"/>
                <w:highlight w:val="none"/>
              </w:rPr>
              <w:t>项</w:t>
            </w:r>
            <w:r>
              <w:rPr>
                <w:rFonts w:hint="default" w:ascii="Times New Roman" w:hAnsi="Times New Roman" w:cs="Times New Roman" w:eastAsiaTheme="minorEastAsia"/>
                <w:color w:val="auto"/>
                <w:kern w:val="2"/>
                <w:sz w:val="21"/>
                <w:szCs w:val="21"/>
                <w:highlight w:val="none"/>
                <w:lang w:val="en-US" w:eastAsia="zh-CN" w:bidi="ar-SA"/>
              </w:rPr>
              <w:t>目</w:t>
            </w:r>
            <w:r>
              <w:rPr>
                <w:rFonts w:hint="eastAsia" w:ascii="Times New Roman" w:hAnsi="Times New Roman" w:cs="Times New Roman" w:eastAsiaTheme="minorEastAsia"/>
                <w:color w:val="auto"/>
                <w:kern w:val="2"/>
                <w:sz w:val="21"/>
                <w:szCs w:val="21"/>
                <w:highlight w:val="none"/>
                <w:lang w:val="en-US" w:eastAsia="zh-CN" w:bidi="ar-SA"/>
              </w:rPr>
              <w:t>印刷、复合、熟化、墨辊清洗</w:t>
            </w:r>
            <w:r>
              <w:rPr>
                <w:rFonts w:hint="default" w:ascii="Times New Roman" w:hAnsi="Times New Roman" w:cs="Times New Roman" w:eastAsiaTheme="minorEastAsia"/>
                <w:color w:val="auto"/>
                <w:kern w:val="2"/>
                <w:sz w:val="21"/>
                <w:szCs w:val="21"/>
                <w:highlight w:val="none"/>
                <w:lang w:val="en-US" w:eastAsia="zh-CN" w:bidi="ar-SA"/>
              </w:rPr>
              <w:t>工序产生的有机废气（以非甲烷总烃计）由</w:t>
            </w:r>
            <w:r>
              <w:rPr>
                <w:rFonts w:hint="eastAsia" w:ascii="Times New Roman" w:hAnsi="Times New Roman" w:cs="Times New Roman" w:eastAsiaTheme="minorEastAsia"/>
                <w:color w:val="auto"/>
                <w:kern w:val="2"/>
                <w:sz w:val="21"/>
                <w:szCs w:val="21"/>
                <w:highlight w:val="none"/>
                <w:lang w:val="en-US" w:eastAsia="zh-CN" w:bidi="ar-SA"/>
              </w:rPr>
              <w:t>密闭空间</w:t>
            </w:r>
            <w:r>
              <w:rPr>
                <w:rFonts w:hint="default" w:ascii="Times New Roman" w:hAnsi="Times New Roman" w:cs="Times New Roman" w:eastAsiaTheme="minorEastAsia"/>
                <w:color w:val="auto"/>
                <w:kern w:val="2"/>
                <w:sz w:val="21"/>
                <w:szCs w:val="21"/>
                <w:highlight w:val="none"/>
                <w:lang w:val="en-US" w:eastAsia="zh-CN" w:bidi="ar-SA"/>
              </w:rPr>
              <w:t>收集后经二级活性炭处理装置处理后通过1根15米排气筒排放。原有项目废气有组织及无组织废气均能满足相应排放标准限值要求，另外企业通过加强车间通风等措施降低无组织废气浓度。</w:t>
            </w:r>
          </w:p>
          <w:p w14:paraId="12B2B180">
            <w:pPr>
              <w:keepNext w:val="0"/>
              <w:keepLines w:val="0"/>
              <w:pageBreakBefore w:val="0"/>
              <w:widowControl w:val="0"/>
              <w:kinsoku/>
              <w:wordWrap/>
              <w:overflowPunct/>
              <w:topLinePunct w:val="0"/>
              <w:autoSpaceDE/>
              <w:autoSpaceDN/>
              <w:bidi w:val="0"/>
              <w:spacing w:beforeAutospacing="0" w:afterAutospacing="0" w:line="500" w:lineRule="exact"/>
              <w:ind w:left="0" w:leftChars="0" w:firstLine="465"/>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kern w:val="2"/>
                <w:sz w:val="21"/>
                <w:szCs w:val="21"/>
                <w:highlight w:val="none"/>
                <w:lang w:val="en-US" w:eastAsia="zh-CN" w:bidi="ar-SA"/>
              </w:rPr>
              <w:t>原有项目排放的废水仅为生活污水。生活污水接入</w:t>
            </w:r>
            <w:r>
              <w:rPr>
                <w:rFonts w:hint="default" w:ascii="Times New Roman" w:hAnsi="Times New Roman" w:cs="Times New Roman" w:eastAsiaTheme="minorEastAsia"/>
                <w:color w:val="auto"/>
                <w:sz w:val="21"/>
                <w:szCs w:val="21"/>
                <w:highlight w:val="none"/>
              </w:rPr>
              <w:t>市政污水管网进入</w:t>
            </w:r>
            <w:r>
              <w:rPr>
                <w:rFonts w:hint="default" w:ascii="Times New Roman" w:hAnsi="Times New Roman" w:cs="Times New Roman" w:eastAsiaTheme="minorEastAsia"/>
                <w:color w:val="auto"/>
                <w:sz w:val="21"/>
                <w:szCs w:val="21"/>
                <w:lang w:eastAsia="zh-CN"/>
              </w:rPr>
              <w:t>常州市金坛</w:t>
            </w:r>
            <w:r>
              <w:rPr>
                <w:rFonts w:hint="eastAsia" w:ascii="Times New Roman" w:hAnsi="Times New Roman" w:cs="Times New Roman" w:eastAsiaTheme="minorEastAsia"/>
                <w:color w:val="auto"/>
                <w:sz w:val="21"/>
                <w:szCs w:val="21"/>
                <w:lang w:val="en-US" w:eastAsia="zh-CN"/>
              </w:rPr>
              <w:t>溪城</w:t>
            </w:r>
            <w:r>
              <w:rPr>
                <w:rFonts w:hint="default" w:ascii="Times New Roman" w:hAnsi="Times New Roman" w:cs="Times New Roman" w:eastAsiaTheme="minorEastAsia"/>
                <w:color w:val="auto"/>
                <w:sz w:val="21"/>
                <w:szCs w:val="21"/>
                <w:lang w:eastAsia="zh-CN"/>
              </w:rPr>
              <w:t>污水处理有限公司</w:t>
            </w:r>
            <w:r>
              <w:rPr>
                <w:rFonts w:hint="default" w:ascii="Times New Roman" w:hAnsi="Times New Roman" w:cs="Times New Roman" w:eastAsiaTheme="minorEastAsia"/>
                <w:color w:val="auto"/>
                <w:sz w:val="21"/>
                <w:szCs w:val="21"/>
                <w:highlight w:val="none"/>
              </w:rPr>
              <w:t>集中处理。</w:t>
            </w:r>
          </w:p>
          <w:p w14:paraId="08223187">
            <w:pPr>
              <w:keepNext w:val="0"/>
              <w:keepLines w:val="0"/>
              <w:pageBreakBefore w:val="0"/>
              <w:widowControl w:val="0"/>
              <w:kinsoku/>
              <w:wordWrap/>
              <w:overflowPunct/>
              <w:topLinePunct w:val="0"/>
              <w:autoSpaceDE/>
              <w:autoSpaceDN/>
              <w:bidi w:val="0"/>
              <w:spacing w:beforeAutospacing="0" w:afterAutospacing="0" w:line="500" w:lineRule="exact"/>
              <w:ind w:left="0" w:leftChars="0" w:firstLine="465"/>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原有危废暂存于危废仓库，一般固废暂存于一般固废仓库，各类固废均经妥善处置不外排。</w:t>
            </w:r>
          </w:p>
          <w:p w14:paraId="30BED103">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firstLine="420" w:firstLineChars="200"/>
              <w:textAlignment w:val="auto"/>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color w:val="auto"/>
                <w:sz w:val="21"/>
                <w:szCs w:val="21"/>
                <w:highlight w:val="none"/>
              </w:rPr>
              <w:t>原有项目已按照要求进行分区防渗，对危废仓库进行重点防渗，项目危废暂存量较小，</w:t>
            </w:r>
            <w:r>
              <w:rPr>
                <w:rFonts w:hint="default" w:ascii="Times New Roman" w:hAnsi="Times New Roman" w:cs="Times New Roman" w:eastAsiaTheme="minorEastAsia"/>
                <w:color w:val="auto"/>
                <w:sz w:val="21"/>
                <w:szCs w:val="21"/>
                <w:highlight w:val="none"/>
                <w:lang w:val="en-US" w:eastAsia="zh-CN"/>
              </w:rPr>
              <w:t>且无液态危险废物，对</w:t>
            </w:r>
            <w:r>
              <w:rPr>
                <w:rFonts w:hint="default" w:ascii="Times New Roman" w:hAnsi="Times New Roman" w:cs="Times New Roman" w:eastAsiaTheme="minorEastAsia"/>
                <w:color w:val="auto"/>
                <w:sz w:val="21"/>
                <w:szCs w:val="21"/>
                <w:highlight w:val="none"/>
              </w:rPr>
              <w:t>土壤和地下水</w:t>
            </w:r>
            <w:r>
              <w:rPr>
                <w:rFonts w:hint="default" w:ascii="Times New Roman" w:hAnsi="Times New Roman" w:cs="Times New Roman" w:eastAsiaTheme="minorEastAsia"/>
                <w:color w:val="auto"/>
                <w:sz w:val="21"/>
                <w:szCs w:val="21"/>
                <w:highlight w:val="none"/>
                <w:lang w:val="en-US" w:eastAsia="zh-CN"/>
              </w:rPr>
              <w:t>影响较小</w:t>
            </w:r>
            <w:r>
              <w:rPr>
                <w:rFonts w:hint="default" w:ascii="Times New Roman" w:hAnsi="Times New Roman" w:cs="Times New Roman" w:eastAsiaTheme="minorEastAsia"/>
                <w:bCs/>
                <w:color w:val="auto"/>
                <w:sz w:val="21"/>
                <w:szCs w:val="21"/>
                <w:highlight w:val="none"/>
              </w:rPr>
              <w:t>。</w:t>
            </w:r>
          </w:p>
          <w:p w14:paraId="1A3F3941">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firstLine="420" w:firstLineChars="200"/>
              <w:textAlignment w:val="auto"/>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综上，引用原有环评结论，原有项目各项</w:t>
            </w:r>
            <w:r>
              <w:rPr>
                <w:rFonts w:hint="default" w:ascii="Times New Roman" w:hAnsi="Times New Roman" w:cs="Times New Roman" w:eastAsiaTheme="minorEastAsia"/>
                <w:color w:val="auto"/>
                <w:sz w:val="21"/>
                <w:szCs w:val="21"/>
                <w:highlight w:val="none"/>
              </w:rPr>
              <w:t>污染防治措施可行，对周边大气、地表水、地下水和土壤环境影响不大</w:t>
            </w:r>
            <w:r>
              <w:rPr>
                <w:rFonts w:hint="default" w:ascii="Times New Roman" w:hAnsi="Times New Roman" w:cs="Times New Roman" w:eastAsiaTheme="minorEastAsia"/>
                <w:bCs/>
                <w:color w:val="auto"/>
                <w:sz w:val="21"/>
                <w:szCs w:val="21"/>
                <w:highlight w:val="none"/>
              </w:rPr>
              <w:t>。</w:t>
            </w:r>
          </w:p>
          <w:p w14:paraId="116323C1">
            <w:pPr>
              <w:pStyle w:val="7"/>
              <w:keepNext w:val="0"/>
              <w:keepLines w:val="0"/>
              <w:pageBreakBefore w:val="0"/>
              <w:widowControl w:val="0"/>
              <w:kinsoku/>
              <w:wordWrap/>
              <w:overflowPunct/>
              <w:topLinePunct w:val="0"/>
              <w:autoSpaceDE/>
              <w:autoSpaceDN/>
              <w:bidi w:val="0"/>
              <w:spacing w:beforeAutospacing="0" w:afterAutospacing="0" w:line="500" w:lineRule="exact"/>
              <w:ind w:left="0" w:leftChars="0" w:firstLine="420"/>
              <w:textAlignment w:val="auto"/>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（2）原有项目遗留问题</w:t>
            </w:r>
          </w:p>
          <w:p w14:paraId="2455BA52">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firstLine="420" w:firstLineChars="200"/>
              <w:textAlignment w:val="auto"/>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原有项目搬迁后，原有</w:t>
            </w:r>
            <w:r>
              <w:rPr>
                <w:rFonts w:hint="eastAsia" w:cs="Times New Roman" w:eastAsiaTheme="minorEastAsia"/>
                <w:bCs/>
                <w:color w:val="auto"/>
                <w:sz w:val="21"/>
                <w:szCs w:val="21"/>
                <w:highlight w:val="none"/>
                <w:lang w:val="en-US" w:eastAsia="zh-CN"/>
              </w:rPr>
              <w:t>项目部分</w:t>
            </w:r>
            <w:r>
              <w:rPr>
                <w:rFonts w:hint="default" w:ascii="Times New Roman" w:hAnsi="Times New Roman" w:cs="Times New Roman" w:eastAsiaTheme="minorEastAsia"/>
                <w:bCs/>
                <w:color w:val="auto"/>
                <w:sz w:val="21"/>
                <w:szCs w:val="21"/>
                <w:highlight w:val="none"/>
              </w:rPr>
              <w:t>设备</w:t>
            </w:r>
            <w:r>
              <w:rPr>
                <w:rFonts w:hint="eastAsia" w:cs="Times New Roman" w:eastAsiaTheme="minorEastAsia"/>
                <w:bCs/>
                <w:color w:val="auto"/>
                <w:sz w:val="21"/>
                <w:szCs w:val="21"/>
                <w:highlight w:val="none"/>
                <w:lang w:eastAsia="zh-CN"/>
              </w:rPr>
              <w:t>（</w:t>
            </w:r>
            <w:r>
              <w:rPr>
                <w:rFonts w:hint="eastAsia" w:cs="Times New Roman" w:eastAsiaTheme="minorEastAsia"/>
                <w:color w:val="auto"/>
                <w:sz w:val="21"/>
                <w:szCs w:val="21"/>
                <w:highlight w:val="none"/>
                <w:lang w:val="en-US" w:eastAsia="zh-CN"/>
              </w:rPr>
              <w:t>复合机、分切机</w:t>
            </w:r>
            <w:r>
              <w:rPr>
                <w:rFonts w:hint="eastAsia" w:cs="Times New Roman" w:eastAsiaTheme="minorEastAsia"/>
                <w:bCs/>
                <w:color w:val="auto"/>
                <w:sz w:val="21"/>
                <w:szCs w:val="21"/>
                <w:highlight w:val="none"/>
                <w:lang w:eastAsia="zh-CN"/>
              </w:rPr>
              <w:t>）</w:t>
            </w:r>
            <w:r>
              <w:rPr>
                <w:rFonts w:hint="default" w:ascii="Times New Roman" w:hAnsi="Times New Roman" w:cs="Times New Roman" w:eastAsiaTheme="minorEastAsia"/>
                <w:bCs/>
                <w:color w:val="auto"/>
                <w:sz w:val="21"/>
                <w:szCs w:val="21"/>
                <w:highlight w:val="none"/>
              </w:rPr>
              <w:t>搬迁至本次项目厂内继续使用</w:t>
            </w:r>
            <w:r>
              <w:rPr>
                <w:rFonts w:hint="eastAsia" w:cs="Times New Roman" w:eastAsiaTheme="minorEastAsia"/>
                <w:bCs/>
                <w:color w:val="auto"/>
                <w:sz w:val="21"/>
                <w:szCs w:val="21"/>
                <w:highlight w:val="none"/>
                <w:lang w:eastAsia="zh-CN"/>
              </w:rPr>
              <w:t>，</w:t>
            </w:r>
            <w:r>
              <w:rPr>
                <w:rFonts w:hint="eastAsia" w:cs="Times New Roman" w:eastAsiaTheme="minorEastAsia"/>
                <w:bCs/>
                <w:color w:val="auto"/>
                <w:sz w:val="21"/>
                <w:szCs w:val="21"/>
                <w:highlight w:val="none"/>
                <w:lang w:val="en-US" w:eastAsia="zh-CN"/>
              </w:rPr>
              <w:t>剩余设备全部淘汰</w:t>
            </w:r>
            <w:r>
              <w:rPr>
                <w:rFonts w:hint="default" w:ascii="Times New Roman" w:hAnsi="Times New Roman" w:cs="Times New Roman" w:eastAsiaTheme="minorEastAsia"/>
                <w:bCs/>
                <w:color w:val="auto"/>
                <w:sz w:val="21"/>
                <w:szCs w:val="21"/>
                <w:highlight w:val="none"/>
              </w:rPr>
              <w:t>。原有项目厂址所在场地将全部停产拆除，设备拆除过程中将存在一定的环境风险，对企业提出如下要求：</w:t>
            </w:r>
          </w:p>
          <w:p w14:paraId="6059C904">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firstLine="420" w:firstLineChars="20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①拆除要求</w:t>
            </w:r>
          </w:p>
          <w:p w14:paraId="6AC9B6B8">
            <w:pPr>
              <w:pStyle w:val="5"/>
              <w:keepNext w:val="0"/>
              <w:keepLines w:val="0"/>
              <w:pageBreakBefore w:val="0"/>
              <w:widowControl w:val="0"/>
              <w:numPr>
                <w:ilvl w:val="0"/>
                <w:numId w:val="0"/>
              </w:numPr>
              <w:kinsoku/>
              <w:wordWrap/>
              <w:overflowPunct/>
              <w:topLinePunct w:val="0"/>
              <w:autoSpaceDE/>
              <w:autoSpaceDN/>
              <w:bidi w:val="0"/>
              <w:spacing w:before="0" w:beforeAutospacing="0" w:after="0" w:afterAutospacing="0" w:line="500" w:lineRule="exact"/>
              <w:ind w:left="0" w:leftChars="0" w:firstLine="420" w:firstLineChars="200"/>
              <w:textAlignment w:val="auto"/>
              <w:outlineLvl w:val="2"/>
              <w:rPr>
                <w:rFonts w:hint="default" w:ascii="Times New Roman" w:hAnsi="Times New Roman" w:cs="Times New Roman" w:eastAsiaTheme="minorEastAsia"/>
                <w:b w:val="0"/>
                <w:bCs/>
                <w:color w:val="auto"/>
                <w:sz w:val="21"/>
                <w:szCs w:val="21"/>
                <w:highlight w:val="none"/>
              </w:rPr>
            </w:pPr>
            <w:bookmarkStart w:id="6" w:name="_Toc24460"/>
            <w:r>
              <w:rPr>
                <w:rFonts w:hint="default" w:ascii="Times New Roman" w:hAnsi="Times New Roman" w:cs="Times New Roman" w:eastAsiaTheme="minorEastAsia"/>
                <w:b w:val="0"/>
                <w:bCs/>
                <w:color w:val="auto"/>
                <w:sz w:val="21"/>
                <w:szCs w:val="21"/>
                <w:highlight w:val="none"/>
              </w:rPr>
              <w:t>原有项目在拆除前需保证厂内所有设备均处于断电停产状态，各类设备</w:t>
            </w:r>
            <w:r>
              <w:rPr>
                <w:rFonts w:hint="default" w:ascii="Times New Roman" w:hAnsi="Times New Roman" w:cs="Times New Roman" w:eastAsiaTheme="minorEastAsia"/>
                <w:b w:val="0"/>
                <w:bCs/>
                <w:color w:val="auto"/>
                <w:sz w:val="21"/>
                <w:szCs w:val="21"/>
                <w:highlight w:val="none"/>
                <w:lang w:val="zh-CN"/>
              </w:rPr>
              <w:t>电气、仪表、阀门、工艺管道</w:t>
            </w:r>
            <w:r>
              <w:rPr>
                <w:rFonts w:hint="default" w:ascii="Times New Roman" w:hAnsi="Times New Roman" w:cs="Times New Roman" w:eastAsiaTheme="minorEastAsia"/>
                <w:b w:val="0"/>
                <w:bCs/>
                <w:color w:val="auto"/>
                <w:sz w:val="21"/>
                <w:szCs w:val="21"/>
                <w:highlight w:val="none"/>
              </w:rPr>
              <w:t>等进行第一步拆除，环保设备和消防设备最后一步拆除，拆除前需要保证厂内剩余的各类固废均有效转移和处置，目前原有项目危废仓库内部</w:t>
            </w:r>
            <w:r>
              <w:rPr>
                <w:rFonts w:hint="default" w:ascii="Times New Roman" w:hAnsi="Times New Roman" w:cs="Times New Roman" w:eastAsiaTheme="minorEastAsia"/>
                <w:b w:val="0"/>
                <w:bCs/>
                <w:color w:val="auto"/>
                <w:sz w:val="21"/>
                <w:szCs w:val="21"/>
                <w:highlight w:val="none"/>
                <w:lang w:val="en-US" w:eastAsia="zh-CN"/>
              </w:rPr>
              <w:t>危废已全部转移完毕</w:t>
            </w:r>
            <w:r>
              <w:rPr>
                <w:rFonts w:hint="default" w:ascii="Times New Roman" w:hAnsi="Times New Roman" w:cs="Times New Roman" w:eastAsiaTheme="minorEastAsia"/>
                <w:b w:val="0"/>
                <w:bCs/>
                <w:color w:val="auto"/>
                <w:sz w:val="21"/>
                <w:szCs w:val="21"/>
                <w:highlight w:val="none"/>
              </w:rPr>
              <w:t>，</w:t>
            </w:r>
            <w:r>
              <w:rPr>
                <w:rFonts w:hint="default" w:ascii="Times New Roman" w:hAnsi="Times New Roman" w:cs="Times New Roman" w:eastAsiaTheme="minorEastAsia"/>
                <w:b w:val="0"/>
                <w:bCs/>
                <w:color w:val="auto"/>
                <w:sz w:val="21"/>
                <w:szCs w:val="21"/>
                <w:highlight w:val="none"/>
                <w:lang w:val="en-US" w:eastAsia="zh-CN"/>
              </w:rPr>
              <w:t>环保设备等装置中剩余危险废物</w:t>
            </w:r>
            <w:r>
              <w:rPr>
                <w:rFonts w:hint="default" w:ascii="Times New Roman" w:hAnsi="Times New Roman" w:cs="Times New Roman" w:eastAsiaTheme="minorEastAsia"/>
                <w:b w:val="0"/>
                <w:bCs/>
                <w:color w:val="auto"/>
                <w:sz w:val="21"/>
                <w:szCs w:val="21"/>
                <w:highlight w:val="none"/>
              </w:rPr>
              <w:t>要求企业在搬迁之前全部妥善转移完毕，不在厂内遗留或自行转移到新厂区。</w:t>
            </w:r>
            <w:bookmarkEnd w:id="6"/>
          </w:p>
          <w:p w14:paraId="28E2ABBB">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firstLine="420" w:firstLineChars="20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②建（构）筑物无害化处理要求</w:t>
            </w:r>
          </w:p>
          <w:p w14:paraId="52CC200D">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firstLine="420" w:firstLineChars="20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公司拟拆除的危废仓库等有可能被有机原料污染，因此在拆除前需要将被污染的墙面、地面等先拆除，拆除的垃圾作为净化清理废料，委托有资质的单位处理。</w:t>
            </w:r>
          </w:p>
          <w:p w14:paraId="5BB22873">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firstLine="482"/>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办公</w:t>
            </w:r>
            <w:r>
              <w:rPr>
                <w:rFonts w:hint="eastAsia" w:ascii="Times New Roman" w:hAnsi="Times New Roman" w:cs="Times New Roman" w:eastAsiaTheme="minorEastAsia"/>
                <w:color w:val="auto"/>
                <w:sz w:val="21"/>
                <w:szCs w:val="21"/>
                <w:highlight w:val="none"/>
                <w:lang w:val="en-US" w:eastAsia="zh-CN"/>
              </w:rPr>
              <w:t>区</w:t>
            </w:r>
            <w:r>
              <w:rPr>
                <w:rFonts w:hint="default" w:ascii="Times New Roman" w:hAnsi="Times New Roman" w:cs="Times New Roman" w:eastAsiaTheme="minorEastAsia"/>
                <w:color w:val="auto"/>
                <w:sz w:val="21"/>
                <w:szCs w:val="21"/>
                <w:highlight w:val="none"/>
              </w:rPr>
              <w:t>、变配电房、控制室等属于一般性环境风险，不需要进行</w:t>
            </w:r>
            <w:r>
              <w:rPr>
                <w:rFonts w:hint="default" w:ascii="Times New Roman" w:hAnsi="Times New Roman" w:cs="Times New Roman" w:eastAsiaTheme="minorEastAsia"/>
                <w:color w:val="auto"/>
                <w:sz w:val="21"/>
                <w:szCs w:val="21"/>
                <w:highlight w:val="none"/>
                <w:lang w:eastAsia="zh-CN"/>
              </w:rPr>
              <w:t>无害化处理</w:t>
            </w:r>
            <w:r>
              <w:rPr>
                <w:rFonts w:hint="default" w:ascii="Times New Roman" w:hAnsi="Times New Roman" w:cs="Times New Roman" w:eastAsiaTheme="minorEastAsia"/>
                <w:color w:val="auto"/>
                <w:sz w:val="21"/>
                <w:szCs w:val="21"/>
                <w:highlight w:val="none"/>
              </w:rPr>
              <w:t>。</w:t>
            </w:r>
          </w:p>
          <w:p w14:paraId="1F0028EC">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firstLine="420" w:firstLineChars="20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③土壤环境管理要求</w:t>
            </w:r>
          </w:p>
          <w:p w14:paraId="0E8C9E8E">
            <w:pPr>
              <w:pStyle w:val="5"/>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00" w:lineRule="exact"/>
              <w:ind w:left="0" w:leftChars="0" w:firstLine="420" w:firstLineChars="200"/>
              <w:textAlignment w:val="auto"/>
              <w:outlineLvl w:val="2"/>
              <w:rPr>
                <w:rFonts w:hint="default" w:ascii="Times New Roman" w:hAnsi="Times New Roman" w:cs="Times New Roman" w:eastAsiaTheme="minorEastAsia"/>
                <w:b w:val="0"/>
                <w:color w:val="auto"/>
                <w:sz w:val="21"/>
                <w:szCs w:val="21"/>
                <w:highlight w:val="none"/>
              </w:rPr>
            </w:pPr>
            <w:bookmarkStart w:id="7" w:name="_Toc3667"/>
            <w:r>
              <w:rPr>
                <w:rFonts w:hint="default" w:ascii="Times New Roman" w:hAnsi="Times New Roman" w:cs="Times New Roman" w:eastAsiaTheme="minorEastAsia"/>
                <w:b w:val="0"/>
                <w:color w:val="auto"/>
                <w:sz w:val="21"/>
                <w:szCs w:val="21"/>
                <w:highlight w:val="none"/>
              </w:rPr>
              <w:t>a、建设单位拆除涉及有毒有害物质的生产设施设备、构筑物和污染治理设施的，应当按照有关规定，事先制定企业拆除活动污染防治方案。建设单位拆除活动污染防治方案应当包括被拆除生产设施设备、构筑物和污染治理设施的基本情况、拆除活动全过程土壤污染防治的技术要求、针对周边环境的污染防治要求等内容。</w:t>
            </w:r>
            <w:bookmarkEnd w:id="7"/>
          </w:p>
          <w:p w14:paraId="749F7FF6">
            <w:pPr>
              <w:pStyle w:val="5"/>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00" w:lineRule="exact"/>
              <w:ind w:left="0" w:leftChars="0" w:firstLine="420" w:firstLineChars="200"/>
              <w:textAlignment w:val="auto"/>
              <w:outlineLvl w:val="2"/>
              <w:rPr>
                <w:rFonts w:hint="default" w:ascii="Times New Roman" w:hAnsi="Times New Roman" w:cs="Times New Roman" w:eastAsiaTheme="minorEastAsia"/>
                <w:b w:val="0"/>
                <w:color w:val="auto"/>
                <w:sz w:val="21"/>
                <w:szCs w:val="21"/>
                <w:highlight w:val="none"/>
              </w:rPr>
            </w:pPr>
            <w:bookmarkStart w:id="8" w:name="_Toc20957"/>
            <w:r>
              <w:rPr>
                <w:rFonts w:hint="default" w:ascii="Times New Roman" w:hAnsi="Times New Roman" w:cs="Times New Roman" w:eastAsiaTheme="minorEastAsia"/>
                <w:b w:val="0"/>
                <w:color w:val="auto"/>
                <w:sz w:val="21"/>
                <w:szCs w:val="21"/>
                <w:highlight w:val="none"/>
              </w:rPr>
              <w:t>b、建设单位拆除活动应当严格按照有关规定实施残留物料和污染物、污染设备和设施的安全处理处置，并做好拆除活动相关记录，防范拆除活动污染土壤和地下水。拆除活动相关记录应当长期保存。</w:t>
            </w:r>
            <w:bookmarkEnd w:id="8"/>
          </w:p>
          <w:p w14:paraId="77FFF147">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firstLine="420" w:firstLineChars="20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c、建设单位搬迁项目用地应当符合国家或者地方有关建设用地土壤污染风险管控标准。土地使用权人或者污染责任人应当参照土壤环境管理有关规定开展隐患排查等活动必要时自行或者委托第三方定期开展土壤和地下水监测。</w:t>
            </w:r>
          </w:p>
          <w:p w14:paraId="3D55A6B2">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firstLine="420" w:firstLineChars="200"/>
              <w:textAlignment w:val="auto"/>
              <w:rPr>
                <w:rFonts w:hint="default" w:cs="Times New Roman" w:eastAsiaTheme="minorEastAsia"/>
                <w:b w:val="0"/>
                <w:bCs/>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通过以上要求和措施，原有项目厂址拆除后对周边环境影响较小。</w:t>
            </w:r>
          </w:p>
        </w:tc>
      </w:tr>
    </w:tbl>
    <w:p w14:paraId="7788F354">
      <w:pPr>
        <w:pStyle w:val="25"/>
        <w:adjustRightInd w:val="0"/>
        <w:snapToGrid w:val="0"/>
        <w:spacing w:before="0" w:beforeAutospacing="0" w:after="0" w:afterAutospacing="0" w:line="14" w:lineRule="auto"/>
        <w:jc w:val="center"/>
        <w:outlineLvl w:val="0"/>
        <w:rPr>
          <w:rFonts w:hint="default" w:ascii="Times New Roman" w:hAnsi="Times New Roman" w:eastAsia="黑体" w:cs="Times New Roman"/>
          <w:snapToGrid w:val="0"/>
          <w:color w:val="auto"/>
          <w:sz w:val="30"/>
          <w:szCs w:val="30"/>
        </w:rPr>
      </w:pPr>
    </w:p>
    <w:p w14:paraId="55193E59">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rPr>
        <w:sectPr>
          <w:footerReference r:id="rId6" w:type="default"/>
          <w:pgSz w:w="11906" w:h="16838"/>
          <w:pgMar w:top="1417" w:right="1417" w:bottom="1417" w:left="1417" w:header="851" w:footer="1134" w:gutter="0"/>
          <w:pgBorders>
            <w:top w:val="none" w:sz="0" w:space="0"/>
            <w:left w:val="none" w:sz="0" w:space="0"/>
            <w:bottom w:val="none" w:sz="0" w:space="0"/>
            <w:right w:val="none" w:sz="0" w:space="0"/>
          </w:pgBorders>
          <w:pgNumType w:fmt="decimal"/>
          <w:cols w:space="720" w:num="1"/>
          <w:docGrid w:linePitch="312" w:charSpace="0"/>
        </w:sectPr>
      </w:pPr>
      <w:bookmarkStart w:id="9" w:name="_Toc17832"/>
    </w:p>
    <w:bookmarkEnd w:id="9"/>
    <w:p w14:paraId="4A3BDB03">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rPr>
      </w:pPr>
      <w:bookmarkStart w:id="10" w:name="_Toc12048"/>
      <w:bookmarkStart w:id="11" w:name="_Toc4503"/>
      <w:r>
        <w:rPr>
          <w:rFonts w:hint="default" w:ascii="Times New Roman" w:hAnsi="Times New Roman" w:eastAsia="黑体" w:cs="Times New Roman"/>
          <w:snapToGrid w:val="0"/>
          <w:color w:val="auto"/>
          <w:sz w:val="30"/>
          <w:szCs w:val="30"/>
        </w:rPr>
        <w:t>三、区域环境质量现状、环境保护目标及评价标准</w:t>
      </w:r>
      <w:bookmarkEnd w:id="10"/>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8228"/>
      </w:tblGrid>
      <w:tr w14:paraId="63075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2" w:type="dxa"/>
            <w:vAlign w:val="center"/>
          </w:tcPr>
          <w:p w14:paraId="0E122A1E">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区域</w:t>
            </w:r>
          </w:p>
          <w:p w14:paraId="183D58F3">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环境</w:t>
            </w:r>
          </w:p>
          <w:p w14:paraId="6DDBAC30">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质量</w:t>
            </w:r>
          </w:p>
          <w:p w14:paraId="536EE390">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现状</w:t>
            </w:r>
          </w:p>
        </w:tc>
        <w:tc>
          <w:tcPr>
            <w:tcW w:w="8228" w:type="dxa"/>
            <w:vAlign w:val="center"/>
          </w:tcPr>
          <w:p w14:paraId="0D429D0C">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1、环境空气质量现状</w:t>
            </w:r>
          </w:p>
          <w:p w14:paraId="2C1DF77C">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w:t>
            </w:r>
            <w:r>
              <w:rPr>
                <w:rFonts w:hint="default" w:ascii="Times New Roman" w:hAnsi="Times New Roman" w:eastAsia="宋体" w:cs="Times New Roman"/>
                <w:color w:val="auto"/>
                <w:kern w:val="0"/>
                <w:sz w:val="21"/>
                <w:szCs w:val="21"/>
              </w:rPr>
              <w:t>基本污染物环境质量现状</w:t>
            </w:r>
          </w:p>
          <w:p w14:paraId="33BA620B">
            <w:pPr>
              <w:keepNext w:val="0"/>
              <w:keepLines w:val="0"/>
              <w:pageBreakBefore w:val="0"/>
              <w:widowControl w:val="0"/>
              <w:kinsoku/>
              <w:wordWrap/>
              <w:overflowPunct/>
              <w:topLinePunct w:val="0"/>
              <w:autoSpaceDE/>
              <w:autoSpaceDN/>
              <w:bidi w:val="0"/>
              <w:adjustRightInd w:val="0"/>
              <w:snapToGrid w:val="0"/>
              <w:spacing w:line="500" w:lineRule="exact"/>
              <w:ind w:left="0" w:right="0"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根据《常州市环境空气质量功能区划分规定（2017）》，项目所在地空气质量功能区为二类区。S</w:t>
            </w:r>
            <w:r>
              <w:rPr>
                <w:rFonts w:hint="default" w:ascii="Times New Roman" w:hAnsi="Times New Roman" w:eastAsia="宋体" w:cs="Times New Roman"/>
                <w:color w:val="auto"/>
                <w:sz w:val="21"/>
                <w:szCs w:val="21"/>
                <w:highlight w:val="none"/>
              </w:rPr>
              <w:t>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rPr>
              <w:t>、N</w:t>
            </w:r>
            <w:r>
              <w:rPr>
                <w:rFonts w:hint="default" w:ascii="Times New Roman" w:hAnsi="Times New Roman" w:eastAsia="宋体" w:cs="Times New Roman"/>
                <w:color w:val="auto"/>
                <w:sz w:val="21"/>
                <w:szCs w:val="21"/>
                <w:highlight w:val="none"/>
              </w:rPr>
              <w:t>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rPr>
              <w:t>、CO、</w:t>
            </w: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执行《环境空气质量标准》</w:t>
            </w:r>
            <w:r>
              <w:rPr>
                <w:rFonts w:hint="default" w:ascii="Times New Roman" w:hAnsi="Times New Roman" w:eastAsia="宋体" w:cs="Times New Roman"/>
                <w:color w:val="auto"/>
                <w:sz w:val="21"/>
                <w:szCs w:val="21"/>
                <w:highlight w:val="none"/>
              </w:rPr>
              <w:t>（</w:t>
            </w:r>
            <w:r>
              <w:rPr>
                <w:rFonts w:hint="eastAsia" w:cs="Times New Roman"/>
                <w:color w:val="auto"/>
                <w:sz w:val="21"/>
                <w:szCs w:val="21"/>
                <w:lang w:eastAsia="zh-CN"/>
              </w:rPr>
              <w:t>GB 3095—2026</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表1</w:t>
            </w:r>
            <w:r>
              <w:rPr>
                <w:rFonts w:hint="eastAsia" w:cs="Times New Roman"/>
                <w:color w:val="auto"/>
                <w:sz w:val="21"/>
                <w:szCs w:val="21"/>
                <w:lang w:val="en-US" w:eastAsia="zh-CN"/>
              </w:rPr>
              <w:t>过渡阶段浓度限值</w:t>
            </w:r>
            <w:r>
              <w:rPr>
                <w:rFonts w:hint="default" w:ascii="Times New Roman" w:hAnsi="Times New Roman" w:eastAsia="宋体" w:cs="Times New Roman"/>
                <w:color w:val="auto"/>
                <w:sz w:val="21"/>
                <w:szCs w:val="21"/>
              </w:rPr>
              <w:t>中二级标准，根据《环境影响评价技术导则大气环境》</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rPr>
              <w:t>HJ2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rPr>
              <w:t>2-2018</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rPr>
              <w:t>，项目所在区域达标情况判定优先采用</w:t>
            </w:r>
            <w:r>
              <w:rPr>
                <w:rFonts w:hint="default" w:ascii="Times New Roman" w:hAnsi="Times New Roman" w:eastAsia="宋体" w:cs="Times New Roman"/>
                <w:color w:val="auto"/>
                <w:sz w:val="21"/>
                <w:szCs w:val="21"/>
                <w:shd w:val="clear" w:fill="auto"/>
              </w:rPr>
              <w:t>国家</w:t>
            </w:r>
            <w:r>
              <w:rPr>
                <w:rFonts w:hint="default" w:ascii="Times New Roman" w:hAnsi="Times New Roman" w:eastAsia="宋体" w:cs="Times New Roman"/>
                <w:color w:val="auto"/>
                <w:sz w:val="21"/>
                <w:szCs w:val="21"/>
              </w:rPr>
              <w:t>或地方生态环境主管部门公开发布的环境质量报告或环境质量报告书中的数据或结论。本次评价选取202</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年作为评价基准年，根据《</w:t>
            </w:r>
            <w:r>
              <w:rPr>
                <w:rFonts w:hint="eastAsia" w:cs="Times New Roman"/>
                <w:color w:val="auto"/>
                <w:sz w:val="21"/>
                <w:szCs w:val="21"/>
                <w:lang w:eastAsia="zh-CN"/>
              </w:rPr>
              <w:t>202</w:t>
            </w:r>
            <w:r>
              <w:rPr>
                <w:rFonts w:hint="eastAsia" w:cs="Times New Roman"/>
                <w:color w:val="auto"/>
                <w:sz w:val="21"/>
                <w:szCs w:val="21"/>
                <w:lang w:val="en-US" w:eastAsia="zh-CN"/>
              </w:rPr>
              <w:t>4</w:t>
            </w:r>
            <w:r>
              <w:rPr>
                <w:rFonts w:hint="eastAsia" w:cs="Times New Roman"/>
                <w:color w:val="auto"/>
                <w:sz w:val="21"/>
                <w:szCs w:val="21"/>
                <w:lang w:eastAsia="zh-CN"/>
              </w:rPr>
              <w:t>年常州市生态环境状况公报</w:t>
            </w:r>
            <w:r>
              <w:rPr>
                <w:rFonts w:hint="default" w:ascii="Times New Roman" w:hAnsi="Times New Roman" w:eastAsia="宋体" w:cs="Times New Roman"/>
                <w:color w:val="auto"/>
                <w:sz w:val="21"/>
                <w:szCs w:val="21"/>
              </w:rPr>
              <w:t>》。项目所在区域环境空气质量汇总见下表。</w:t>
            </w:r>
          </w:p>
          <w:p w14:paraId="095E11E0">
            <w:pPr>
              <w:pStyle w:val="107"/>
              <w:keepNext w:val="0"/>
              <w:keepLines w:val="0"/>
              <w:pageBreakBefore w:val="0"/>
              <w:widowControl w:val="0"/>
              <w:kinsoku/>
              <w:wordWrap/>
              <w:overflowPunct/>
              <w:topLinePunct w:val="0"/>
              <w:autoSpaceDE/>
              <w:autoSpaceDN/>
              <w:bidi w:val="0"/>
              <w:adjustRightInd w:val="0"/>
              <w:snapToGrid w:val="0"/>
              <w:spacing w:line="500" w:lineRule="exac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表3-1</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区域空气质量现状评价表</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947"/>
              <w:gridCol w:w="3470"/>
              <w:gridCol w:w="1931"/>
              <w:gridCol w:w="1661"/>
            </w:tblGrid>
            <w:tr w14:paraId="2DFB04F3">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tcBorders>
                    <w:tl2br w:val="nil"/>
                    <w:tr2bl w:val="nil"/>
                  </w:tcBorders>
                  <w:vAlign w:val="center"/>
                </w:tcPr>
                <w:p w14:paraId="6E1B7583">
                  <w:pPr>
                    <w:pStyle w:val="122"/>
                    <w:keepNext w:val="0"/>
                    <w:keepLines w:val="0"/>
                    <w:suppressLineNumbers w:val="0"/>
                    <w:adjustRightInd w:val="0"/>
                    <w:spacing w:before="0" w:beforeAutospacing="0" w:after="0" w:afterAutospacing="0" w:line="240" w:lineRule="auto"/>
                    <w:ind w:left="0" w:right="0" w:firstLine="0" w:firstLineChars="0"/>
                    <w:jc w:val="center"/>
                    <w:rPr>
                      <w:rFonts w:hint="default" w:eastAsia="宋体"/>
                      <w:b/>
                      <w:bCs/>
                      <w:color w:val="auto"/>
                      <w:sz w:val="21"/>
                      <w:szCs w:val="21"/>
                      <w:highlight w:val="none"/>
                    </w:rPr>
                  </w:pPr>
                  <w:r>
                    <w:rPr>
                      <w:rFonts w:hint="default" w:eastAsia="宋体"/>
                      <w:b/>
                      <w:bCs/>
                      <w:color w:val="auto"/>
                      <w:sz w:val="21"/>
                      <w:szCs w:val="21"/>
                      <w:highlight w:val="none"/>
                    </w:rPr>
                    <w:t>污染物</w:t>
                  </w:r>
                </w:p>
              </w:tc>
              <w:tc>
                <w:tcPr>
                  <w:tcW w:w="2165" w:type="pct"/>
                  <w:tcBorders>
                    <w:tl2br w:val="nil"/>
                    <w:tr2bl w:val="nil"/>
                  </w:tcBorders>
                  <w:vAlign w:val="center"/>
                </w:tcPr>
                <w:p w14:paraId="41D385C6">
                  <w:pPr>
                    <w:pStyle w:val="122"/>
                    <w:keepNext w:val="0"/>
                    <w:keepLines w:val="0"/>
                    <w:suppressLineNumbers w:val="0"/>
                    <w:adjustRightInd w:val="0"/>
                    <w:spacing w:before="0" w:beforeAutospacing="0" w:after="0" w:afterAutospacing="0" w:line="240" w:lineRule="auto"/>
                    <w:ind w:left="0" w:right="0" w:firstLine="0" w:firstLineChars="0"/>
                    <w:jc w:val="center"/>
                    <w:rPr>
                      <w:rFonts w:hint="default" w:eastAsia="宋体"/>
                      <w:b/>
                      <w:bCs/>
                      <w:color w:val="auto"/>
                      <w:sz w:val="21"/>
                      <w:szCs w:val="21"/>
                      <w:highlight w:val="none"/>
                    </w:rPr>
                  </w:pPr>
                  <w:r>
                    <w:rPr>
                      <w:rFonts w:hint="default" w:eastAsia="宋体"/>
                      <w:b/>
                      <w:bCs/>
                      <w:color w:val="auto"/>
                      <w:sz w:val="21"/>
                      <w:szCs w:val="21"/>
                      <w:highlight w:val="none"/>
                    </w:rPr>
                    <w:t>评价指标</w:t>
                  </w:r>
                </w:p>
              </w:tc>
              <w:tc>
                <w:tcPr>
                  <w:tcW w:w="1205" w:type="pct"/>
                  <w:tcBorders>
                    <w:tl2br w:val="nil"/>
                    <w:tr2bl w:val="nil"/>
                  </w:tcBorders>
                  <w:vAlign w:val="center"/>
                </w:tcPr>
                <w:p w14:paraId="77FCD0DD">
                  <w:pPr>
                    <w:pStyle w:val="122"/>
                    <w:keepNext w:val="0"/>
                    <w:keepLines w:val="0"/>
                    <w:suppressLineNumbers w:val="0"/>
                    <w:adjustRightInd w:val="0"/>
                    <w:spacing w:before="0" w:beforeAutospacing="0" w:after="0" w:afterAutospacing="0" w:line="240" w:lineRule="auto"/>
                    <w:ind w:left="0" w:right="0" w:firstLine="0" w:firstLineChars="0"/>
                    <w:jc w:val="center"/>
                    <w:rPr>
                      <w:rFonts w:hint="default" w:eastAsia="宋体"/>
                      <w:b/>
                      <w:bCs/>
                      <w:color w:val="auto"/>
                      <w:sz w:val="21"/>
                      <w:szCs w:val="21"/>
                      <w:highlight w:val="none"/>
                    </w:rPr>
                  </w:pPr>
                  <w:r>
                    <w:rPr>
                      <w:rFonts w:hint="default" w:eastAsia="宋体"/>
                      <w:b/>
                      <w:bCs/>
                      <w:color w:val="auto"/>
                      <w:sz w:val="21"/>
                      <w:szCs w:val="21"/>
                      <w:highlight w:val="none"/>
                    </w:rPr>
                    <w:t>现状浓度/μg/m</w:t>
                  </w:r>
                  <w:r>
                    <w:rPr>
                      <w:rFonts w:hint="default" w:eastAsia="宋体"/>
                      <w:b/>
                      <w:bCs/>
                      <w:color w:val="auto"/>
                      <w:sz w:val="21"/>
                      <w:szCs w:val="21"/>
                      <w:highlight w:val="none"/>
                      <w:vertAlign w:val="superscript"/>
                    </w:rPr>
                    <w:t>3</w:t>
                  </w:r>
                </w:p>
              </w:tc>
              <w:tc>
                <w:tcPr>
                  <w:tcW w:w="1036" w:type="pct"/>
                  <w:tcBorders>
                    <w:tl2br w:val="nil"/>
                    <w:tr2bl w:val="nil"/>
                  </w:tcBorders>
                  <w:vAlign w:val="center"/>
                </w:tcPr>
                <w:p w14:paraId="0A95B5AB">
                  <w:pPr>
                    <w:pStyle w:val="122"/>
                    <w:keepNext w:val="0"/>
                    <w:keepLines w:val="0"/>
                    <w:suppressLineNumbers w:val="0"/>
                    <w:adjustRightInd w:val="0"/>
                    <w:spacing w:before="0" w:beforeAutospacing="0" w:after="0" w:afterAutospacing="0" w:line="240" w:lineRule="auto"/>
                    <w:ind w:left="0" w:right="0" w:firstLine="0" w:firstLineChars="0"/>
                    <w:jc w:val="center"/>
                    <w:rPr>
                      <w:rFonts w:hint="default" w:eastAsia="宋体"/>
                      <w:b/>
                      <w:bCs/>
                      <w:color w:val="auto"/>
                      <w:sz w:val="21"/>
                      <w:szCs w:val="21"/>
                      <w:highlight w:val="none"/>
                    </w:rPr>
                  </w:pPr>
                  <w:r>
                    <w:rPr>
                      <w:rFonts w:hint="default" w:eastAsia="宋体"/>
                      <w:b/>
                      <w:bCs/>
                      <w:color w:val="auto"/>
                      <w:sz w:val="21"/>
                      <w:szCs w:val="21"/>
                      <w:highlight w:val="none"/>
                    </w:rPr>
                    <w:t>标准值/μg/m</w:t>
                  </w:r>
                  <w:r>
                    <w:rPr>
                      <w:rFonts w:hint="default" w:eastAsia="宋体"/>
                      <w:b/>
                      <w:bCs/>
                      <w:color w:val="auto"/>
                      <w:sz w:val="21"/>
                      <w:szCs w:val="21"/>
                      <w:highlight w:val="none"/>
                      <w:vertAlign w:val="superscript"/>
                    </w:rPr>
                    <w:t>3</w:t>
                  </w:r>
                </w:p>
              </w:tc>
            </w:tr>
            <w:tr w14:paraId="25D795A5">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vMerge w:val="restart"/>
                  <w:tcBorders>
                    <w:tl2br w:val="nil"/>
                    <w:tr2bl w:val="nil"/>
                  </w:tcBorders>
                  <w:vAlign w:val="center"/>
                </w:tcPr>
                <w:p w14:paraId="7BD586CD">
                  <w:pPr>
                    <w:pStyle w:val="122"/>
                    <w:keepNext w:val="0"/>
                    <w:keepLines w:val="0"/>
                    <w:suppressLineNumbers w:val="0"/>
                    <w:adjustRightInd w:val="0"/>
                    <w:spacing w:before="0" w:beforeAutospacing="0" w:after="0" w:afterAutospacing="0" w:line="240" w:lineRule="auto"/>
                    <w:ind w:left="0" w:right="0" w:firstLine="0" w:firstLineChars="0"/>
                    <w:jc w:val="center"/>
                    <w:rPr>
                      <w:rFonts w:hint="default" w:eastAsia="宋体"/>
                      <w:color w:val="auto"/>
                      <w:sz w:val="21"/>
                      <w:szCs w:val="21"/>
                      <w:highlight w:val="none"/>
                    </w:rPr>
                  </w:pPr>
                  <w:r>
                    <w:rPr>
                      <w:rFonts w:hint="default" w:eastAsia="宋体"/>
                      <w:color w:val="auto"/>
                      <w:sz w:val="21"/>
                      <w:szCs w:val="21"/>
                      <w:highlight w:val="none"/>
                    </w:rPr>
                    <w:t>SO</w:t>
                  </w:r>
                  <w:r>
                    <w:rPr>
                      <w:rFonts w:hint="default" w:eastAsia="宋体"/>
                      <w:color w:val="auto"/>
                      <w:sz w:val="21"/>
                      <w:szCs w:val="21"/>
                      <w:highlight w:val="none"/>
                      <w:vertAlign w:val="subscript"/>
                    </w:rPr>
                    <w:t>2</w:t>
                  </w:r>
                </w:p>
              </w:tc>
              <w:tc>
                <w:tcPr>
                  <w:tcW w:w="2165" w:type="pct"/>
                  <w:tcBorders>
                    <w:tl2br w:val="nil"/>
                    <w:tr2bl w:val="nil"/>
                  </w:tcBorders>
                  <w:shd w:val="clear" w:color="auto" w:fill="auto"/>
                  <w:vAlign w:val="center"/>
                </w:tcPr>
                <w:p w14:paraId="1FE2F6A2">
                  <w:pPr>
                    <w:keepNext w:val="0"/>
                    <w:keepLines w:val="0"/>
                    <w:widowControl w:val="0"/>
                    <w:suppressLineNumbers w:val="0"/>
                    <w:autoSpaceDE w:val="0"/>
                    <w:autoSpaceDN/>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
                    </w:rPr>
                    <w:t>年平均质量浓度</w:t>
                  </w:r>
                </w:p>
              </w:tc>
              <w:tc>
                <w:tcPr>
                  <w:tcW w:w="1205" w:type="pct"/>
                  <w:tcBorders>
                    <w:tl2br w:val="nil"/>
                    <w:tr2bl w:val="nil"/>
                  </w:tcBorders>
                  <w:shd w:val="clear" w:color="auto" w:fill="auto"/>
                  <w:vAlign w:val="center"/>
                </w:tcPr>
                <w:p w14:paraId="09609B85">
                  <w:pPr>
                    <w:keepNext w:val="0"/>
                    <w:keepLines w:val="0"/>
                    <w:widowControl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8</w:t>
                  </w:r>
                </w:p>
              </w:tc>
              <w:tc>
                <w:tcPr>
                  <w:tcW w:w="1036" w:type="pct"/>
                  <w:tcBorders>
                    <w:tl2br w:val="nil"/>
                    <w:tr2bl w:val="nil"/>
                  </w:tcBorders>
                  <w:shd w:val="clear" w:color="auto" w:fill="auto"/>
                  <w:vAlign w:val="center"/>
                </w:tcPr>
                <w:p w14:paraId="4F7747B2">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60</w:t>
                  </w:r>
                </w:p>
              </w:tc>
            </w:tr>
            <w:tr w14:paraId="58676DB5">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vMerge w:val="continue"/>
                  <w:tcBorders>
                    <w:tl2br w:val="nil"/>
                    <w:tr2bl w:val="nil"/>
                  </w:tcBorders>
                  <w:vAlign w:val="center"/>
                </w:tcPr>
                <w:p w14:paraId="4EDA8458">
                  <w:pPr>
                    <w:pStyle w:val="122"/>
                    <w:keepNext w:val="0"/>
                    <w:keepLines w:val="0"/>
                    <w:suppressLineNumbers w:val="0"/>
                    <w:adjustRightInd w:val="0"/>
                    <w:spacing w:before="0" w:beforeAutospacing="0" w:after="0" w:afterAutospacing="0" w:line="240" w:lineRule="auto"/>
                    <w:ind w:left="0" w:right="0" w:firstLine="0" w:firstLineChars="0"/>
                    <w:jc w:val="center"/>
                    <w:rPr>
                      <w:rFonts w:hint="default" w:eastAsia="宋体"/>
                      <w:color w:val="auto"/>
                      <w:sz w:val="21"/>
                      <w:szCs w:val="21"/>
                      <w:highlight w:val="none"/>
                    </w:rPr>
                  </w:pPr>
                </w:p>
              </w:tc>
              <w:tc>
                <w:tcPr>
                  <w:tcW w:w="2165" w:type="pct"/>
                  <w:tcBorders>
                    <w:tl2br w:val="nil"/>
                    <w:tr2bl w:val="nil"/>
                  </w:tcBorders>
                  <w:shd w:val="clear" w:color="auto" w:fill="auto"/>
                  <w:vAlign w:val="center"/>
                </w:tcPr>
                <w:p w14:paraId="1B546014">
                  <w:pPr>
                    <w:keepNext w:val="0"/>
                    <w:keepLines w:val="0"/>
                    <w:widowControl w:val="0"/>
                    <w:suppressLineNumbers w:val="0"/>
                    <w:autoSpaceDE w:val="0"/>
                    <w:autoSpaceDN/>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
                    </w:rPr>
                    <w:t>日平均质量浓度</w:t>
                  </w:r>
                </w:p>
              </w:tc>
              <w:tc>
                <w:tcPr>
                  <w:tcW w:w="1205" w:type="pct"/>
                  <w:tcBorders>
                    <w:tl2br w:val="nil"/>
                    <w:tr2bl w:val="nil"/>
                  </w:tcBorders>
                  <w:shd w:val="clear" w:color="auto" w:fill="auto"/>
                  <w:vAlign w:val="center"/>
                </w:tcPr>
                <w:p w14:paraId="6497FB54">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5~15</w:t>
                  </w:r>
                </w:p>
              </w:tc>
              <w:tc>
                <w:tcPr>
                  <w:tcW w:w="1036" w:type="pct"/>
                  <w:tcBorders>
                    <w:tl2br w:val="nil"/>
                    <w:tr2bl w:val="nil"/>
                  </w:tcBorders>
                  <w:shd w:val="clear" w:color="auto" w:fill="auto"/>
                  <w:vAlign w:val="center"/>
                </w:tcPr>
                <w:p w14:paraId="5FDA0143">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150</w:t>
                  </w:r>
                </w:p>
              </w:tc>
            </w:tr>
            <w:tr w14:paraId="302B6F55">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vMerge w:val="restart"/>
                  <w:tcBorders>
                    <w:tl2br w:val="nil"/>
                    <w:tr2bl w:val="nil"/>
                  </w:tcBorders>
                  <w:vAlign w:val="center"/>
                </w:tcPr>
                <w:p w14:paraId="5F7498BB">
                  <w:pPr>
                    <w:pStyle w:val="122"/>
                    <w:keepNext w:val="0"/>
                    <w:keepLines w:val="0"/>
                    <w:suppressLineNumbers w:val="0"/>
                    <w:adjustRightInd w:val="0"/>
                    <w:spacing w:before="0" w:beforeAutospacing="0" w:after="0" w:afterAutospacing="0" w:line="240" w:lineRule="auto"/>
                    <w:ind w:left="0" w:right="0" w:firstLine="0" w:firstLineChars="0"/>
                    <w:jc w:val="center"/>
                    <w:rPr>
                      <w:rFonts w:hint="default" w:eastAsia="宋体"/>
                      <w:color w:val="auto"/>
                      <w:sz w:val="21"/>
                      <w:szCs w:val="21"/>
                      <w:highlight w:val="none"/>
                    </w:rPr>
                  </w:pPr>
                  <w:r>
                    <w:rPr>
                      <w:rFonts w:hint="default" w:eastAsia="宋体"/>
                      <w:color w:val="auto"/>
                      <w:sz w:val="21"/>
                      <w:szCs w:val="21"/>
                      <w:highlight w:val="none"/>
                    </w:rPr>
                    <w:t>NO</w:t>
                  </w:r>
                  <w:r>
                    <w:rPr>
                      <w:rFonts w:hint="default" w:eastAsia="宋体"/>
                      <w:color w:val="auto"/>
                      <w:sz w:val="21"/>
                      <w:szCs w:val="21"/>
                      <w:highlight w:val="none"/>
                      <w:vertAlign w:val="subscript"/>
                    </w:rPr>
                    <w:t>2</w:t>
                  </w:r>
                </w:p>
              </w:tc>
              <w:tc>
                <w:tcPr>
                  <w:tcW w:w="2165" w:type="pct"/>
                  <w:tcBorders>
                    <w:tl2br w:val="nil"/>
                    <w:tr2bl w:val="nil"/>
                  </w:tcBorders>
                  <w:shd w:val="clear" w:color="auto" w:fill="auto"/>
                  <w:vAlign w:val="center"/>
                </w:tcPr>
                <w:p w14:paraId="0A991D7C">
                  <w:pPr>
                    <w:keepNext w:val="0"/>
                    <w:keepLines w:val="0"/>
                    <w:widowControl w:val="0"/>
                    <w:suppressLineNumbers w:val="0"/>
                    <w:autoSpaceDE w:val="0"/>
                    <w:autoSpaceDN/>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
                    </w:rPr>
                    <w:t>年平均质量浓度</w:t>
                  </w:r>
                </w:p>
              </w:tc>
              <w:tc>
                <w:tcPr>
                  <w:tcW w:w="1205" w:type="pct"/>
                  <w:tcBorders>
                    <w:tl2br w:val="nil"/>
                    <w:tr2bl w:val="nil"/>
                  </w:tcBorders>
                  <w:shd w:val="clear" w:color="auto" w:fill="auto"/>
                  <w:vAlign w:val="center"/>
                </w:tcPr>
                <w:p w14:paraId="67727E95">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26</w:t>
                  </w:r>
                </w:p>
              </w:tc>
              <w:tc>
                <w:tcPr>
                  <w:tcW w:w="1036" w:type="pct"/>
                  <w:tcBorders>
                    <w:tl2br w:val="nil"/>
                    <w:tr2bl w:val="nil"/>
                  </w:tcBorders>
                  <w:shd w:val="clear" w:color="auto" w:fill="auto"/>
                  <w:vAlign w:val="center"/>
                </w:tcPr>
                <w:p w14:paraId="19486945">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40</w:t>
                  </w:r>
                </w:p>
              </w:tc>
            </w:tr>
            <w:tr w14:paraId="4BC4B9A0">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vMerge w:val="continue"/>
                  <w:tcBorders>
                    <w:tl2br w:val="nil"/>
                    <w:tr2bl w:val="nil"/>
                  </w:tcBorders>
                  <w:vAlign w:val="center"/>
                </w:tcPr>
                <w:p w14:paraId="73021A30">
                  <w:pPr>
                    <w:pStyle w:val="122"/>
                    <w:keepNext w:val="0"/>
                    <w:keepLines w:val="0"/>
                    <w:suppressLineNumbers w:val="0"/>
                    <w:adjustRightInd w:val="0"/>
                    <w:spacing w:before="0" w:beforeAutospacing="0" w:after="0" w:afterAutospacing="0" w:line="240" w:lineRule="auto"/>
                    <w:ind w:left="0" w:right="0" w:firstLine="0" w:firstLineChars="0"/>
                    <w:jc w:val="center"/>
                    <w:rPr>
                      <w:rFonts w:hint="default" w:eastAsia="宋体"/>
                      <w:color w:val="auto"/>
                      <w:sz w:val="21"/>
                      <w:szCs w:val="21"/>
                      <w:highlight w:val="none"/>
                    </w:rPr>
                  </w:pPr>
                </w:p>
              </w:tc>
              <w:tc>
                <w:tcPr>
                  <w:tcW w:w="2165" w:type="pct"/>
                  <w:tcBorders>
                    <w:tl2br w:val="nil"/>
                    <w:tr2bl w:val="nil"/>
                  </w:tcBorders>
                  <w:shd w:val="clear" w:color="auto" w:fill="auto"/>
                  <w:vAlign w:val="center"/>
                </w:tcPr>
                <w:p w14:paraId="36957345">
                  <w:pPr>
                    <w:keepNext w:val="0"/>
                    <w:keepLines w:val="0"/>
                    <w:widowControl w:val="0"/>
                    <w:suppressLineNumbers w:val="0"/>
                    <w:autoSpaceDE w:val="0"/>
                    <w:autoSpaceDN/>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
                    </w:rPr>
                    <w:t>日平均质量浓度</w:t>
                  </w:r>
                </w:p>
              </w:tc>
              <w:tc>
                <w:tcPr>
                  <w:tcW w:w="1205" w:type="pct"/>
                  <w:tcBorders>
                    <w:tl2br w:val="nil"/>
                    <w:tr2bl w:val="nil"/>
                  </w:tcBorders>
                  <w:shd w:val="clear" w:color="auto" w:fill="auto"/>
                  <w:vAlign w:val="center"/>
                </w:tcPr>
                <w:p w14:paraId="22EB0A43">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5~92</w:t>
                  </w:r>
                </w:p>
              </w:tc>
              <w:tc>
                <w:tcPr>
                  <w:tcW w:w="1036" w:type="pct"/>
                  <w:tcBorders>
                    <w:tl2br w:val="nil"/>
                    <w:tr2bl w:val="nil"/>
                  </w:tcBorders>
                  <w:shd w:val="clear" w:color="auto" w:fill="auto"/>
                  <w:vAlign w:val="center"/>
                </w:tcPr>
                <w:p w14:paraId="69B44FE5">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80</w:t>
                  </w:r>
                </w:p>
              </w:tc>
            </w:tr>
            <w:tr w14:paraId="1F3A23A0">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tcBorders>
                    <w:tl2br w:val="nil"/>
                    <w:tr2bl w:val="nil"/>
                  </w:tcBorders>
                  <w:vAlign w:val="center"/>
                </w:tcPr>
                <w:p w14:paraId="5DF8D788">
                  <w:pPr>
                    <w:pStyle w:val="122"/>
                    <w:keepNext w:val="0"/>
                    <w:keepLines w:val="0"/>
                    <w:suppressLineNumbers w:val="0"/>
                    <w:adjustRightInd w:val="0"/>
                    <w:spacing w:before="0" w:beforeAutospacing="0" w:after="0" w:afterAutospacing="0" w:line="240" w:lineRule="auto"/>
                    <w:ind w:left="0" w:right="0" w:firstLine="0" w:firstLineChars="0"/>
                    <w:jc w:val="center"/>
                    <w:rPr>
                      <w:rFonts w:hint="default" w:eastAsia="宋体"/>
                      <w:color w:val="auto"/>
                      <w:sz w:val="21"/>
                      <w:szCs w:val="21"/>
                      <w:highlight w:val="none"/>
                    </w:rPr>
                  </w:pPr>
                  <w:r>
                    <w:rPr>
                      <w:rFonts w:hint="default" w:eastAsia="宋体"/>
                      <w:color w:val="auto"/>
                      <w:sz w:val="21"/>
                      <w:szCs w:val="21"/>
                      <w:highlight w:val="none"/>
                    </w:rPr>
                    <w:t>CO</w:t>
                  </w:r>
                </w:p>
              </w:tc>
              <w:tc>
                <w:tcPr>
                  <w:tcW w:w="2165" w:type="pct"/>
                  <w:tcBorders>
                    <w:tl2br w:val="nil"/>
                    <w:tr2bl w:val="nil"/>
                  </w:tcBorders>
                  <w:shd w:val="clear" w:color="auto" w:fill="auto"/>
                  <w:vAlign w:val="center"/>
                </w:tcPr>
                <w:p w14:paraId="09B99FA2">
                  <w:pPr>
                    <w:keepNext w:val="0"/>
                    <w:keepLines w:val="0"/>
                    <w:widowControl w:val="0"/>
                    <w:suppressLineNumbers w:val="0"/>
                    <w:autoSpaceDE w:val="0"/>
                    <w:autoSpaceDN/>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宋体" w:hAnsi="宋体" w:eastAsia="宋体" w:cs="宋体"/>
                      <w:color w:val="auto"/>
                      <w:kern w:val="2"/>
                      <w:sz w:val="21"/>
                      <w:szCs w:val="21"/>
                      <w:lang w:val="en-US" w:eastAsia="zh-CN" w:bidi="ar"/>
                    </w:rPr>
                    <w:t>第</w:t>
                  </w:r>
                  <w:r>
                    <w:rPr>
                      <w:rFonts w:hint="default" w:ascii="Times New Roman" w:hAnsi="Times New Roman" w:eastAsia="宋体" w:cs="Times New Roman"/>
                      <w:color w:val="auto"/>
                      <w:kern w:val="2"/>
                      <w:sz w:val="21"/>
                      <w:szCs w:val="21"/>
                      <w:lang w:val="en-US" w:eastAsia="zh-CN" w:bidi="ar"/>
                    </w:rPr>
                    <w:t>95</w:t>
                  </w:r>
                  <w:r>
                    <w:rPr>
                      <w:rFonts w:hint="eastAsia" w:ascii="宋体" w:hAnsi="宋体" w:eastAsia="宋体" w:cs="宋体"/>
                      <w:bCs/>
                      <w:color w:val="auto"/>
                      <w:kern w:val="2"/>
                      <w:sz w:val="21"/>
                      <w:szCs w:val="21"/>
                      <w:lang w:val="en-US" w:eastAsia="zh-CN" w:bidi="ar"/>
                    </w:rPr>
                    <w:t>百分位数日平均质量浓度</w:t>
                  </w:r>
                </w:p>
              </w:tc>
              <w:tc>
                <w:tcPr>
                  <w:tcW w:w="1205" w:type="pct"/>
                  <w:tcBorders>
                    <w:tl2br w:val="nil"/>
                    <w:tr2bl w:val="nil"/>
                  </w:tcBorders>
                  <w:shd w:val="clear" w:color="auto" w:fill="auto"/>
                  <w:vAlign w:val="center"/>
                </w:tcPr>
                <w:p w14:paraId="78884946">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1100</w:t>
                  </w:r>
                </w:p>
              </w:tc>
              <w:tc>
                <w:tcPr>
                  <w:tcW w:w="1036" w:type="pct"/>
                  <w:tcBorders>
                    <w:tl2br w:val="nil"/>
                    <w:tr2bl w:val="nil"/>
                  </w:tcBorders>
                  <w:shd w:val="clear" w:color="auto" w:fill="auto"/>
                  <w:vAlign w:val="center"/>
                </w:tcPr>
                <w:p w14:paraId="29D216F7">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4000</w:t>
                  </w:r>
                </w:p>
              </w:tc>
            </w:tr>
            <w:tr w14:paraId="62BBE27A">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tcBorders>
                    <w:tl2br w:val="nil"/>
                    <w:tr2bl w:val="nil"/>
                  </w:tcBorders>
                  <w:vAlign w:val="center"/>
                </w:tcPr>
                <w:p w14:paraId="00A44A5B">
                  <w:pPr>
                    <w:pStyle w:val="122"/>
                    <w:keepNext w:val="0"/>
                    <w:keepLines w:val="0"/>
                    <w:suppressLineNumbers w:val="0"/>
                    <w:adjustRightInd w:val="0"/>
                    <w:spacing w:before="0" w:beforeAutospacing="0" w:after="0" w:afterAutospacing="0" w:line="240" w:lineRule="auto"/>
                    <w:ind w:left="0" w:right="0" w:firstLine="0" w:firstLineChars="0"/>
                    <w:jc w:val="center"/>
                    <w:rPr>
                      <w:rFonts w:hint="default" w:eastAsia="宋体"/>
                      <w:color w:val="auto"/>
                      <w:sz w:val="21"/>
                      <w:szCs w:val="21"/>
                      <w:highlight w:val="none"/>
                    </w:rPr>
                  </w:pPr>
                  <w:r>
                    <w:rPr>
                      <w:rFonts w:hint="default" w:eastAsia="宋体"/>
                      <w:color w:val="auto"/>
                      <w:sz w:val="21"/>
                      <w:szCs w:val="21"/>
                      <w:highlight w:val="none"/>
                    </w:rPr>
                    <w:t>O</w:t>
                  </w:r>
                  <w:r>
                    <w:rPr>
                      <w:rFonts w:hint="default" w:eastAsia="宋体"/>
                      <w:color w:val="auto"/>
                      <w:sz w:val="21"/>
                      <w:szCs w:val="21"/>
                      <w:highlight w:val="none"/>
                      <w:vertAlign w:val="subscript"/>
                    </w:rPr>
                    <w:t>3</w:t>
                  </w:r>
                </w:p>
              </w:tc>
              <w:tc>
                <w:tcPr>
                  <w:tcW w:w="2165" w:type="pct"/>
                  <w:tcBorders>
                    <w:tl2br w:val="nil"/>
                    <w:tr2bl w:val="nil"/>
                  </w:tcBorders>
                  <w:shd w:val="clear" w:color="auto" w:fill="auto"/>
                  <w:vAlign w:val="center"/>
                </w:tcPr>
                <w:p w14:paraId="18B289AA">
                  <w:pPr>
                    <w:keepNext w:val="0"/>
                    <w:keepLines w:val="0"/>
                    <w:widowControl w:val="0"/>
                    <w:suppressLineNumbers w:val="0"/>
                    <w:autoSpaceDE w:val="0"/>
                    <w:autoSpaceDN/>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宋体" w:hAnsi="宋体" w:eastAsia="宋体" w:cs="宋体"/>
                      <w:color w:val="auto"/>
                      <w:kern w:val="2"/>
                      <w:sz w:val="21"/>
                      <w:szCs w:val="21"/>
                      <w:lang w:val="en-US" w:eastAsia="zh-CN" w:bidi="ar"/>
                    </w:rPr>
                    <w:t>第</w:t>
                  </w:r>
                  <w:r>
                    <w:rPr>
                      <w:rFonts w:hint="default" w:ascii="Times New Roman" w:hAnsi="Times New Roman" w:eastAsia="宋体" w:cs="Times New Roman"/>
                      <w:color w:val="auto"/>
                      <w:kern w:val="2"/>
                      <w:sz w:val="21"/>
                      <w:szCs w:val="21"/>
                      <w:lang w:val="en-US" w:eastAsia="zh-CN" w:bidi="ar"/>
                    </w:rPr>
                    <w:t>90</w:t>
                  </w:r>
                  <w:r>
                    <w:rPr>
                      <w:rFonts w:hint="eastAsia" w:ascii="宋体" w:hAnsi="宋体" w:eastAsia="宋体" w:cs="宋体"/>
                      <w:bCs/>
                      <w:color w:val="auto"/>
                      <w:kern w:val="2"/>
                      <w:sz w:val="21"/>
                      <w:szCs w:val="21"/>
                      <w:lang w:val="en-US" w:eastAsia="zh-CN" w:bidi="ar"/>
                    </w:rPr>
                    <w:t>百分位数</w:t>
                  </w:r>
                  <w:r>
                    <w:rPr>
                      <w:rFonts w:hint="default" w:ascii="Times New Roman" w:hAnsi="Times New Roman" w:eastAsia="宋体" w:cs="Times New Roman"/>
                      <w:bCs/>
                      <w:color w:val="auto"/>
                      <w:kern w:val="2"/>
                      <w:sz w:val="21"/>
                      <w:szCs w:val="21"/>
                      <w:lang w:val="en-US" w:eastAsia="zh-CN" w:bidi="ar"/>
                    </w:rPr>
                    <w:t>8h</w:t>
                  </w:r>
                  <w:r>
                    <w:rPr>
                      <w:rFonts w:hint="eastAsia" w:ascii="宋体" w:hAnsi="宋体" w:eastAsia="宋体" w:cs="宋体"/>
                      <w:bCs/>
                      <w:color w:val="auto"/>
                      <w:kern w:val="2"/>
                      <w:sz w:val="21"/>
                      <w:szCs w:val="21"/>
                      <w:lang w:val="en-US" w:eastAsia="zh-CN" w:bidi="ar"/>
                    </w:rPr>
                    <w:t>平均质量浓度</w:t>
                  </w:r>
                </w:p>
              </w:tc>
              <w:tc>
                <w:tcPr>
                  <w:tcW w:w="1205" w:type="pct"/>
                  <w:tcBorders>
                    <w:tl2br w:val="nil"/>
                    <w:tr2bl w:val="nil"/>
                  </w:tcBorders>
                  <w:shd w:val="clear" w:color="auto" w:fill="auto"/>
                  <w:vAlign w:val="center"/>
                </w:tcPr>
                <w:p w14:paraId="19E0EF7C">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168</w:t>
                  </w:r>
                </w:p>
              </w:tc>
              <w:tc>
                <w:tcPr>
                  <w:tcW w:w="1036" w:type="pct"/>
                  <w:tcBorders>
                    <w:tl2br w:val="nil"/>
                    <w:tr2bl w:val="nil"/>
                  </w:tcBorders>
                  <w:shd w:val="clear" w:color="auto" w:fill="auto"/>
                  <w:vAlign w:val="center"/>
                </w:tcPr>
                <w:p w14:paraId="44BF8D38">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160</w:t>
                  </w:r>
                </w:p>
              </w:tc>
            </w:tr>
            <w:tr w14:paraId="69721526">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vMerge w:val="restart"/>
                  <w:tcBorders>
                    <w:tl2br w:val="nil"/>
                    <w:tr2bl w:val="nil"/>
                  </w:tcBorders>
                  <w:vAlign w:val="center"/>
                </w:tcPr>
                <w:p w14:paraId="6A9E4A5C">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PM</w:t>
                  </w:r>
                  <w:r>
                    <w:rPr>
                      <w:rFonts w:hint="default"/>
                      <w:color w:val="auto"/>
                      <w:sz w:val="21"/>
                      <w:szCs w:val="21"/>
                      <w:highlight w:val="none"/>
                      <w:vertAlign w:val="subscript"/>
                    </w:rPr>
                    <w:t>10</w:t>
                  </w:r>
                </w:p>
              </w:tc>
              <w:tc>
                <w:tcPr>
                  <w:tcW w:w="2165" w:type="pct"/>
                  <w:tcBorders>
                    <w:tl2br w:val="nil"/>
                    <w:tr2bl w:val="nil"/>
                  </w:tcBorders>
                  <w:shd w:val="clear" w:color="auto" w:fill="auto"/>
                  <w:vAlign w:val="center"/>
                </w:tcPr>
                <w:p w14:paraId="6BDAA3C6">
                  <w:pPr>
                    <w:keepNext w:val="0"/>
                    <w:keepLines w:val="0"/>
                    <w:widowControl w:val="0"/>
                    <w:suppressLineNumbers w:val="0"/>
                    <w:autoSpaceDE w:val="0"/>
                    <w:autoSpaceDN/>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
                    </w:rPr>
                    <w:t>年平均质量浓度</w:t>
                  </w:r>
                </w:p>
              </w:tc>
              <w:tc>
                <w:tcPr>
                  <w:tcW w:w="1205" w:type="pct"/>
                  <w:tcBorders>
                    <w:tl2br w:val="nil"/>
                    <w:tr2bl w:val="nil"/>
                  </w:tcBorders>
                  <w:shd w:val="clear" w:color="auto" w:fill="auto"/>
                  <w:vAlign w:val="center"/>
                </w:tcPr>
                <w:p w14:paraId="08D26608">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52</w:t>
                  </w:r>
                </w:p>
              </w:tc>
              <w:tc>
                <w:tcPr>
                  <w:tcW w:w="1036" w:type="pct"/>
                  <w:tcBorders>
                    <w:tl2br w:val="nil"/>
                    <w:tr2bl w:val="nil"/>
                  </w:tcBorders>
                  <w:shd w:val="clear" w:color="auto" w:fill="auto"/>
                  <w:vAlign w:val="center"/>
                </w:tcPr>
                <w:p w14:paraId="06F8F638">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70</w:t>
                  </w:r>
                </w:p>
              </w:tc>
            </w:tr>
            <w:tr w14:paraId="08833F6E">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vMerge w:val="continue"/>
                  <w:tcBorders>
                    <w:tl2br w:val="nil"/>
                    <w:tr2bl w:val="nil"/>
                  </w:tcBorders>
                  <w:vAlign w:val="center"/>
                </w:tcPr>
                <w:p w14:paraId="49A968D7">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p>
              </w:tc>
              <w:tc>
                <w:tcPr>
                  <w:tcW w:w="2165" w:type="pct"/>
                  <w:tcBorders>
                    <w:tl2br w:val="nil"/>
                    <w:tr2bl w:val="nil"/>
                  </w:tcBorders>
                  <w:shd w:val="clear" w:color="auto" w:fill="auto"/>
                  <w:vAlign w:val="center"/>
                </w:tcPr>
                <w:p w14:paraId="736189DB">
                  <w:pPr>
                    <w:keepNext w:val="0"/>
                    <w:keepLines w:val="0"/>
                    <w:widowControl w:val="0"/>
                    <w:suppressLineNumbers w:val="0"/>
                    <w:autoSpaceDE w:val="0"/>
                    <w:autoSpaceDN/>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
                    </w:rPr>
                    <w:t>日平均质量浓度</w:t>
                  </w:r>
                </w:p>
              </w:tc>
              <w:tc>
                <w:tcPr>
                  <w:tcW w:w="1205" w:type="pct"/>
                  <w:tcBorders>
                    <w:tl2br w:val="nil"/>
                    <w:tr2bl w:val="nil"/>
                  </w:tcBorders>
                  <w:shd w:val="clear" w:color="auto" w:fill="auto"/>
                  <w:vAlign w:val="center"/>
                </w:tcPr>
                <w:p w14:paraId="5801FA13">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9~206</w:t>
                  </w:r>
                </w:p>
              </w:tc>
              <w:tc>
                <w:tcPr>
                  <w:tcW w:w="1036" w:type="pct"/>
                  <w:tcBorders>
                    <w:tl2br w:val="nil"/>
                    <w:tr2bl w:val="nil"/>
                  </w:tcBorders>
                  <w:shd w:val="clear" w:color="auto" w:fill="auto"/>
                  <w:vAlign w:val="center"/>
                </w:tcPr>
                <w:p w14:paraId="3B223B3E">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150</w:t>
                  </w:r>
                </w:p>
              </w:tc>
            </w:tr>
            <w:tr w14:paraId="610931B3">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vMerge w:val="restart"/>
                  <w:tcBorders>
                    <w:tl2br w:val="nil"/>
                    <w:tr2bl w:val="nil"/>
                  </w:tcBorders>
                  <w:vAlign w:val="center"/>
                </w:tcPr>
                <w:p w14:paraId="2E5E7FF1">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PM</w:t>
                  </w:r>
                  <w:r>
                    <w:rPr>
                      <w:rFonts w:hint="default"/>
                      <w:color w:val="auto"/>
                      <w:sz w:val="21"/>
                      <w:szCs w:val="21"/>
                      <w:highlight w:val="none"/>
                      <w:vertAlign w:val="subscript"/>
                    </w:rPr>
                    <w:t>2.5</w:t>
                  </w:r>
                </w:p>
              </w:tc>
              <w:tc>
                <w:tcPr>
                  <w:tcW w:w="2165" w:type="pct"/>
                  <w:tcBorders>
                    <w:tl2br w:val="nil"/>
                    <w:tr2bl w:val="nil"/>
                  </w:tcBorders>
                  <w:shd w:val="clear" w:color="auto" w:fill="auto"/>
                  <w:vAlign w:val="center"/>
                </w:tcPr>
                <w:p w14:paraId="441798C5">
                  <w:pPr>
                    <w:keepNext w:val="0"/>
                    <w:keepLines w:val="0"/>
                    <w:widowControl w:val="0"/>
                    <w:suppressLineNumbers w:val="0"/>
                    <w:autoSpaceDE w:val="0"/>
                    <w:autoSpaceDN/>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
                    </w:rPr>
                    <w:t>年平均质量浓度</w:t>
                  </w:r>
                </w:p>
              </w:tc>
              <w:tc>
                <w:tcPr>
                  <w:tcW w:w="1205" w:type="pct"/>
                  <w:tcBorders>
                    <w:tl2br w:val="nil"/>
                    <w:tr2bl w:val="nil"/>
                  </w:tcBorders>
                  <w:shd w:val="clear" w:color="auto" w:fill="auto"/>
                  <w:vAlign w:val="center"/>
                </w:tcPr>
                <w:p w14:paraId="7202E552">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32</w:t>
                  </w:r>
                </w:p>
              </w:tc>
              <w:tc>
                <w:tcPr>
                  <w:tcW w:w="1036" w:type="pct"/>
                  <w:tcBorders>
                    <w:tl2br w:val="nil"/>
                    <w:tr2bl w:val="nil"/>
                  </w:tcBorders>
                  <w:shd w:val="clear" w:color="auto" w:fill="auto"/>
                  <w:vAlign w:val="center"/>
                </w:tcPr>
                <w:p w14:paraId="4964B06F">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35</w:t>
                  </w:r>
                </w:p>
              </w:tc>
            </w:tr>
            <w:tr w14:paraId="63BD34EC">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vMerge w:val="continue"/>
                  <w:tcBorders>
                    <w:tl2br w:val="nil"/>
                    <w:tr2bl w:val="nil"/>
                  </w:tcBorders>
                  <w:vAlign w:val="center"/>
                </w:tcPr>
                <w:p w14:paraId="2AD6D7D3">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p>
              </w:tc>
              <w:tc>
                <w:tcPr>
                  <w:tcW w:w="2165" w:type="pct"/>
                  <w:tcBorders>
                    <w:tl2br w:val="nil"/>
                    <w:tr2bl w:val="nil"/>
                  </w:tcBorders>
                  <w:shd w:val="clear" w:color="auto" w:fill="auto"/>
                  <w:vAlign w:val="center"/>
                </w:tcPr>
                <w:p w14:paraId="140B6EFF">
                  <w:pPr>
                    <w:keepNext w:val="0"/>
                    <w:keepLines w:val="0"/>
                    <w:widowControl w:val="0"/>
                    <w:suppressLineNumbers w:val="0"/>
                    <w:autoSpaceDE w:val="0"/>
                    <w:autoSpaceDN/>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
                    </w:rPr>
                    <w:t>日平均质量浓度</w:t>
                  </w:r>
                </w:p>
              </w:tc>
              <w:tc>
                <w:tcPr>
                  <w:tcW w:w="1205" w:type="pct"/>
                  <w:tcBorders>
                    <w:tl2br w:val="nil"/>
                    <w:tr2bl w:val="nil"/>
                  </w:tcBorders>
                  <w:shd w:val="clear" w:color="auto" w:fill="auto"/>
                  <w:vAlign w:val="center"/>
                </w:tcPr>
                <w:p w14:paraId="49A2FCBE">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5~157</w:t>
                  </w:r>
                </w:p>
              </w:tc>
              <w:tc>
                <w:tcPr>
                  <w:tcW w:w="1036" w:type="pct"/>
                  <w:tcBorders>
                    <w:tl2br w:val="nil"/>
                    <w:tr2bl w:val="nil"/>
                  </w:tcBorders>
                  <w:shd w:val="clear" w:color="auto" w:fill="auto"/>
                  <w:vAlign w:val="center"/>
                </w:tcPr>
                <w:p w14:paraId="10C4CD43">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75</w:t>
                  </w:r>
                </w:p>
              </w:tc>
            </w:tr>
          </w:tbl>
          <w:p w14:paraId="62DC03B7">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w:t>
            </w:r>
            <w:r>
              <w:rPr>
                <w:rFonts w:hint="eastAsia" w:cs="Times New Roman"/>
                <w:color w:val="auto"/>
                <w:sz w:val="21"/>
                <w:szCs w:val="21"/>
                <w:lang w:eastAsia="zh-CN"/>
              </w:rPr>
              <w:t>202</w:t>
            </w:r>
            <w:r>
              <w:rPr>
                <w:rFonts w:hint="eastAsia" w:cs="Times New Roman"/>
                <w:color w:val="auto"/>
                <w:sz w:val="21"/>
                <w:szCs w:val="21"/>
                <w:lang w:val="en-US" w:eastAsia="zh-CN"/>
              </w:rPr>
              <w:t>4</w:t>
            </w:r>
            <w:r>
              <w:rPr>
                <w:rFonts w:hint="eastAsia" w:cs="Times New Roman"/>
                <w:color w:val="auto"/>
                <w:sz w:val="21"/>
                <w:szCs w:val="21"/>
                <w:lang w:eastAsia="zh-CN"/>
              </w:rPr>
              <w:t>年常州市生态环境状况公报</w:t>
            </w:r>
            <w:r>
              <w:rPr>
                <w:rFonts w:hint="default" w:ascii="Times New Roman" w:hAnsi="Times New Roman" w:eastAsia="宋体" w:cs="Times New Roman"/>
                <w:color w:val="auto"/>
                <w:sz w:val="21"/>
                <w:szCs w:val="21"/>
              </w:rPr>
              <w:t>》</w:t>
            </w:r>
            <w:r>
              <w:rPr>
                <w:rFonts w:hint="default"/>
                <w:bCs/>
                <w:color w:val="auto"/>
                <w:sz w:val="21"/>
                <w:szCs w:val="21"/>
              </w:rPr>
              <w:t>，</w:t>
            </w:r>
            <w:r>
              <w:rPr>
                <w:rFonts w:hint="eastAsia"/>
                <w:bCs/>
                <w:color w:val="auto"/>
                <w:sz w:val="21"/>
                <w:szCs w:val="21"/>
              </w:rPr>
              <w:t>202</w:t>
            </w:r>
            <w:r>
              <w:rPr>
                <w:rFonts w:hint="eastAsia"/>
                <w:bCs/>
                <w:color w:val="auto"/>
                <w:sz w:val="21"/>
                <w:szCs w:val="21"/>
                <w:lang w:val="en-US" w:eastAsia="zh-CN"/>
              </w:rPr>
              <w:t>4</w:t>
            </w:r>
            <w:r>
              <w:rPr>
                <w:rFonts w:hint="eastAsia"/>
                <w:bCs/>
                <w:color w:val="auto"/>
                <w:sz w:val="21"/>
                <w:szCs w:val="21"/>
              </w:rPr>
              <w:t>年项目所在区域六个基本污染物中PM</w:t>
            </w:r>
            <w:r>
              <w:rPr>
                <w:rFonts w:hint="eastAsia"/>
                <w:bCs/>
                <w:color w:val="auto"/>
                <w:sz w:val="21"/>
                <w:szCs w:val="21"/>
                <w:vertAlign w:val="subscript"/>
              </w:rPr>
              <w:t>2.5</w:t>
            </w:r>
            <w:r>
              <w:rPr>
                <w:rFonts w:hint="eastAsia"/>
                <w:bCs/>
                <w:color w:val="auto"/>
                <w:sz w:val="21"/>
                <w:szCs w:val="21"/>
              </w:rPr>
              <w:t>第95百分位数日平均质量浓度、O</w:t>
            </w:r>
            <w:r>
              <w:rPr>
                <w:rFonts w:hint="eastAsia"/>
                <w:bCs/>
                <w:color w:val="auto"/>
                <w:sz w:val="21"/>
                <w:szCs w:val="21"/>
                <w:vertAlign w:val="subscript"/>
              </w:rPr>
              <w:t>3</w:t>
            </w:r>
            <w:r>
              <w:rPr>
                <w:rFonts w:hint="eastAsia"/>
                <w:bCs/>
                <w:color w:val="auto"/>
                <w:sz w:val="21"/>
                <w:szCs w:val="21"/>
              </w:rPr>
              <w:t>日最大8小时滑动平均值的第90百分位数超过</w:t>
            </w:r>
            <w:r>
              <w:rPr>
                <w:rFonts w:hint="default" w:ascii="Times New Roman" w:hAnsi="Times New Roman" w:eastAsia="宋体" w:cs="Times New Roman"/>
                <w:color w:val="auto"/>
                <w:sz w:val="21"/>
                <w:szCs w:val="21"/>
              </w:rPr>
              <w:t>《环境空气质量标准》</w:t>
            </w:r>
            <w:r>
              <w:rPr>
                <w:rFonts w:hint="default" w:ascii="Times New Roman" w:hAnsi="Times New Roman" w:eastAsia="宋体" w:cs="Times New Roman"/>
                <w:color w:val="auto"/>
                <w:sz w:val="21"/>
                <w:szCs w:val="21"/>
                <w:highlight w:val="none"/>
              </w:rPr>
              <w:t>（</w:t>
            </w:r>
            <w:r>
              <w:rPr>
                <w:rFonts w:hint="eastAsia" w:cs="Times New Roman"/>
                <w:color w:val="auto"/>
                <w:sz w:val="21"/>
                <w:szCs w:val="21"/>
                <w:lang w:eastAsia="zh-CN"/>
              </w:rPr>
              <w:t>GB 3095—20</w:t>
            </w:r>
            <w:r>
              <w:rPr>
                <w:rFonts w:hint="eastAsia" w:cs="Times New Roman"/>
                <w:color w:val="auto"/>
                <w:sz w:val="21"/>
                <w:szCs w:val="21"/>
                <w:lang w:val="en-US" w:eastAsia="zh-CN"/>
              </w:rPr>
              <w:t>12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rPr>
              <w:t>中二级标准</w:t>
            </w:r>
            <w:r>
              <w:rPr>
                <w:rFonts w:hint="eastAsia"/>
                <w:bCs/>
                <w:color w:val="auto"/>
                <w:sz w:val="21"/>
                <w:szCs w:val="21"/>
              </w:rPr>
              <w:t>要求。因此，常州市目前属于环境空气质量不达标区</w:t>
            </w:r>
            <w:r>
              <w:rPr>
                <w:rFonts w:hint="default" w:ascii="Times New Roman" w:hAnsi="Times New Roman" w:eastAsia="宋体" w:cs="Times New Roman"/>
                <w:color w:val="auto"/>
                <w:sz w:val="21"/>
                <w:szCs w:val="21"/>
              </w:rPr>
              <w:t>。</w:t>
            </w:r>
          </w:p>
          <w:p w14:paraId="14573B71">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（2）大气环境质量改善方案</w:t>
            </w:r>
          </w:p>
          <w:p w14:paraId="766A3A74">
            <w:pPr>
              <w:keepNext w:val="0"/>
              <w:keepLines w:val="0"/>
              <w:pageBreakBefore w:val="0"/>
              <w:widowControl w:val="0"/>
              <w:kinsoku/>
              <w:wordWrap/>
              <w:overflowPunct/>
              <w:topLinePunct w:val="0"/>
              <w:autoSpaceDE/>
              <w:autoSpaceDN/>
              <w:bidi w:val="0"/>
              <w:spacing w:line="500" w:lineRule="exact"/>
              <w:ind w:firstLine="411" w:firstLineChars="196"/>
              <w:textAlignment w:val="auto"/>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根据常州市深入打好污染防治攻坚战指挥部办公室关于印发《2025年度全面推进美丽常州建设重点任务清单》的通知，主要举措如下：</w:t>
            </w:r>
          </w:p>
          <w:p w14:paraId="00D853E4">
            <w:pPr>
              <w:keepNext w:val="0"/>
              <w:keepLines w:val="0"/>
              <w:pageBreakBefore w:val="0"/>
              <w:widowControl w:val="0"/>
              <w:kinsoku/>
              <w:wordWrap/>
              <w:overflowPunct/>
              <w:topLinePunct w:val="0"/>
              <w:autoSpaceDE/>
              <w:autoSpaceDN/>
              <w:bidi w:val="0"/>
              <w:spacing w:line="500" w:lineRule="exact"/>
              <w:ind w:firstLine="411" w:firstLineChars="196"/>
              <w:textAlignment w:val="auto"/>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①加快推动绿色低碳转型发展。煤炭消费量较2020年下降5%。规模以上企业单位工业增加值能耗比2020年下降17%。利用党政机关、公共建筑、工商业厂房、农村居民屋顶建设分布式光伏项目，新增分布式光伏装机容量10兆瓦。开展营运船舶能耗和碳排放数据的监测分析，推动营运船舶节能减排，依法淘汰或更新高耗能高排放老旧营运船舶。</w:t>
            </w:r>
          </w:p>
          <w:p w14:paraId="5BD503ED">
            <w:pPr>
              <w:keepNext w:val="0"/>
              <w:keepLines w:val="0"/>
              <w:pageBreakBefore w:val="0"/>
              <w:widowControl w:val="0"/>
              <w:kinsoku/>
              <w:wordWrap/>
              <w:overflowPunct/>
              <w:topLinePunct w:val="0"/>
              <w:autoSpaceDE/>
              <w:autoSpaceDN/>
              <w:bidi w:val="0"/>
              <w:spacing w:line="500" w:lineRule="exact"/>
              <w:ind w:firstLine="411" w:firstLineChars="196"/>
              <w:textAlignment w:val="auto"/>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②持续深入打好蓝天保卫战。完成60家企业VOCs治理设施提升改造、无组织整治工作，4月底前完成50%，年底重点工业园区VOCs浓度力争比2021年下降20%。深化开展化工园区综合治理，持续推进挂钩帮扶，全面开展化工园区综合整治提升工作。开展锅炉和工业炉窑简易低效污染治理设施排查，通过清洁能源替代、升级改造、整合退出等方式分类处置。发挥30万千瓦及以上热电联产电厂的供热能力，对其供热半径30公里范围内的燃煤锅炉和落后燃煤小热电机组（含自备电厂）进行关停或整合。对全区火电煤堆场、建材行业、铸造行业、垃圾焚烧行业开展“扫尾工作”，全面完成整治任务。督促油品码头、油船依法依规安装、使用油气回收设施，开展储运销环节油气回收系统专项检查。强化各类扬尘治理，严格执行“六个百分百”要求，“两区三厂”范围内无大面积未覆盖裸土，推进规模以上工地安装在线监测和视频监控设备，并将相关数据推送至监管部门。强化渣土运输车辆全封闭运输管理，城市建成区全面使用新型环保智能渣土车。在重点区域分别打造1条以上餐饮油烟示范街区（综合体），并探索建立餐饮绿岛。全面落实重污染天气应对移动源管控要求，实现动态管理。年内逐步淘汰国IV以下排放标准的柴油货车，11月1日起，市区域内实现国三柴油货车全面限行。强化非道路移动机械污染治理，基本完成第一阶段及以下排放标准的非道路移动机械淘汰并逐步淘汰国二排放标准非道路移动机械，新增或更新的作业车辆和机械主要使用新能源车辆和机械。推动建立以集中充换电设施为主、企业自建充换电设施为补充的预拌混凝土专用车辆能源保障体系，通过落实“车电分离”，逐步实现预拌混凝土专用车辆的新能源化。加强秸秆禁烧，全面提升秸秆收、运、贮、用等方面能力。加强春节、中秋、国庆等重点时段的烟花爆竹燃放管控工作，严防禁放区内发生聚集性违规燃放。根据前期烟花爆竹燃放的实际情况，年内完成烟花爆竹禁放区的优化调整。</w:t>
            </w:r>
          </w:p>
          <w:p w14:paraId="0C47FD1D">
            <w:pPr>
              <w:keepNext w:val="0"/>
              <w:keepLines w:val="0"/>
              <w:pageBreakBefore w:val="0"/>
              <w:widowControl w:val="0"/>
              <w:kinsoku/>
              <w:wordWrap/>
              <w:overflowPunct/>
              <w:topLinePunct w:val="0"/>
              <w:autoSpaceDE/>
              <w:autoSpaceDN/>
              <w:bidi w:val="0"/>
              <w:spacing w:line="500" w:lineRule="exact"/>
              <w:ind w:firstLine="411" w:firstLineChars="196"/>
              <w:textAlignment w:val="auto"/>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项目所在区域环境空气质量目前暂不达标，采取上述措施后，大气环境质量状况可以得到有效地改善</w:t>
            </w:r>
            <w:r>
              <w:rPr>
                <w:rFonts w:hint="default" w:ascii="Times New Roman" w:hAnsi="Times New Roman" w:cs="Times New Roman"/>
                <w:color w:val="auto"/>
                <w:sz w:val="21"/>
                <w:szCs w:val="21"/>
              </w:rPr>
              <w:t>。</w:t>
            </w:r>
          </w:p>
          <w:p w14:paraId="1FF916C2">
            <w:pPr>
              <w:keepNext w:val="0"/>
              <w:keepLines w:val="0"/>
              <w:pageBreakBefore w:val="0"/>
              <w:widowControl w:val="0"/>
              <w:kinsoku/>
              <w:wordWrap/>
              <w:overflowPunct/>
              <w:topLinePunct w:val="0"/>
              <w:bidi w:val="0"/>
              <w:adjustRightInd w:val="0"/>
              <w:snapToGrid w:val="0"/>
              <w:spacing w:line="50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（3）其他污染物环境质量现状</w:t>
            </w:r>
          </w:p>
          <w:p w14:paraId="7B2BF8DF">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textAlignment w:val="auto"/>
              <w:rPr>
                <w:rFonts w:hint="default" w:ascii="Times New Roman" w:hAnsi="Times New Roman" w:eastAsia="宋体" w:cs="Times New Roman"/>
                <w:b w:val="0"/>
                <w:bCs w:val="0"/>
                <w:color w:val="auto"/>
                <w:kern w:val="44"/>
                <w:sz w:val="21"/>
                <w:szCs w:val="21"/>
                <w:lang w:val="en-US" w:eastAsia="zh-CN" w:bidi="ar-SA"/>
              </w:rPr>
            </w:pPr>
            <w:r>
              <w:rPr>
                <w:rFonts w:hint="eastAsia" w:ascii="Times New Roman" w:hAnsi="Times New Roman" w:eastAsia="宋体" w:cs="Times New Roman"/>
                <w:b w:val="0"/>
                <w:bCs w:val="0"/>
                <w:color w:val="auto"/>
                <w:kern w:val="44"/>
                <w:sz w:val="21"/>
                <w:szCs w:val="21"/>
                <w:lang w:val="en-US" w:eastAsia="zh-CN" w:bidi="ar-SA"/>
              </w:rPr>
              <w:t>项目特征因子非甲烷总烃</w:t>
            </w:r>
            <w:r>
              <w:rPr>
                <w:rFonts w:hint="eastAsia" w:cs="Times New Roman"/>
                <w:b w:val="0"/>
                <w:bCs w:val="0"/>
                <w:color w:val="auto"/>
                <w:kern w:val="44"/>
                <w:sz w:val="21"/>
                <w:szCs w:val="21"/>
                <w:lang w:val="en-US" w:eastAsia="zh-CN" w:bidi="ar-SA"/>
              </w:rPr>
              <w:t>委托</w:t>
            </w:r>
            <w:r>
              <w:rPr>
                <w:rFonts w:hint="eastAsia" w:cs="Times New Roman"/>
                <w:color w:val="auto"/>
                <w:sz w:val="21"/>
                <w:szCs w:val="21"/>
                <w:highlight w:val="none"/>
                <w:lang w:val="en-US" w:eastAsia="zh-CN"/>
              </w:rPr>
              <w:t>江苏云居检测技术有限公司</w:t>
            </w:r>
            <w:r>
              <w:rPr>
                <w:rFonts w:hint="eastAsia" w:cs="Times New Roman"/>
                <w:b w:val="0"/>
                <w:bCs w:val="0"/>
                <w:color w:val="auto"/>
                <w:kern w:val="44"/>
                <w:sz w:val="21"/>
                <w:szCs w:val="21"/>
                <w:lang w:val="en-US" w:eastAsia="zh-CN" w:bidi="ar-SA"/>
              </w:rPr>
              <w:t>在“项目所在地”</w:t>
            </w:r>
            <w:r>
              <w:rPr>
                <w:rFonts w:hint="eastAsia" w:ascii="Times New Roman" w:hAnsi="Times New Roman" w:eastAsia="宋体" w:cs="Times New Roman"/>
                <w:b w:val="0"/>
                <w:bCs w:val="0"/>
                <w:color w:val="auto"/>
                <w:kern w:val="44"/>
                <w:sz w:val="21"/>
                <w:szCs w:val="21"/>
                <w:lang w:val="en-US" w:eastAsia="zh-CN" w:bidi="ar-SA"/>
              </w:rPr>
              <w:t>的</w:t>
            </w:r>
            <w:r>
              <w:rPr>
                <w:rFonts w:hint="eastAsia" w:cs="Times New Roman"/>
                <w:b w:val="0"/>
                <w:bCs w:val="0"/>
                <w:color w:val="auto"/>
                <w:kern w:val="44"/>
                <w:sz w:val="21"/>
                <w:szCs w:val="21"/>
                <w:lang w:val="en-US" w:eastAsia="zh-CN" w:bidi="ar-SA"/>
              </w:rPr>
              <w:t>进行检测</w:t>
            </w:r>
            <w:r>
              <w:rPr>
                <w:rFonts w:hint="eastAsia" w:ascii="Times New Roman" w:hAnsi="Times New Roman" w:eastAsia="宋体" w:cs="Times New Roman"/>
                <w:b w:val="0"/>
                <w:bCs w:val="0"/>
                <w:color w:val="auto"/>
                <w:kern w:val="44"/>
                <w:sz w:val="21"/>
                <w:szCs w:val="21"/>
                <w:lang w:val="en-US" w:eastAsia="zh-CN" w:bidi="ar-SA"/>
              </w:rPr>
              <w:t>，检测报告编号</w:t>
            </w:r>
            <w:r>
              <w:rPr>
                <w:rFonts w:hint="default" w:ascii="Times New Roman" w:hAnsi="Times New Roman" w:eastAsia="宋体" w:cs="Times New Roman"/>
                <w:b w:val="0"/>
                <w:bCs w:val="0"/>
                <w:color w:val="auto"/>
                <w:kern w:val="44"/>
                <w:sz w:val="21"/>
                <w:szCs w:val="21"/>
                <w:lang w:val="en-US" w:eastAsia="zh-CN" w:bidi="ar-SA"/>
              </w:rPr>
              <w:t>YJH2</w:t>
            </w:r>
            <w:r>
              <w:rPr>
                <w:rFonts w:hint="eastAsia" w:cs="Times New Roman"/>
                <w:b w:val="0"/>
                <w:bCs w:val="0"/>
                <w:color w:val="auto"/>
                <w:kern w:val="44"/>
                <w:sz w:val="21"/>
                <w:szCs w:val="21"/>
                <w:lang w:val="en-US" w:eastAsia="zh-CN" w:bidi="ar-SA"/>
              </w:rPr>
              <w:t>6</w:t>
            </w:r>
            <w:r>
              <w:rPr>
                <w:rFonts w:hint="default" w:ascii="Times New Roman" w:hAnsi="Times New Roman" w:eastAsia="宋体" w:cs="Times New Roman"/>
                <w:b w:val="0"/>
                <w:bCs w:val="0"/>
                <w:color w:val="auto"/>
                <w:kern w:val="44"/>
                <w:sz w:val="21"/>
                <w:szCs w:val="21"/>
                <w:lang w:val="en-US" w:eastAsia="zh-CN" w:bidi="ar-SA"/>
              </w:rPr>
              <w:t>0</w:t>
            </w:r>
            <w:r>
              <w:rPr>
                <w:rFonts w:hint="eastAsia" w:cs="Times New Roman"/>
                <w:b w:val="0"/>
                <w:bCs w:val="0"/>
                <w:color w:val="auto"/>
                <w:kern w:val="44"/>
                <w:sz w:val="21"/>
                <w:szCs w:val="21"/>
                <w:lang w:val="en-US" w:eastAsia="zh-CN" w:bidi="ar-SA"/>
              </w:rPr>
              <w:t>206</w:t>
            </w:r>
            <w:r>
              <w:rPr>
                <w:rFonts w:hint="default" w:ascii="Times New Roman" w:hAnsi="Times New Roman" w:eastAsia="宋体" w:cs="Times New Roman"/>
                <w:b w:val="0"/>
                <w:bCs w:val="0"/>
                <w:color w:val="auto"/>
                <w:kern w:val="44"/>
                <w:sz w:val="21"/>
                <w:szCs w:val="21"/>
                <w:lang w:val="en-US" w:eastAsia="zh-CN" w:bidi="ar-SA"/>
              </w:rPr>
              <w:t>0</w:t>
            </w:r>
            <w:r>
              <w:rPr>
                <w:rFonts w:hint="eastAsia" w:cs="Times New Roman"/>
                <w:b w:val="0"/>
                <w:bCs w:val="0"/>
                <w:color w:val="auto"/>
                <w:kern w:val="44"/>
                <w:sz w:val="21"/>
                <w:szCs w:val="21"/>
                <w:lang w:val="en-US" w:eastAsia="zh-CN" w:bidi="ar-SA"/>
              </w:rPr>
              <w:t>2</w:t>
            </w:r>
            <w:r>
              <w:rPr>
                <w:rFonts w:hint="eastAsia" w:ascii="Times New Roman" w:hAnsi="Times New Roman" w:eastAsia="宋体" w:cs="Times New Roman"/>
                <w:b w:val="0"/>
                <w:bCs w:val="0"/>
                <w:color w:val="auto"/>
                <w:kern w:val="44"/>
                <w:sz w:val="21"/>
                <w:szCs w:val="21"/>
                <w:lang w:val="en-US" w:eastAsia="zh-CN" w:bidi="ar-SA"/>
              </w:rPr>
              <w:t>，检测时间为</w:t>
            </w:r>
            <w:r>
              <w:rPr>
                <w:rFonts w:hint="default" w:ascii="Times New Roman" w:hAnsi="Times New Roman" w:eastAsia="宋体" w:cs="Times New Roman"/>
                <w:color w:val="auto"/>
                <w:sz w:val="21"/>
                <w:szCs w:val="21"/>
                <w:lang w:val="en-US" w:eastAsia="zh-CN"/>
              </w:rPr>
              <w:t>202</w:t>
            </w: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年</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月</w:t>
            </w:r>
            <w:r>
              <w:rPr>
                <w:rFonts w:hint="eastAsia" w:cs="Times New Roman"/>
                <w:color w:val="auto"/>
                <w:sz w:val="21"/>
                <w:szCs w:val="21"/>
                <w:lang w:val="en-US" w:eastAsia="zh-CN"/>
              </w:rPr>
              <w:t>9</w:t>
            </w:r>
            <w:r>
              <w:rPr>
                <w:rFonts w:hint="default" w:ascii="Times New Roman" w:hAnsi="Times New Roman" w:eastAsia="宋体" w:cs="Times New Roman"/>
                <w:color w:val="auto"/>
                <w:sz w:val="21"/>
                <w:szCs w:val="21"/>
                <w:lang w:val="en-US" w:eastAsia="zh-CN"/>
              </w:rPr>
              <w:t>日～</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月</w:t>
            </w:r>
            <w:r>
              <w:rPr>
                <w:rFonts w:hint="eastAsia" w:cs="Times New Roman"/>
                <w:color w:val="auto"/>
                <w:sz w:val="21"/>
                <w:szCs w:val="21"/>
                <w:lang w:val="en-US" w:eastAsia="zh-CN"/>
              </w:rPr>
              <w:t>11</w:t>
            </w:r>
            <w:r>
              <w:rPr>
                <w:rFonts w:hint="default" w:ascii="Times New Roman" w:hAnsi="Times New Roman" w:eastAsia="宋体" w:cs="Times New Roman"/>
                <w:color w:val="auto"/>
                <w:sz w:val="21"/>
                <w:szCs w:val="21"/>
                <w:lang w:val="en-US" w:eastAsia="zh-CN"/>
              </w:rPr>
              <w:t>日</w:t>
            </w:r>
            <w:r>
              <w:rPr>
                <w:rFonts w:hint="eastAsia" w:ascii="Times New Roman" w:hAnsi="Times New Roman" w:eastAsia="宋体" w:cs="Times New Roman"/>
                <w:b w:val="0"/>
                <w:bCs w:val="0"/>
                <w:color w:val="auto"/>
                <w:kern w:val="44"/>
                <w:sz w:val="21"/>
                <w:szCs w:val="21"/>
                <w:lang w:val="en-US" w:eastAsia="zh-CN" w:bidi="ar-SA"/>
              </w:rPr>
              <w:t>，监测点位及监测数据见表3</w:t>
            </w:r>
            <w:r>
              <w:rPr>
                <w:rFonts w:hint="default" w:ascii="Times New Roman" w:hAnsi="Times New Roman" w:eastAsia="宋体" w:cs="Times New Roman"/>
                <w:b w:val="0"/>
                <w:bCs w:val="0"/>
                <w:color w:val="auto"/>
                <w:kern w:val="44"/>
                <w:sz w:val="21"/>
                <w:szCs w:val="21"/>
                <w:lang w:val="en-US" w:eastAsia="zh-CN" w:bidi="ar-SA"/>
              </w:rPr>
              <w:t>-</w:t>
            </w:r>
            <w:r>
              <w:rPr>
                <w:rFonts w:hint="eastAsia" w:ascii="Times New Roman" w:hAnsi="Times New Roman" w:eastAsia="宋体" w:cs="Times New Roman"/>
                <w:b w:val="0"/>
                <w:bCs w:val="0"/>
                <w:color w:val="auto"/>
                <w:kern w:val="44"/>
                <w:sz w:val="21"/>
                <w:szCs w:val="21"/>
                <w:lang w:val="en-US" w:eastAsia="zh-CN" w:bidi="ar-SA"/>
              </w:rPr>
              <w:t>2及表3-3</w:t>
            </w:r>
            <w:r>
              <w:rPr>
                <w:rFonts w:hint="default" w:ascii="Times New Roman" w:hAnsi="Times New Roman" w:eastAsia="宋体" w:cs="Times New Roman"/>
                <w:b w:val="0"/>
                <w:bCs w:val="0"/>
                <w:color w:val="auto"/>
                <w:kern w:val="44"/>
                <w:sz w:val="21"/>
                <w:szCs w:val="21"/>
                <w:lang w:val="en-US" w:eastAsia="zh-CN" w:bidi="ar-SA"/>
              </w:rPr>
              <w:t>。</w:t>
            </w:r>
          </w:p>
          <w:p w14:paraId="5B241AD7">
            <w:pPr>
              <w:pStyle w:val="8"/>
              <w:keepNext/>
              <w:keepLines w:val="0"/>
              <w:pageBreakBefore w:val="0"/>
              <w:widowControl/>
              <w:kinsoku/>
              <w:wordWrap/>
              <w:overflowPunct/>
              <w:topLinePunct w:val="0"/>
              <w:autoSpaceDE/>
              <w:autoSpaceDN/>
              <w:bidi w:val="0"/>
              <w:adjustRightInd/>
              <w:snapToGrid/>
              <w:spacing w:line="480" w:lineRule="exact"/>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表3-2</w:t>
            </w:r>
            <w:r>
              <w:rPr>
                <w:rFonts w:hint="eastAsia" w:ascii="Times New Roman" w:hAnsi="Times New Roman"/>
                <w:color w:val="auto"/>
                <w:sz w:val="21"/>
                <w:szCs w:val="21"/>
                <w:highlight w:val="none"/>
                <w:lang w:val="en-US" w:eastAsia="zh-CN"/>
              </w:rPr>
              <w:t xml:space="preserve"> </w:t>
            </w:r>
            <w:r>
              <w:rPr>
                <w:rFonts w:hint="eastAsia" w:ascii="Times New Roman" w:hAnsi="Times New Roman"/>
                <w:color w:val="auto"/>
                <w:sz w:val="21"/>
                <w:szCs w:val="21"/>
                <w:highlight w:val="none"/>
              </w:rPr>
              <w:t>特征</w:t>
            </w:r>
            <w:r>
              <w:rPr>
                <w:rFonts w:ascii="Times New Roman" w:hAnsi="Times New Roman"/>
                <w:color w:val="auto"/>
                <w:sz w:val="21"/>
                <w:szCs w:val="21"/>
                <w:highlight w:val="none"/>
              </w:rPr>
              <w:t>污染物补充监测点位基本信息</w:t>
            </w:r>
          </w:p>
          <w:tbl>
            <w:tblPr>
              <w:tblStyle w:val="31"/>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98"/>
              <w:gridCol w:w="1368"/>
              <w:gridCol w:w="1298"/>
              <w:gridCol w:w="1312"/>
              <w:gridCol w:w="2533"/>
            </w:tblGrid>
            <w:tr w14:paraId="149CCB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35" w:type="pct"/>
                  <w:vMerge w:val="restart"/>
                  <w:noWrap w:val="0"/>
                  <w:vAlign w:val="center"/>
                </w:tcPr>
                <w:p w14:paraId="504E5AAC">
                  <w:pPr>
                    <w:jc w:val="center"/>
                    <w:rPr>
                      <w:b/>
                      <w:color w:val="auto"/>
                      <w:sz w:val="21"/>
                      <w:szCs w:val="21"/>
                      <w:highlight w:val="none"/>
                    </w:rPr>
                  </w:pPr>
                  <w:r>
                    <w:rPr>
                      <w:b/>
                      <w:color w:val="auto"/>
                      <w:sz w:val="21"/>
                      <w:szCs w:val="21"/>
                      <w:highlight w:val="none"/>
                    </w:rPr>
                    <w:t>监测点名称</w:t>
                  </w:r>
                </w:p>
              </w:tc>
              <w:tc>
                <w:tcPr>
                  <w:tcW w:w="1664" w:type="pct"/>
                  <w:gridSpan w:val="2"/>
                  <w:noWrap w:val="0"/>
                  <w:vAlign w:val="center"/>
                </w:tcPr>
                <w:p w14:paraId="4F5865C7">
                  <w:pPr>
                    <w:jc w:val="center"/>
                    <w:rPr>
                      <w:b/>
                      <w:color w:val="auto"/>
                      <w:sz w:val="21"/>
                      <w:szCs w:val="21"/>
                      <w:highlight w:val="none"/>
                    </w:rPr>
                  </w:pPr>
                  <w:r>
                    <w:rPr>
                      <w:b/>
                      <w:color w:val="auto"/>
                      <w:sz w:val="21"/>
                      <w:szCs w:val="21"/>
                      <w:highlight w:val="none"/>
                    </w:rPr>
                    <w:t>监测点坐标</w:t>
                  </w:r>
                </w:p>
              </w:tc>
              <w:tc>
                <w:tcPr>
                  <w:tcW w:w="819" w:type="pct"/>
                  <w:vMerge w:val="restart"/>
                  <w:noWrap w:val="0"/>
                  <w:vAlign w:val="center"/>
                </w:tcPr>
                <w:p w14:paraId="6BB7D196">
                  <w:pPr>
                    <w:jc w:val="center"/>
                    <w:rPr>
                      <w:b/>
                      <w:color w:val="auto"/>
                      <w:sz w:val="21"/>
                      <w:szCs w:val="21"/>
                      <w:highlight w:val="none"/>
                    </w:rPr>
                  </w:pPr>
                  <w:r>
                    <w:rPr>
                      <w:b/>
                      <w:color w:val="auto"/>
                      <w:sz w:val="21"/>
                      <w:szCs w:val="21"/>
                      <w:highlight w:val="none"/>
                    </w:rPr>
                    <w:t>监测因子</w:t>
                  </w:r>
                </w:p>
              </w:tc>
              <w:tc>
                <w:tcPr>
                  <w:tcW w:w="1580" w:type="pct"/>
                  <w:vMerge w:val="restart"/>
                  <w:noWrap w:val="0"/>
                  <w:vAlign w:val="center"/>
                </w:tcPr>
                <w:p w14:paraId="7300ED34">
                  <w:pPr>
                    <w:jc w:val="center"/>
                    <w:rPr>
                      <w:b/>
                      <w:color w:val="auto"/>
                      <w:sz w:val="21"/>
                      <w:szCs w:val="21"/>
                      <w:highlight w:val="none"/>
                    </w:rPr>
                  </w:pPr>
                  <w:r>
                    <w:rPr>
                      <w:b/>
                      <w:color w:val="auto"/>
                      <w:sz w:val="21"/>
                      <w:szCs w:val="21"/>
                      <w:highlight w:val="none"/>
                    </w:rPr>
                    <w:t>监测时段</w:t>
                  </w:r>
                </w:p>
              </w:tc>
            </w:tr>
            <w:tr w14:paraId="4A969C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35" w:type="pct"/>
                  <w:vMerge w:val="continue"/>
                  <w:noWrap w:val="0"/>
                  <w:vAlign w:val="center"/>
                </w:tcPr>
                <w:p w14:paraId="22FBB370">
                  <w:pPr>
                    <w:jc w:val="center"/>
                    <w:rPr>
                      <w:color w:val="auto"/>
                      <w:sz w:val="21"/>
                      <w:szCs w:val="21"/>
                      <w:highlight w:val="none"/>
                    </w:rPr>
                  </w:pPr>
                </w:p>
              </w:tc>
              <w:tc>
                <w:tcPr>
                  <w:tcW w:w="854" w:type="pct"/>
                  <w:noWrap w:val="0"/>
                  <w:vAlign w:val="center"/>
                </w:tcPr>
                <w:p w14:paraId="7DEF2C45">
                  <w:pPr>
                    <w:jc w:val="center"/>
                    <w:rPr>
                      <w:color w:val="auto"/>
                      <w:sz w:val="21"/>
                      <w:szCs w:val="21"/>
                      <w:highlight w:val="none"/>
                    </w:rPr>
                  </w:pPr>
                  <w:r>
                    <w:rPr>
                      <w:color w:val="auto"/>
                      <w:sz w:val="21"/>
                      <w:szCs w:val="21"/>
                      <w:highlight w:val="none"/>
                    </w:rPr>
                    <w:t>X</w:t>
                  </w:r>
                </w:p>
              </w:tc>
              <w:tc>
                <w:tcPr>
                  <w:tcW w:w="809" w:type="pct"/>
                  <w:noWrap w:val="0"/>
                  <w:vAlign w:val="center"/>
                </w:tcPr>
                <w:p w14:paraId="38E37163">
                  <w:pPr>
                    <w:jc w:val="center"/>
                    <w:rPr>
                      <w:color w:val="auto"/>
                      <w:sz w:val="21"/>
                      <w:szCs w:val="21"/>
                      <w:highlight w:val="none"/>
                    </w:rPr>
                  </w:pPr>
                  <w:r>
                    <w:rPr>
                      <w:color w:val="auto"/>
                      <w:sz w:val="21"/>
                      <w:szCs w:val="21"/>
                      <w:highlight w:val="none"/>
                    </w:rPr>
                    <w:t>Y</w:t>
                  </w:r>
                </w:p>
              </w:tc>
              <w:tc>
                <w:tcPr>
                  <w:tcW w:w="819" w:type="pct"/>
                  <w:vMerge w:val="continue"/>
                  <w:noWrap w:val="0"/>
                  <w:vAlign w:val="center"/>
                </w:tcPr>
                <w:p w14:paraId="2E771A1A">
                  <w:pPr>
                    <w:jc w:val="center"/>
                    <w:rPr>
                      <w:color w:val="auto"/>
                      <w:sz w:val="21"/>
                      <w:szCs w:val="21"/>
                      <w:highlight w:val="none"/>
                    </w:rPr>
                  </w:pPr>
                </w:p>
              </w:tc>
              <w:tc>
                <w:tcPr>
                  <w:tcW w:w="1580" w:type="pct"/>
                  <w:vMerge w:val="continue"/>
                  <w:noWrap w:val="0"/>
                  <w:vAlign w:val="center"/>
                </w:tcPr>
                <w:p w14:paraId="486D1C89">
                  <w:pPr>
                    <w:jc w:val="center"/>
                    <w:rPr>
                      <w:color w:val="auto"/>
                      <w:sz w:val="21"/>
                      <w:szCs w:val="21"/>
                      <w:highlight w:val="none"/>
                    </w:rPr>
                  </w:pPr>
                </w:p>
              </w:tc>
            </w:tr>
            <w:tr w14:paraId="4CF2A1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35" w:type="pct"/>
                  <w:noWrap w:val="0"/>
                  <w:vAlign w:val="center"/>
                </w:tcPr>
                <w:p w14:paraId="0918E448">
                  <w:pPr>
                    <w:jc w:val="center"/>
                    <w:rPr>
                      <w:rFonts w:hint="default" w:eastAsia="宋体"/>
                      <w:color w:val="auto"/>
                      <w:kern w:val="2"/>
                      <w:sz w:val="21"/>
                      <w:szCs w:val="21"/>
                      <w:highlight w:val="none"/>
                      <w:lang w:val="en-US" w:eastAsia="zh-CN" w:bidi="ar-SA"/>
                    </w:rPr>
                  </w:pPr>
                  <w:r>
                    <w:rPr>
                      <w:rFonts w:hint="eastAsia" w:cs="Times New Roman"/>
                      <w:b w:val="0"/>
                      <w:bCs w:val="0"/>
                      <w:color w:val="auto"/>
                      <w:kern w:val="44"/>
                      <w:sz w:val="21"/>
                      <w:szCs w:val="21"/>
                      <w:lang w:val="en-US" w:eastAsia="zh-CN" w:bidi="ar-SA"/>
                    </w:rPr>
                    <w:t>项目所在地</w:t>
                  </w:r>
                </w:p>
              </w:tc>
              <w:tc>
                <w:tcPr>
                  <w:tcW w:w="1368" w:type="dxa"/>
                  <w:noWrap w:val="0"/>
                  <w:vAlign w:val="center"/>
                </w:tcPr>
                <w:p w14:paraId="567DA99D">
                  <w:pPr>
                    <w:tabs>
                      <w:tab w:val="left" w:pos="6840"/>
                    </w:tabs>
                    <w:spacing w:line="27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rPr>
                    <w:t>119.432261</w:t>
                  </w:r>
                </w:p>
              </w:tc>
              <w:tc>
                <w:tcPr>
                  <w:tcW w:w="1298" w:type="dxa"/>
                  <w:noWrap w:val="0"/>
                  <w:vAlign w:val="center"/>
                </w:tcPr>
                <w:p w14:paraId="607F4B6D">
                  <w:pPr>
                    <w:tabs>
                      <w:tab w:val="left" w:pos="6840"/>
                    </w:tabs>
                    <w:spacing w:line="27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rPr>
                    <w:t>31.738184</w:t>
                  </w:r>
                </w:p>
              </w:tc>
              <w:tc>
                <w:tcPr>
                  <w:tcW w:w="819" w:type="pct"/>
                  <w:noWrap w:val="0"/>
                  <w:vAlign w:val="center"/>
                </w:tcPr>
                <w:p w14:paraId="25C7C52F">
                  <w:pPr>
                    <w:jc w:val="center"/>
                    <w:rPr>
                      <w:color w:val="auto"/>
                      <w:kern w:val="2"/>
                      <w:sz w:val="21"/>
                      <w:szCs w:val="21"/>
                      <w:highlight w:val="none"/>
                      <w:lang w:val="en-US" w:eastAsia="zh-CN" w:bidi="ar-SA"/>
                    </w:rPr>
                  </w:pPr>
                  <w:r>
                    <w:rPr>
                      <w:color w:val="auto"/>
                      <w:spacing w:val="-16"/>
                      <w:sz w:val="21"/>
                      <w:szCs w:val="21"/>
                      <w:highlight w:val="none"/>
                    </w:rPr>
                    <w:t>非甲烷总烃</w:t>
                  </w:r>
                </w:p>
              </w:tc>
              <w:tc>
                <w:tcPr>
                  <w:tcW w:w="1580" w:type="pct"/>
                  <w:noWrap w:val="0"/>
                  <w:vAlign w:val="center"/>
                </w:tcPr>
                <w:p w14:paraId="16F989E2">
                  <w:pPr>
                    <w:jc w:val="center"/>
                    <w:rPr>
                      <w:rFonts w:hint="default" w:eastAsia="宋体"/>
                      <w:color w:val="auto"/>
                      <w:kern w:val="2"/>
                      <w:sz w:val="21"/>
                      <w:szCs w:val="21"/>
                      <w:highlight w:val="none"/>
                      <w:lang w:val="en-US" w:eastAsia="zh-CN" w:bidi="ar-SA"/>
                    </w:rPr>
                  </w:pPr>
                  <w:r>
                    <w:rPr>
                      <w:rFonts w:hint="default" w:ascii="Times New Roman" w:hAnsi="Times New Roman" w:eastAsia="宋体" w:cs="Times New Roman"/>
                      <w:bCs/>
                      <w:color w:val="auto"/>
                      <w:sz w:val="21"/>
                      <w:szCs w:val="21"/>
                    </w:rPr>
                    <w:t>202</w:t>
                  </w:r>
                  <w:r>
                    <w:rPr>
                      <w:rFonts w:hint="eastAsia" w:cs="Times New Roman"/>
                      <w:bCs/>
                      <w:color w:val="auto"/>
                      <w:sz w:val="21"/>
                      <w:szCs w:val="21"/>
                      <w:lang w:val="en-US" w:eastAsia="zh-CN"/>
                    </w:rPr>
                    <w:t>6</w:t>
                  </w:r>
                  <w:r>
                    <w:rPr>
                      <w:rFonts w:hint="default" w:ascii="Times New Roman" w:hAnsi="Times New Roman" w:eastAsia="宋体" w:cs="Times New Roman"/>
                      <w:bCs/>
                      <w:color w:val="auto"/>
                      <w:sz w:val="21"/>
                      <w:szCs w:val="21"/>
                    </w:rPr>
                    <w:t>.</w:t>
                  </w:r>
                  <w:r>
                    <w:rPr>
                      <w:rFonts w:hint="eastAsia" w:cs="Times New Roman"/>
                      <w:bCs/>
                      <w:color w:val="auto"/>
                      <w:sz w:val="21"/>
                      <w:szCs w:val="21"/>
                      <w:lang w:val="en-US" w:eastAsia="zh-CN"/>
                    </w:rPr>
                    <w:t>2</w:t>
                  </w:r>
                  <w:r>
                    <w:rPr>
                      <w:rFonts w:hint="default" w:ascii="Times New Roman" w:hAnsi="Times New Roman" w:eastAsia="宋体" w:cs="Times New Roman"/>
                      <w:bCs/>
                      <w:color w:val="auto"/>
                      <w:sz w:val="21"/>
                      <w:szCs w:val="21"/>
                    </w:rPr>
                    <w:t>.</w:t>
                  </w:r>
                  <w:r>
                    <w:rPr>
                      <w:rFonts w:hint="eastAsia" w:cs="Times New Roman"/>
                      <w:bCs/>
                      <w:color w:val="auto"/>
                      <w:sz w:val="21"/>
                      <w:szCs w:val="21"/>
                      <w:lang w:val="en-US" w:eastAsia="zh-CN"/>
                    </w:rPr>
                    <w:t>9</w:t>
                  </w:r>
                  <w:r>
                    <w:rPr>
                      <w:rFonts w:hint="default" w:ascii="Times New Roman" w:hAnsi="Times New Roman" w:eastAsia="宋体" w:cs="Times New Roman"/>
                      <w:bCs/>
                      <w:color w:val="auto"/>
                      <w:sz w:val="21"/>
                      <w:szCs w:val="21"/>
                    </w:rPr>
                    <w:t>~202</w:t>
                  </w:r>
                  <w:r>
                    <w:rPr>
                      <w:rFonts w:hint="eastAsia" w:cs="Times New Roman"/>
                      <w:bCs/>
                      <w:color w:val="auto"/>
                      <w:sz w:val="21"/>
                      <w:szCs w:val="21"/>
                      <w:lang w:val="en-US" w:eastAsia="zh-CN"/>
                    </w:rPr>
                    <w:t>6</w:t>
                  </w:r>
                  <w:r>
                    <w:rPr>
                      <w:rFonts w:hint="default" w:ascii="Times New Roman" w:hAnsi="Times New Roman" w:eastAsia="宋体" w:cs="Times New Roman"/>
                      <w:bCs/>
                      <w:color w:val="auto"/>
                      <w:sz w:val="21"/>
                      <w:szCs w:val="21"/>
                    </w:rPr>
                    <w:t>.</w:t>
                  </w:r>
                  <w:r>
                    <w:rPr>
                      <w:rFonts w:hint="eastAsia" w:cs="Times New Roman"/>
                      <w:bCs/>
                      <w:color w:val="auto"/>
                      <w:sz w:val="21"/>
                      <w:szCs w:val="21"/>
                      <w:lang w:val="en-US" w:eastAsia="zh-CN"/>
                    </w:rPr>
                    <w:t>2</w:t>
                  </w:r>
                  <w:r>
                    <w:rPr>
                      <w:rFonts w:hint="default" w:ascii="Times New Roman" w:hAnsi="Times New Roman" w:eastAsia="宋体" w:cs="Times New Roman"/>
                      <w:bCs/>
                      <w:color w:val="auto"/>
                      <w:sz w:val="21"/>
                      <w:szCs w:val="21"/>
                    </w:rPr>
                    <w:t>.</w:t>
                  </w:r>
                  <w:r>
                    <w:rPr>
                      <w:rFonts w:hint="eastAsia" w:cs="Times New Roman"/>
                      <w:bCs/>
                      <w:color w:val="auto"/>
                      <w:sz w:val="21"/>
                      <w:szCs w:val="21"/>
                      <w:lang w:val="en-US" w:eastAsia="zh-CN"/>
                    </w:rPr>
                    <w:t>11</w:t>
                  </w:r>
                </w:p>
              </w:tc>
            </w:tr>
          </w:tbl>
          <w:p w14:paraId="14C7CFBC">
            <w:pPr>
              <w:pStyle w:val="8"/>
              <w:keepNext/>
              <w:keepLines w:val="0"/>
              <w:pageBreakBefore w:val="0"/>
              <w:widowControl/>
              <w:kinsoku/>
              <w:wordWrap/>
              <w:overflowPunct/>
              <w:topLinePunct w:val="0"/>
              <w:autoSpaceDE/>
              <w:autoSpaceDN/>
              <w:bidi w:val="0"/>
              <w:adjustRightInd w:val="0"/>
              <w:snapToGrid w:val="0"/>
              <w:spacing w:before="120" w:beforeLines="50" w:line="480" w:lineRule="exact"/>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表3-3</w:t>
            </w:r>
            <w:r>
              <w:rPr>
                <w:rFonts w:hint="eastAsia" w:ascii="Times New Roman" w:hAnsi="Times New Roman"/>
                <w:color w:val="auto"/>
                <w:sz w:val="21"/>
                <w:szCs w:val="21"/>
                <w:highlight w:val="none"/>
                <w:lang w:val="en-US" w:eastAsia="zh-CN"/>
              </w:rPr>
              <w:t xml:space="preserve"> </w:t>
            </w:r>
            <w:r>
              <w:rPr>
                <w:rFonts w:hint="eastAsia" w:ascii="Times New Roman" w:hAnsi="Times New Roman"/>
                <w:color w:val="auto"/>
                <w:sz w:val="21"/>
                <w:szCs w:val="21"/>
                <w:highlight w:val="none"/>
              </w:rPr>
              <w:t>特征</w:t>
            </w:r>
            <w:r>
              <w:rPr>
                <w:rFonts w:ascii="Times New Roman" w:hAnsi="Times New Roman"/>
                <w:color w:val="auto"/>
                <w:sz w:val="21"/>
                <w:szCs w:val="21"/>
                <w:highlight w:val="none"/>
              </w:rPr>
              <w:t>污染物环境质量现状（监测结果）表</w:t>
            </w:r>
          </w:p>
          <w:tbl>
            <w:tblPr>
              <w:tblStyle w:val="31"/>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50"/>
              <w:gridCol w:w="1298"/>
              <w:gridCol w:w="1239"/>
              <w:gridCol w:w="990"/>
              <w:gridCol w:w="881"/>
              <w:gridCol w:w="1192"/>
              <w:gridCol w:w="686"/>
              <w:gridCol w:w="673"/>
            </w:tblGrid>
            <w:tr w14:paraId="1C63F3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5" w:type="pct"/>
                  <w:vMerge w:val="restart"/>
                  <w:noWrap w:val="0"/>
                  <w:vAlign w:val="center"/>
                </w:tcPr>
                <w:p w14:paraId="2986DC63">
                  <w:pPr>
                    <w:jc w:val="center"/>
                    <w:rPr>
                      <w:b/>
                      <w:color w:val="auto"/>
                      <w:sz w:val="21"/>
                      <w:szCs w:val="21"/>
                      <w:highlight w:val="none"/>
                    </w:rPr>
                  </w:pPr>
                  <w:r>
                    <w:rPr>
                      <w:b/>
                      <w:color w:val="auto"/>
                      <w:sz w:val="21"/>
                      <w:szCs w:val="21"/>
                      <w:highlight w:val="none"/>
                    </w:rPr>
                    <w:t>监测点名称</w:t>
                  </w:r>
                </w:p>
              </w:tc>
              <w:tc>
                <w:tcPr>
                  <w:tcW w:w="1583" w:type="pct"/>
                  <w:gridSpan w:val="2"/>
                  <w:noWrap w:val="0"/>
                  <w:vAlign w:val="center"/>
                </w:tcPr>
                <w:p w14:paraId="70A4942F">
                  <w:pPr>
                    <w:jc w:val="center"/>
                    <w:rPr>
                      <w:b/>
                      <w:color w:val="auto"/>
                      <w:sz w:val="21"/>
                      <w:szCs w:val="21"/>
                      <w:highlight w:val="none"/>
                    </w:rPr>
                  </w:pPr>
                  <w:r>
                    <w:rPr>
                      <w:b/>
                      <w:color w:val="auto"/>
                      <w:sz w:val="21"/>
                      <w:szCs w:val="21"/>
                      <w:highlight w:val="none"/>
                    </w:rPr>
                    <w:t>监测点坐标</w:t>
                  </w:r>
                </w:p>
              </w:tc>
              <w:tc>
                <w:tcPr>
                  <w:tcW w:w="618" w:type="pct"/>
                  <w:vMerge w:val="restart"/>
                  <w:noWrap w:val="0"/>
                  <w:vAlign w:val="center"/>
                </w:tcPr>
                <w:p w14:paraId="7088C21F">
                  <w:pPr>
                    <w:jc w:val="center"/>
                    <w:rPr>
                      <w:b/>
                      <w:color w:val="auto"/>
                      <w:sz w:val="21"/>
                      <w:szCs w:val="21"/>
                      <w:highlight w:val="none"/>
                    </w:rPr>
                  </w:pPr>
                  <w:r>
                    <w:rPr>
                      <w:b/>
                      <w:color w:val="auto"/>
                      <w:sz w:val="21"/>
                      <w:szCs w:val="21"/>
                      <w:highlight w:val="none"/>
                    </w:rPr>
                    <w:t>污染物</w:t>
                  </w:r>
                </w:p>
              </w:tc>
              <w:tc>
                <w:tcPr>
                  <w:tcW w:w="550" w:type="pct"/>
                  <w:vMerge w:val="restart"/>
                  <w:noWrap w:val="0"/>
                  <w:vAlign w:val="center"/>
                </w:tcPr>
                <w:p w14:paraId="1558AF48">
                  <w:pPr>
                    <w:jc w:val="center"/>
                    <w:rPr>
                      <w:b/>
                      <w:color w:val="auto"/>
                      <w:sz w:val="21"/>
                      <w:szCs w:val="21"/>
                      <w:highlight w:val="none"/>
                    </w:rPr>
                  </w:pPr>
                  <w:r>
                    <w:rPr>
                      <w:b/>
                      <w:color w:val="auto"/>
                      <w:sz w:val="21"/>
                      <w:szCs w:val="21"/>
                      <w:highlight w:val="none"/>
                    </w:rPr>
                    <w:t>平均时间</w:t>
                  </w:r>
                </w:p>
              </w:tc>
              <w:tc>
                <w:tcPr>
                  <w:tcW w:w="744" w:type="pct"/>
                  <w:vMerge w:val="restart"/>
                  <w:noWrap w:val="0"/>
                  <w:vAlign w:val="center"/>
                </w:tcPr>
                <w:p w14:paraId="55AB6C8A">
                  <w:pPr>
                    <w:jc w:val="center"/>
                    <w:rPr>
                      <w:b/>
                      <w:color w:val="auto"/>
                      <w:sz w:val="21"/>
                      <w:szCs w:val="21"/>
                      <w:highlight w:val="none"/>
                    </w:rPr>
                  </w:pPr>
                  <w:r>
                    <w:rPr>
                      <w:b/>
                      <w:color w:val="auto"/>
                      <w:sz w:val="21"/>
                      <w:szCs w:val="21"/>
                      <w:highlight w:val="none"/>
                    </w:rPr>
                    <w:t>监测浓度范围/μg/m</w:t>
                  </w:r>
                  <w:r>
                    <w:rPr>
                      <w:b/>
                      <w:color w:val="auto"/>
                      <w:sz w:val="21"/>
                      <w:szCs w:val="21"/>
                      <w:highlight w:val="none"/>
                      <w:vertAlign w:val="superscript"/>
                    </w:rPr>
                    <w:t>3</w:t>
                  </w:r>
                </w:p>
              </w:tc>
              <w:tc>
                <w:tcPr>
                  <w:tcW w:w="428" w:type="pct"/>
                  <w:vMerge w:val="restart"/>
                  <w:noWrap w:val="0"/>
                  <w:vAlign w:val="center"/>
                </w:tcPr>
                <w:p w14:paraId="3931B9C2">
                  <w:pPr>
                    <w:jc w:val="center"/>
                    <w:rPr>
                      <w:b/>
                      <w:color w:val="auto"/>
                      <w:sz w:val="21"/>
                      <w:szCs w:val="21"/>
                      <w:highlight w:val="none"/>
                    </w:rPr>
                  </w:pPr>
                  <w:r>
                    <w:rPr>
                      <w:b/>
                      <w:color w:val="auto"/>
                      <w:sz w:val="21"/>
                      <w:szCs w:val="21"/>
                      <w:highlight w:val="none"/>
                    </w:rPr>
                    <w:t>超标率%</w:t>
                  </w:r>
                </w:p>
              </w:tc>
              <w:tc>
                <w:tcPr>
                  <w:tcW w:w="420" w:type="pct"/>
                  <w:vMerge w:val="restart"/>
                  <w:noWrap w:val="0"/>
                  <w:vAlign w:val="center"/>
                </w:tcPr>
                <w:p w14:paraId="27E30BAD">
                  <w:pPr>
                    <w:jc w:val="center"/>
                    <w:rPr>
                      <w:b/>
                      <w:color w:val="auto"/>
                      <w:sz w:val="21"/>
                      <w:szCs w:val="21"/>
                      <w:highlight w:val="none"/>
                    </w:rPr>
                  </w:pPr>
                  <w:r>
                    <w:rPr>
                      <w:b/>
                      <w:color w:val="auto"/>
                      <w:sz w:val="21"/>
                      <w:szCs w:val="21"/>
                      <w:highlight w:val="none"/>
                    </w:rPr>
                    <w:t>达标情况</w:t>
                  </w:r>
                </w:p>
              </w:tc>
            </w:tr>
            <w:tr w14:paraId="32E63B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5" w:type="pct"/>
                  <w:vMerge w:val="continue"/>
                  <w:noWrap w:val="0"/>
                  <w:vAlign w:val="center"/>
                </w:tcPr>
                <w:p w14:paraId="12DE0201">
                  <w:pPr>
                    <w:jc w:val="center"/>
                    <w:rPr>
                      <w:color w:val="auto"/>
                      <w:sz w:val="21"/>
                      <w:szCs w:val="21"/>
                      <w:highlight w:val="none"/>
                    </w:rPr>
                  </w:pPr>
                </w:p>
              </w:tc>
              <w:tc>
                <w:tcPr>
                  <w:tcW w:w="810" w:type="pct"/>
                  <w:noWrap w:val="0"/>
                  <w:vAlign w:val="center"/>
                </w:tcPr>
                <w:p w14:paraId="057079FD">
                  <w:pPr>
                    <w:jc w:val="center"/>
                    <w:rPr>
                      <w:color w:val="auto"/>
                      <w:sz w:val="21"/>
                      <w:szCs w:val="21"/>
                      <w:highlight w:val="none"/>
                    </w:rPr>
                  </w:pPr>
                  <w:r>
                    <w:rPr>
                      <w:color w:val="auto"/>
                      <w:sz w:val="21"/>
                      <w:szCs w:val="21"/>
                      <w:highlight w:val="none"/>
                    </w:rPr>
                    <w:t>X</w:t>
                  </w:r>
                </w:p>
              </w:tc>
              <w:tc>
                <w:tcPr>
                  <w:tcW w:w="772" w:type="pct"/>
                  <w:noWrap w:val="0"/>
                  <w:vAlign w:val="center"/>
                </w:tcPr>
                <w:p w14:paraId="188B8E10">
                  <w:pPr>
                    <w:jc w:val="center"/>
                    <w:rPr>
                      <w:color w:val="auto"/>
                      <w:sz w:val="21"/>
                      <w:szCs w:val="21"/>
                      <w:highlight w:val="none"/>
                    </w:rPr>
                  </w:pPr>
                  <w:r>
                    <w:rPr>
                      <w:color w:val="auto"/>
                      <w:sz w:val="21"/>
                      <w:szCs w:val="21"/>
                      <w:highlight w:val="none"/>
                    </w:rPr>
                    <w:t>Y</w:t>
                  </w:r>
                </w:p>
              </w:tc>
              <w:tc>
                <w:tcPr>
                  <w:tcW w:w="618" w:type="pct"/>
                  <w:vMerge w:val="continue"/>
                  <w:noWrap w:val="0"/>
                  <w:vAlign w:val="center"/>
                </w:tcPr>
                <w:p w14:paraId="6D2C780B">
                  <w:pPr>
                    <w:jc w:val="center"/>
                    <w:rPr>
                      <w:color w:val="auto"/>
                      <w:sz w:val="21"/>
                      <w:szCs w:val="21"/>
                      <w:highlight w:val="none"/>
                    </w:rPr>
                  </w:pPr>
                </w:p>
              </w:tc>
              <w:tc>
                <w:tcPr>
                  <w:tcW w:w="550" w:type="pct"/>
                  <w:vMerge w:val="continue"/>
                  <w:noWrap w:val="0"/>
                  <w:vAlign w:val="center"/>
                </w:tcPr>
                <w:p w14:paraId="3C425C0B">
                  <w:pPr>
                    <w:jc w:val="center"/>
                    <w:rPr>
                      <w:color w:val="auto"/>
                      <w:sz w:val="21"/>
                      <w:szCs w:val="21"/>
                      <w:highlight w:val="none"/>
                    </w:rPr>
                  </w:pPr>
                </w:p>
              </w:tc>
              <w:tc>
                <w:tcPr>
                  <w:tcW w:w="744" w:type="pct"/>
                  <w:vMerge w:val="continue"/>
                  <w:noWrap w:val="0"/>
                  <w:vAlign w:val="center"/>
                </w:tcPr>
                <w:p w14:paraId="5248DAFC">
                  <w:pPr>
                    <w:jc w:val="center"/>
                    <w:rPr>
                      <w:color w:val="auto"/>
                      <w:sz w:val="21"/>
                      <w:szCs w:val="21"/>
                      <w:highlight w:val="none"/>
                    </w:rPr>
                  </w:pPr>
                </w:p>
              </w:tc>
              <w:tc>
                <w:tcPr>
                  <w:tcW w:w="428" w:type="pct"/>
                  <w:vMerge w:val="continue"/>
                  <w:noWrap w:val="0"/>
                  <w:vAlign w:val="center"/>
                </w:tcPr>
                <w:p w14:paraId="66B59B95">
                  <w:pPr>
                    <w:jc w:val="center"/>
                    <w:rPr>
                      <w:color w:val="auto"/>
                      <w:sz w:val="21"/>
                      <w:szCs w:val="21"/>
                      <w:highlight w:val="none"/>
                    </w:rPr>
                  </w:pPr>
                </w:p>
              </w:tc>
              <w:tc>
                <w:tcPr>
                  <w:tcW w:w="420" w:type="pct"/>
                  <w:vMerge w:val="continue"/>
                  <w:noWrap w:val="0"/>
                  <w:vAlign w:val="center"/>
                </w:tcPr>
                <w:p w14:paraId="5178EDC3">
                  <w:pPr>
                    <w:jc w:val="center"/>
                    <w:rPr>
                      <w:color w:val="auto"/>
                      <w:sz w:val="21"/>
                      <w:szCs w:val="21"/>
                      <w:highlight w:val="none"/>
                    </w:rPr>
                  </w:pPr>
                </w:p>
              </w:tc>
            </w:tr>
            <w:tr w14:paraId="540DBA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5" w:type="pct"/>
                  <w:noWrap w:val="0"/>
                  <w:vAlign w:val="center"/>
                </w:tcPr>
                <w:p w14:paraId="7803F4DE">
                  <w:pPr>
                    <w:jc w:val="center"/>
                    <w:rPr>
                      <w:rFonts w:hint="default" w:eastAsia="宋体"/>
                      <w:color w:val="auto"/>
                      <w:kern w:val="2"/>
                      <w:sz w:val="21"/>
                      <w:szCs w:val="21"/>
                      <w:highlight w:val="none"/>
                      <w:lang w:val="en-US" w:eastAsia="zh-CN" w:bidi="ar-SA"/>
                    </w:rPr>
                  </w:pPr>
                  <w:r>
                    <w:rPr>
                      <w:rFonts w:hint="eastAsia" w:cs="Times New Roman"/>
                      <w:b w:val="0"/>
                      <w:bCs w:val="0"/>
                      <w:color w:val="auto"/>
                      <w:kern w:val="44"/>
                      <w:sz w:val="21"/>
                      <w:szCs w:val="21"/>
                      <w:lang w:val="en-US" w:eastAsia="zh-CN" w:bidi="ar-SA"/>
                    </w:rPr>
                    <w:t>项目所在地</w:t>
                  </w:r>
                </w:p>
              </w:tc>
              <w:tc>
                <w:tcPr>
                  <w:tcW w:w="1298" w:type="dxa"/>
                  <w:noWrap w:val="0"/>
                  <w:vAlign w:val="center"/>
                </w:tcPr>
                <w:p w14:paraId="2503C70B">
                  <w:pPr>
                    <w:tabs>
                      <w:tab w:val="left" w:pos="6840"/>
                    </w:tabs>
                    <w:spacing w:line="27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rPr>
                    <w:t>119.432261</w:t>
                  </w:r>
                </w:p>
              </w:tc>
              <w:tc>
                <w:tcPr>
                  <w:tcW w:w="1239" w:type="dxa"/>
                  <w:noWrap w:val="0"/>
                  <w:vAlign w:val="center"/>
                </w:tcPr>
                <w:p w14:paraId="135E35A2">
                  <w:pPr>
                    <w:tabs>
                      <w:tab w:val="left" w:pos="6840"/>
                    </w:tabs>
                    <w:spacing w:line="27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rPr>
                    <w:t>31.738184</w:t>
                  </w:r>
                </w:p>
              </w:tc>
              <w:tc>
                <w:tcPr>
                  <w:tcW w:w="618" w:type="pct"/>
                  <w:noWrap w:val="0"/>
                  <w:vAlign w:val="center"/>
                </w:tcPr>
                <w:p w14:paraId="7FEAFCB0">
                  <w:pPr>
                    <w:jc w:val="center"/>
                    <w:rPr>
                      <w:color w:val="auto"/>
                      <w:sz w:val="21"/>
                      <w:szCs w:val="21"/>
                      <w:highlight w:val="none"/>
                    </w:rPr>
                  </w:pPr>
                  <w:r>
                    <w:rPr>
                      <w:rFonts w:hint="eastAsia" w:ascii="宋体" w:hAnsi="宋体"/>
                      <w:color w:val="auto"/>
                      <w:sz w:val="21"/>
                      <w:szCs w:val="21"/>
                      <w:highlight w:val="none"/>
                    </w:rPr>
                    <w:t>非甲烷总烃</w:t>
                  </w:r>
                </w:p>
              </w:tc>
              <w:tc>
                <w:tcPr>
                  <w:tcW w:w="550" w:type="pct"/>
                  <w:noWrap w:val="0"/>
                  <w:vAlign w:val="center"/>
                </w:tcPr>
                <w:p w14:paraId="5E44FF6E">
                  <w:pPr>
                    <w:spacing w:before="48" w:beforeLines="20" w:after="48" w:afterLines="20"/>
                    <w:jc w:val="center"/>
                    <w:rPr>
                      <w:color w:val="auto"/>
                      <w:sz w:val="21"/>
                      <w:szCs w:val="21"/>
                      <w:highlight w:val="none"/>
                    </w:rPr>
                  </w:pPr>
                  <w:r>
                    <w:rPr>
                      <w:color w:val="auto"/>
                      <w:sz w:val="21"/>
                      <w:szCs w:val="21"/>
                      <w:highlight w:val="none"/>
                    </w:rPr>
                    <w:t>1小时平均</w:t>
                  </w:r>
                </w:p>
              </w:tc>
              <w:tc>
                <w:tcPr>
                  <w:tcW w:w="744" w:type="pct"/>
                  <w:noWrap w:val="0"/>
                  <w:vAlign w:val="center"/>
                </w:tcPr>
                <w:p w14:paraId="3CF900BE">
                  <w:pPr>
                    <w:spacing w:before="48" w:beforeLines="20" w:after="48" w:afterLines="20"/>
                    <w:jc w:val="center"/>
                    <w:rPr>
                      <w:rFonts w:hint="default"/>
                      <w:color w:val="auto"/>
                      <w:kern w:val="2"/>
                      <w:sz w:val="21"/>
                      <w:szCs w:val="21"/>
                      <w:highlight w:val="none"/>
                      <w:lang w:val="en-US" w:eastAsia="zh-CN" w:bidi="ar-SA"/>
                    </w:rPr>
                  </w:pPr>
                  <w:r>
                    <w:rPr>
                      <w:rFonts w:hint="eastAsia" w:cs="Times New Roman"/>
                      <w:color w:val="auto"/>
                      <w:sz w:val="21"/>
                      <w:szCs w:val="21"/>
                      <w:highlight w:val="none"/>
                      <w:lang w:val="en-US" w:eastAsia="zh-CN"/>
                    </w:rPr>
                    <w:t>48</w:t>
                  </w:r>
                  <w:r>
                    <w:rPr>
                      <w:rFonts w:hint="eastAsia" w:ascii="Times New Roman" w:hAnsi="Times New Roman" w:cs="Times New Roman"/>
                      <w:color w:val="auto"/>
                      <w:sz w:val="21"/>
                      <w:szCs w:val="21"/>
                      <w:highlight w:val="none"/>
                      <w:lang w:val="en-US" w:eastAsia="zh-CN"/>
                    </w:rPr>
                    <w:t>0</w:t>
                  </w:r>
                  <w:r>
                    <w:rPr>
                      <w:rFonts w:hint="default" w:ascii="Times New Roman" w:hAnsi="Times New Roman" w:eastAsia="宋体" w:cs="Times New Roman"/>
                      <w:bCs/>
                      <w:color w:val="auto"/>
                      <w:sz w:val="21"/>
                      <w:szCs w:val="21"/>
                    </w:rPr>
                    <w:t>~</w:t>
                  </w:r>
                  <w:r>
                    <w:rPr>
                      <w:rFonts w:hint="eastAsia" w:cs="Times New Roman"/>
                      <w:color w:val="auto"/>
                      <w:sz w:val="21"/>
                      <w:szCs w:val="21"/>
                      <w:highlight w:val="none"/>
                      <w:lang w:val="en-US" w:eastAsia="zh-CN"/>
                    </w:rPr>
                    <w:t>61</w:t>
                  </w:r>
                  <w:r>
                    <w:rPr>
                      <w:rFonts w:hint="eastAsia" w:ascii="Times New Roman" w:hAnsi="Times New Roman" w:cs="Times New Roman"/>
                      <w:color w:val="auto"/>
                      <w:sz w:val="21"/>
                      <w:szCs w:val="21"/>
                      <w:highlight w:val="none"/>
                      <w:lang w:val="en-US" w:eastAsia="zh-CN"/>
                    </w:rPr>
                    <w:t>0</w:t>
                  </w:r>
                </w:p>
              </w:tc>
              <w:tc>
                <w:tcPr>
                  <w:tcW w:w="428" w:type="pct"/>
                  <w:noWrap w:val="0"/>
                  <w:vAlign w:val="center"/>
                </w:tcPr>
                <w:p w14:paraId="4ADB61D6">
                  <w:pPr>
                    <w:jc w:val="center"/>
                    <w:rPr>
                      <w:color w:val="auto"/>
                      <w:kern w:val="2"/>
                      <w:sz w:val="21"/>
                      <w:szCs w:val="21"/>
                      <w:highlight w:val="none"/>
                      <w:lang w:val="en-US" w:eastAsia="zh-CN" w:bidi="ar-SA"/>
                    </w:rPr>
                  </w:pPr>
                  <w:r>
                    <w:rPr>
                      <w:color w:val="auto"/>
                      <w:sz w:val="21"/>
                      <w:szCs w:val="21"/>
                      <w:highlight w:val="none"/>
                    </w:rPr>
                    <w:t>0</w:t>
                  </w:r>
                </w:p>
              </w:tc>
              <w:tc>
                <w:tcPr>
                  <w:tcW w:w="420" w:type="pct"/>
                  <w:noWrap w:val="0"/>
                  <w:vAlign w:val="center"/>
                </w:tcPr>
                <w:p w14:paraId="3B313C02">
                  <w:pPr>
                    <w:jc w:val="center"/>
                    <w:rPr>
                      <w:color w:val="auto"/>
                      <w:sz w:val="21"/>
                      <w:szCs w:val="21"/>
                      <w:highlight w:val="none"/>
                    </w:rPr>
                  </w:pPr>
                  <w:r>
                    <w:rPr>
                      <w:color w:val="auto"/>
                      <w:sz w:val="21"/>
                      <w:szCs w:val="21"/>
                      <w:highlight w:val="none"/>
                    </w:rPr>
                    <w:t>达标</w:t>
                  </w:r>
                </w:p>
              </w:tc>
            </w:tr>
          </w:tbl>
          <w:p w14:paraId="0F09A6F4">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highlight w:val="none"/>
              </w:rPr>
              <w:t>根据上表现状监测结</w:t>
            </w:r>
            <w:r>
              <w:rPr>
                <w:rFonts w:hint="default" w:ascii="Times New Roman" w:hAnsi="Times New Roman" w:eastAsia="宋体" w:cs="Times New Roman"/>
                <w:bCs/>
                <w:color w:val="auto"/>
                <w:sz w:val="21"/>
                <w:szCs w:val="21"/>
                <w:highlight w:val="none"/>
                <w:lang w:val="en-US" w:eastAsia="zh-CN"/>
              </w:rPr>
              <w:t>果可以看出，特征因子非甲烷总烃符合</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大气污染物综合排放标准详解</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标准</w:t>
            </w:r>
            <w:r>
              <w:rPr>
                <w:rFonts w:hint="default" w:ascii="Times New Roman" w:hAnsi="Times New Roman" w:eastAsia="宋体" w:cs="Times New Roman"/>
                <w:color w:val="auto"/>
                <w:sz w:val="21"/>
                <w:szCs w:val="21"/>
                <w:lang w:val="en-US" w:eastAsia="zh-CN"/>
              </w:rPr>
              <w:t>，满足项目所在地区的环境功能区划要求。</w:t>
            </w:r>
          </w:p>
          <w:p w14:paraId="6B2701D8">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2、地表水现状</w:t>
            </w:r>
          </w:p>
          <w:p w14:paraId="0C4A2C87">
            <w:pPr>
              <w:pStyle w:val="29"/>
              <w:keepNext w:val="0"/>
              <w:keepLines w:val="0"/>
              <w:pageBreakBefore w:val="0"/>
              <w:widowControl w:val="0"/>
              <w:numPr>
                <w:ilvl w:val="0"/>
                <w:numId w:val="7"/>
              </w:numPr>
              <w:kinsoku/>
              <w:wordWrap/>
              <w:overflowPunct/>
              <w:topLinePunct w:val="0"/>
              <w:autoSpaceDE w:val="0"/>
              <w:autoSpaceDN w:val="0"/>
              <w:bidi w:val="0"/>
              <w:adjustRightInd w:val="0"/>
              <w:snapToGrid/>
              <w:spacing w:line="480" w:lineRule="exact"/>
              <w:ind w:left="0" w:right="0" w:firstLine="420" w:firstLineChars="200"/>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区域地表水环境质量达标现状</w:t>
            </w:r>
          </w:p>
          <w:p w14:paraId="79D1BA86">
            <w:pPr>
              <w:keepNext w:val="0"/>
              <w:keepLines w:val="0"/>
              <w:pageBreakBefore w:val="0"/>
              <w:widowControl w:val="0"/>
              <w:kinsoku/>
              <w:wordWrap/>
              <w:overflowPunct/>
              <w:topLinePunct/>
              <w:autoSpaceDE/>
              <w:autoSpaceDN/>
              <w:bidi w:val="0"/>
              <w:adjustRightInd w:val="0"/>
              <w:snapToGrid w:val="0"/>
              <w:spacing w:line="480" w:lineRule="exact"/>
              <w:ind w:firstLine="420" w:firstLineChars="200"/>
              <w:jc w:val="both"/>
              <w:textAlignment w:val="auto"/>
              <w:rPr>
                <w:rFonts w:hint="eastAsia"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根据《</w:t>
            </w:r>
            <w:r>
              <w:rPr>
                <w:rFonts w:hint="eastAsia" w:ascii="Times New Roman" w:hAnsi="Times New Roman" w:eastAsia="宋体" w:cs="Times New Roman"/>
                <w:b w:val="0"/>
                <w:bCs/>
                <w:color w:val="auto"/>
                <w:kern w:val="0"/>
                <w:sz w:val="21"/>
                <w:szCs w:val="21"/>
                <w:lang w:val="en-US" w:eastAsia="zh-CN" w:bidi="ar-SA"/>
              </w:rPr>
              <w:t>2024年常州市生态环境状况公报</w:t>
            </w:r>
            <w:r>
              <w:rPr>
                <w:rFonts w:hint="default" w:ascii="Times New Roman" w:hAnsi="Times New Roman" w:eastAsia="宋体" w:cs="Times New Roman"/>
                <w:b w:val="0"/>
                <w:bCs/>
                <w:color w:val="auto"/>
                <w:kern w:val="0"/>
                <w:sz w:val="21"/>
                <w:szCs w:val="21"/>
                <w:lang w:val="en-US" w:eastAsia="zh-CN" w:bidi="ar-SA"/>
              </w:rPr>
              <w:t>》，202</w:t>
            </w:r>
            <w:r>
              <w:rPr>
                <w:rFonts w:hint="eastAsia" w:ascii="Times New Roman" w:hAnsi="Times New Roman" w:eastAsia="宋体" w:cs="Times New Roman"/>
                <w:b w:val="0"/>
                <w:bCs/>
                <w:color w:val="auto"/>
                <w:kern w:val="0"/>
                <w:sz w:val="21"/>
                <w:szCs w:val="21"/>
                <w:lang w:val="en-US" w:eastAsia="zh-CN" w:bidi="ar-SA"/>
              </w:rPr>
              <w:t>4</w:t>
            </w:r>
            <w:r>
              <w:rPr>
                <w:rFonts w:hint="default" w:ascii="Times New Roman" w:hAnsi="Times New Roman" w:eastAsia="宋体" w:cs="Times New Roman"/>
                <w:b w:val="0"/>
                <w:bCs/>
                <w:color w:val="auto"/>
                <w:kern w:val="0"/>
                <w:sz w:val="21"/>
                <w:szCs w:val="21"/>
                <w:lang w:val="en-US" w:eastAsia="zh-CN" w:bidi="ar-SA"/>
              </w:rPr>
              <w:t>年，</w:t>
            </w:r>
            <w:r>
              <w:rPr>
                <w:rFonts w:hint="eastAsia" w:ascii="Times New Roman" w:hAnsi="Times New Roman" w:eastAsia="宋体" w:cs="Times New Roman"/>
                <w:b w:val="0"/>
                <w:bCs/>
                <w:color w:val="auto"/>
                <w:kern w:val="0"/>
                <w:sz w:val="21"/>
                <w:szCs w:val="21"/>
                <w:lang w:val="en-US" w:eastAsia="zh-CN" w:bidi="ar-SA"/>
              </w:rPr>
              <w:t>常州市纳入“十四五”国家地表水环境质量考</w:t>
            </w:r>
            <w:r>
              <w:rPr>
                <w:rFonts w:hint="default" w:ascii="Times New Roman" w:hAnsi="Times New Roman" w:eastAsia="宋体" w:cs="Times New Roman"/>
                <w:b w:val="0"/>
                <w:bCs/>
                <w:color w:val="auto"/>
                <w:kern w:val="0"/>
                <w:sz w:val="21"/>
                <w:szCs w:val="21"/>
                <w:lang w:val="en-US" w:eastAsia="zh-CN" w:bidi="ar-SA"/>
              </w:rPr>
              <w:t>核的20个断</w:t>
            </w:r>
            <w:r>
              <w:rPr>
                <w:rFonts w:hint="eastAsia" w:ascii="Times New Roman" w:hAnsi="Times New Roman" w:eastAsia="宋体" w:cs="Times New Roman"/>
                <w:b w:val="0"/>
                <w:bCs/>
                <w:color w:val="auto"/>
                <w:kern w:val="0"/>
                <w:sz w:val="21"/>
                <w:szCs w:val="21"/>
                <w:lang w:val="en-US" w:eastAsia="zh-CN" w:bidi="ar-SA"/>
              </w:rPr>
              <w:t>面中，年均水质达到或好于《地表水环境质量标准</w:t>
            </w:r>
            <w:r>
              <w:rPr>
                <w:rFonts w:hint="default" w:ascii="Times New Roman" w:hAnsi="Times New Roman" w:eastAsia="宋体" w:cs="Times New Roman"/>
                <w:b w:val="0"/>
                <w:bCs/>
                <w:color w:val="auto"/>
                <w:kern w:val="0"/>
                <w:sz w:val="21"/>
                <w:szCs w:val="21"/>
                <w:lang w:val="en-US" w:eastAsia="zh-CN" w:bidi="ar-SA"/>
              </w:rPr>
              <w:t>》（GB 3838-2002）</w:t>
            </w:r>
            <w:r>
              <w:rPr>
                <w:rFonts w:hint="eastAsia" w:cs="Times New Roman"/>
                <w:b w:val="0"/>
                <w:bCs/>
                <w:color w:val="auto"/>
                <w:kern w:val="0"/>
                <w:sz w:val="21"/>
                <w:szCs w:val="21"/>
                <w:lang w:val="en-US" w:eastAsia="zh-CN" w:bidi="ar-SA"/>
              </w:rPr>
              <w:t>Ⅲ类</w:t>
            </w:r>
            <w:r>
              <w:rPr>
                <w:rFonts w:hint="default" w:ascii="Times New Roman" w:hAnsi="Times New Roman" w:eastAsia="宋体" w:cs="Times New Roman"/>
                <w:b w:val="0"/>
                <w:bCs/>
                <w:color w:val="auto"/>
                <w:kern w:val="0"/>
                <w:sz w:val="21"/>
                <w:szCs w:val="21"/>
                <w:lang w:val="en-US" w:eastAsia="zh-CN" w:bidi="ar-SA"/>
              </w:rPr>
              <w:t>标准的断面比例为85%，无劣V</w:t>
            </w:r>
            <w:r>
              <w:rPr>
                <w:rFonts w:hint="eastAsia" w:ascii="Times New Roman" w:hAnsi="Times New Roman" w:eastAsia="宋体" w:cs="Times New Roman"/>
                <w:b w:val="0"/>
                <w:bCs/>
                <w:color w:val="auto"/>
                <w:kern w:val="0"/>
                <w:sz w:val="21"/>
                <w:szCs w:val="21"/>
                <w:lang w:val="en-US" w:eastAsia="zh-CN" w:bidi="ar-SA"/>
              </w:rPr>
              <w:t>类断面。纳入江苏省“十四五”</w:t>
            </w:r>
            <w:r>
              <w:rPr>
                <w:rFonts w:hint="default" w:ascii="Times New Roman" w:hAnsi="Times New Roman" w:eastAsia="宋体" w:cs="Times New Roman"/>
                <w:b w:val="0"/>
                <w:bCs/>
                <w:color w:val="auto"/>
                <w:kern w:val="0"/>
                <w:sz w:val="21"/>
                <w:szCs w:val="21"/>
                <w:lang w:val="en-US" w:eastAsia="zh-CN" w:bidi="ar-SA"/>
              </w:rPr>
              <w:t>水环境质量目标考核51个断面，年均水质达到或好于</w:t>
            </w:r>
            <w:r>
              <w:rPr>
                <w:rFonts w:hint="eastAsia" w:cs="Times New Roman"/>
                <w:b w:val="0"/>
                <w:bCs/>
                <w:color w:val="auto"/>
                <w:kern w:val="0"/>
                <w:sz w:val="21"/>
                <w:szCs w:val="21"/>
                <w:lang w:val="en-US" w:eastAsia="zh-CN" w:bidi="ar-SA"/>
              </w:rPr>
              <w:t>Ⅲ类</w:t>
            </w:r>
            <w:r>
              <w:rPr>
                <w:rFonts w:hint="default" w:ascii="Times New Roman" w:hAnsi="Times New Roman" w:eastAsia="宋体" w:cs="Times New Roman"/>
                <w:b w:val="0"/>
                <w:bCs/>
                <w:color w:val="auto"/>
                <w:kern w:val="0"/>
                <w:sz w:val="21"/>
                <w:szCs w:val="21"/>
                <w:lang w:val="en-US" w:eastAsia="zh-CN" w:bidi="ar-SA"/>
              </w:rPr>
              <w:t>的比例为94.1%，无劣V类断面。</w:t>
            </w:r>
          </w:p>
          <w:p w14:paraId="1F886BC7">
            <w:pPr>
              <w:keepNext w:val="0"/>
              <w:keepLines w:val="0"/>
              <w:pageBreakBefore w:val="0"/>
              <w:widowControl w:val="0"/>
              <w:numPr>
                <w:ilvl w:val="0"/>
                <w:numId w:val="7"/>
              </w:numPr>
              <w:kinsoku/>
              <w:wordWrap/>
              <w:overflowPunct/>
              <w:topLinePunct w:val="0"/>
              <w:bidi w:val="0"/>
              <w:spacing w:line="500" w:lineRule="exact"/>
              <w:ind w:left="0" w:leftChars="0" w:firstLine="420" w:firstLineChars="200"/>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补充监测</w:t>
            </w:r>
          </w:p>
          <w:p w14:paraId="5C577668">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本项目</w:t>
            </w:r>
            <w:r>
              <w:rPr>
                <w:rFonts w:hint="default" w:ascii="Times New Roman" w:hAnsi="Times New Roman" w:eastAsia="宋体" w:cs="Times New Roman"/>
                <w:color w:val="auto"/>
                <w:sz w:val="21"/>
                <w:szCs w:val="21"/>
                <w:highlight w:val="none"/>
              </w:rPr>
              <w:t>纳</w:t>
            </w:r>
            <w:r>
              <w:rPr>
                <w:rFonts w:hint="eastAsia" w:ascii="Times New Roman" w:hAnsi="Times New Roman" w:eastAsia="宋体" w:cs="Times New Roman"/>
                <w:color w:val="auto"/>
                <w:sz w:val="21"/>
                <w:szCs w:val="21"/>
                <w:highlight w:val="none"/>
                <w:lang w:val="en-US" w:eastAsia="zh-CN"/>
              </w:rPr>
              <w:t>污</w:t>
            </w:r>
            <w:r>
              <w:rPr>
                <w:rFonts w:hint="default" w:ascii="Times New Roman" w:hAnsi="Times New Roman" w:eastAsia="宋体" w:cs="Times New Roman"/>
                <w:color w:val="auto"/>
                <w:sz w:val="21"/>
                <w:szCs w:val="21"/>
                <w:highlight w:val="none"/>
              </w:rPr>
              <w:t>水体</w:t>
            </w:r>
            <w:r>
              <w:rPr>
                <w:rFonts w:hint="default" w:ascii="Times New Roman" w:hAnsi="Times New Roman" w:eastAsia="宋体" w:cs="Times New Roman"/>
                <w:color w:val="auto"/>
                <w:sz w:val="21"/>
                <w:szCs w:val="21"/>
                <w:highlight w:val="none"/>
                <w:lang w:val="en-US" w:eastAsia="zh-CN"/>
              </w:rPr>
              <w:t>为</w:t>
            </w:r>
            <w:r>
              <w:rPr>
                <w:rFonts w:hint="eastAsia" w:cs="Times New Roman"/>
                <w:color w:val="auto"/>
                <w:sz w:val="21"/>
                <w:szCs w:val="21"/>
                <w:highlight w:val="none"/>
                <w:lang w:val="en-US" w:eastAsia="zh-CN"/>
              </w:rPr>
              <w:t>通济河</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引用</w:t>
            </w:r>
            <w:r>
              <w:rPr>
                <w:rFonts w:hint="eastAsia" w:cs="Times New Roman"/>
                <w:color w:val="auto"/>
                <w:sz w:val="21"/>
                <w:szCs w:val="21"/>
                <w:highlight w:val="none"/>
                <w:lang w:val="en-US" w:eastAsia="zh-CN"/>
              </w:rPr>
              <w:t>江苏云居检测技术有限公司</w:t>
            </w:r>
            <w:r>
              <w:rPr>
                <w:rFonts w:hint="default" w:ascii="Times New Roman" w:hAnsi="Times New Roman" w:eastAsia="宋体" w:cs="Times New Roman"/>
                <w:color w:val="auto"/>
                <w:sz w:val="21"/>
                <w:szCs w:val="21"/>
                <w:highlight w:val="none"/>
              </w:rPr>
              <w:t>在</w:t>
            </w:r>
            <w:r>
              <w:rPr>
                <w:rFonts w:hint="eastAsia" w:cs="Times New Roman"/>
                <w:color w:val="auto"/>
                <w:sz w:val="21"/>
                <w:szCs w:val="21"/>
                <w:highlight w:val="none"/>
                <w:lang w:eastAsia="zh-CN"/>
              </w:rPr>
              <w:t>常州市金坛区溪城污水处理有限公司</w:t>
            </w:r>
            <w:r>
              <w:rPr>
                <w:rFonts w:hint="eastAsia" w:ascii="Times New Roman" w:hAnsi="Times New Roman" w:eastAsia="宋体" w:cs="Times New Roman"/>
                <w:color w:val="auto"/>
                <w:sz w:val="21"/>
                <w:szCs w:val="21"/>
                <w:highlight w:val="none"/>
              </w:rPr>
              <w:t>排口</w:t>
            </w:r>
            <w:r>
              <w:rPr>
                <w:rFonts w:hint="default" w:ascii="Times New Roman" w:hAnsi="Times New Roman" w:eastAsia="宋体" w:cs="Times New Roman"/>
                <w:color w:val="auto"/>
                <w:sz w:val="21"/>
                <w:szCs w:val="21"/>
                <w:highlight w:val="none"/>
              </w:rPr>
              <w:t>上游500米处和下游</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00米处</w:t>
            </w:r>
            <w:r>
              <w:rPr>
                <w:rFonts w:hint="eastAsia" w:ascii="Times New Roman" w:hAnsi="Times New Roman" w:eastAsia="宋体" w:cs="Times New Roman"/>
                <w:color w:val="auto"/>
                <w:sz w:val="21"/>
                <w:szCs w:val="21"/>
                <w:highlight w:val="none"/>
              </w:rPr>
              <w:t>的历史数据</w:t>
            </w:r>
            <w:r>
              <w:rPr>
                <w:rFonts w:hint="default" w:ascii="Times New Roman" w:hAnsi="Times New Roman" w:eastAsia="宋体" w:cs="Times New Roman"/>
                <w:color w:val="auto"/>
                <w:sz w:val="21"/>
                <w:szCs w:val="21"/>
                <w:highlight w:val="none"/>
              </w:rPr>
              <w:t>，采样时间为</w:t>
            </w:r>
            <w:r>
              <w:rPr>
                <w:rFonts w:hint="default" w:ascii="Times New Roman" w:hAnsi="Times New Roman" w:eastAsia="宋体" w:cs="Times New Roman"/>
                <w:color w:val="auto"/>
                <w:sz w:val="21"/>
                <w:szCs w:val="21"/>
                <w:highlight w:val="none"/>
                <w:lang w:val="en-US" w:eastAsia="zh-CN"/>
              </w:rPr>
              <w:t>2025年</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月</w:t>
            </w:r>
            <w:r>
              <w:rPr>
                <w:rFonts w:hint="eastAsia"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lang w:val="en-US" w:eastAsia="zh-CN"/>
              </w:rPr>
              <w:t>日~2025年</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月</w:t>
            </w:r>
            <w:r>
              <w:rPr>
                <w:rFonts w:hint="eastAsia" w:cs="Times New Roman"/>
                <w:color w:val="auto"/>
                <w:sz w:val="21"/>
                <w:szCs w:val="21"/>
                <w:highlight w:val="none"/>
                <w:lang w:val="en-US" w:eastAsia="zh-CN"/>
              </w:rPr>
              <w:t>26</w:t>
            </w:r>
            <w:r>
              <w:rPr>
                <w:rFonts w:hint="default" w:ascii="Times New Roman" w:hAnsi="Times New Roman" w:eastAsia="宋体" w:cs="Times New Roman"/>
                <w:color w:val="auto"/>
                <w:sz w:val="21"/>
                <w:szCs w:val="21"/>
                <w:highlight w:val="none"/>
                <w:lang w:val="en-US" w:eastAsia="zh-CN"/>
              </w:rPr>
              <w:t>日</w:t>
            </w:r>
            <w:r>
              <w:rPr>
                <w:rFonts w:hint="default" w:ascii="Times New Roman" w:hAnsi="Times New Roman" w:eastAsia="宋体" w:cs="Times New Roman"/>
                <w:color w:val="auto"/>
                <w:sz w:val="21"/>
                <w:szCs w:val="21"/>
                <w:highlight w:val="none"/>
              </w:rPr>
              <w:t>，检测报告编号“</w:t>
            </w:r>
            <w:r>
              <w:rPr>
                <w:rFonts w:hint="default" w:ascii="Times New Roman" w:hAnsi="Times New Roman" w:eastAsia="宋体" w:cs="Times New Roman"/>
                <w:color w:val="auto"/>
                <w:sz w:val="21"/>
                <w:szCs w:val="21"/>
                <w:highlight w:val="none"/>
                <w:lang w:val="en-US" w:eastAsia="zh-CN"/>
              </w:rPr>
              <w:t>YJ</w:t>
            </w:r>
            <w:r>
              <w:rPr>
                <w:rFonts w:hint="default" w:ascii="Times New Roman" w:hAnsi="Times New Roman" w:eastAsia="宋体" w:cs="Times New Roman"/>
                <w:color w:val="auto"/>
                <w:sz w:val="21"/>
                <w:szCs w:val="21"/>
                <w:highlight w:val="none"/>
              </w:rPr>
              <w:t>H2</w:t>
            </w:r>
            <w:r>
              <w:rPr>
                <w:rFonts w:hint="default" w:ascii="Times New Roman" w:hAnsi="Times New Roman" w:eastAsia="宋体" w:cs="Times New Roman"/>
                <w:color w:val="auto"/>
                <w:sz w:val="21"/>
                <w:szCs w:val="21"/>
                <w:highlight w:val="none"/>
                <w:lang w:val="en-US" w:eastAsia="zh-CN"/>
              </w:rPr>
              <w:t>50</w:t>
            </w:r>
            <w:r>
              <w:rPr>
                <w:rFonts w:hint="eastAsia" w:cs="Times New Roman"/>
                <w:color w:val="auto"/>
                <w:sz w:val="21"/>
                <w:szCs w:val="21"/>
                <w:highlight w:val="none"/>
                <w:lang w:val="en-US" w:eastAsia="zh-CN"/>
              </w:rPr>
              <w:t>22104</w:t>
            </w:r>
            <w:r>
              <w:rPr>
                <w:rFonts w:hint="default" w:ascii="Times New Roman" w:hAnsi="Times New Roman" w:eastAsia="宋体" w:cs="Times New Roman"/>
                <w:color w:val="auto"/>
                <w:sz w:val="21"/>
                <w:szCs w:val="21"/>
                <w:highlight w:val="none"/>
              </w:rPr>
              <w:t>”。</w:t>
            </w:r>
          </w:p>
          <w:p w14:paraId="082EAE92">
            <w:pPr>
              <w:adjustRightInd w:val="0"/>
              <w:snapToGrid w:val="0"/>
              <w:spacing w:line="500" w:lineRule="exact"/>
              <w:ind w:left="0" w:lef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 xml:space="preserve">4 </w:t>
            </w:r>
            <w:r>
              <w:rPr>
                <w:rFonts w:hint="default" w:ascii="Times New Roman" w:hAnsi="Times New Roman" w:cs="Times New Roman"/>
                <w:b/>
                <w:bCs/>
                <w:color w:val="auto"/>
                <w:sz w:val="21"/>
                <w:szCs w:val="21"/>
              </w:rPr>
              <w:t>水质监测断面</w:t>
            </w:r>
          </w:p>
          <w:tbl>
            <w:tblPr>
              <w:tblStyle w:val="31"/>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28" w:type="dxa"/>
                <w:left w:w="108" w:type="dxa"/>
                <w:bottom w:w="28" w:type="dxa"/>
                <w:right w:w="108" w:type="dxa"/>
              </w:tblCellMar>
            </w:tblPr>
            <w:tblGrid>
              <w:gridCol w:w="1381"/>
              <w:gridCol w:w="4575"/>
              <w:gridCol w:w="2054"/>
            </w:tblGrid>
            <w:tr w14:paraId="621A72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862" w:type="pct"/>
                  <w:tcBorders>
                    <w:top w:val="single" w:color="auto" w:sz="4" w:space="0"/>
                    <w:bottom w:val="single" w:color="auto" w:sz="4" w:space="0"/>
                    <w:right w:val="single" w:color="auto" w:sz="4" w:space="0"/>
                  </w:tcBorders>
                  <w:noWrap w:val="0"/>
                  <w:vAlign w:val="center"/>
                </w:tcPr>
                <w:p w14:paraId="4C839291">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河流名称</w:t>
                  </w:r>
                </w:p>
              </w:tc>
              <w:tc>
                <w:tcPr>
                  <w:tcW w:w="2855" w:type="pct"/>
                  <w:tcBorders>
                    <w:top w:val="single" w:color="auto" w:sz="4" w:space="0"/>
                    <w:left w:val="single" w:color="auto" w:sz="4" w:space="0"/>
                    <w:bottom w:val="single" w:color="auto" w:sz="4" w:space="0"/>
                    <w:right w:val="single" w:color="auto" w:sz="4" w:space="0"/>
                  </w:tcBorders>
                  <w:noWrap w:val="0"/>
                  <w:vAlign w:val="center"/>
                </w:tcPr>
                <w:p w14:paraId="54C56422">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监测断面</w:t>
                  </w:r>
                </w:p>
              </w:tc>
              <w:tc>
                <w:tcPr>
                  <w:tcW w:w="1281" w:type="pct"/>
                  <w:tcBorders>
                    <w:top w:val="single" w:color="auto" w:sz="4" w:space="0"/>
                    <w:left w:val="single" w:color="auto" w:sz="4" w:space="0"/>
                    <w:bottom w:val="single" w:color="auto" w:sz="4" w:space="0"/>
                  </w:tcBorders>
                  <w:noWrap w:val="0"/>
                  <w:vAlign w:val="center"/>
                </w:tcPr>
                <w:p w14:paraId="43D41D3D">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监测项目</w:t>
                  </w:r>
                </w:p>
              </w:tc>
            </w:tr>
            <w:tr w14:paraId="6E18F5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862" w:type="pct"/>
                  <w:vMerge w:val="restart"/>
                  <w:tcBorders>
                    <w:top w:val="single" w:color="auto" w:sz="4" w:space="0"/>
                    <w:right w:val="single" w:color="auto" w:sz="4" w:space="0"/>
                  </w:tcBorders>
                  <w:noWrap w:val="0"/>
                  <w:vAlign w:val="center"/>
                </w:tcPr>
                <w:p w14:paraId="35B7C451">
                  <w:pPr>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通济河</w:t>
                  </w:r>
                </w:p>
              </w:tc>
              <w:tc>
                <w:tcPr>
                  <w:tcW w:w="2855" w:type="pct"/>
                  <w:tcBorders>
                    <w:top w:val="single" w:color="auto" w:sz="4" w:space="0"/>
                    <w:left w:val="single" w:color="auto" w:sz="4" w:space="0"/>
                    <w:bottom w:val="single" w:color="auto" w:sz="4" w:space="0"/>
                    <w:right w:val="single" w:color="auto" w:sz="4" w:space="0"/>
                  </w:tcBorders>
                  <w:noWrap w:val="0"/>
                  <w:vAlign w:val="center"/>
                </w:tcPr>
                <w:p w14:paraId="0FDB579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W1</w:t>
                  </w:r>
                  <w:r>
                    <w:rPr>
                      <w:rFonts w:hint="eastAsia" w:cs="Times New Roman"/>
                      <w:color w:val="auto"/>
                      <w:sz w:val="21"/>
                      <w:szCs w:val="21"/>
                      <w:highlight w:val="none"/>
                      <w:lang w:val="en-US" w:eastAsia="zh-CN"/>
                    </w:rPr>
                    <w:t>常州市金坛区溪城污水处理有限公司</w:t>
                  </w:r>
                  <w:r>
                    <w:rPr>
                      <w:rFonts w:hint="default" w:ascii="Times New Roman" w:hAnsi="Times New Roman" w:eastAsia="宋体" w:cs="Times New Roman"/>
                      <w:color w:val="auto"/>
                      <w:sz w:val="21"/>
                      <w:szCs w:val="21"/>
                      <w:highlight w:val="none"/>
                    </w:rPr>
                    <w:t>排口上游500米</w:t>
                  </w:r>
                </w:p>
              </w:tc>
              <w:tc>
                <w:tcPr>
                  <w:tcW w:w="1281" w:type="pct"/>
                  <w:vMerge w:val="restart"/>
                  <w:tcBorders>
                    <w:top w:val="single" w:color="auto" w:sz="4" w:space="0"/>
                    <w:left w:val="single" w:color="auto" w:sz="4" w:space="0"/>
                  </w:tcBorders>
                  <w:noWrap w:val="0"/>
                  <w:vAlign w:val="center"/>
                </w:tcPr>
                <w:p w14:paraId="11A1F7FA">
                  <w:pPr>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pH、化学需氧量、氨氮、总磷</w:t>
                  </w:r>
                  <w:r>
                    <w:rPr>
                      <w:rFonts w:hint="eastAsia"/>
                      <w:color w:val="auto"/>
                      <w:sz w:val="21"/>
                      <w:szCs w:val="21"/>
                      <w:lang w:eastAsia="zh-CN"/>
                    </w:rPr>
                    <w:t>、</w:t>
                  </w:r>
                  <w:r>
                    <w:rPr>
                      <w:rFonts w:hint="eastAsia"/>
                      <w:color w:val="auto"/>
                      <w:sz w:val="21"/>
                      <w:szCs w:val="21"/>
                      <w:lang w:val="en-US" w:eastAsia="zh-CN"/>
                    </w:rPr>
                    <w:t>总氮、</w:t>
                  </w:r>
                  <w:r>
                    <w:rPr>
                      <w:rFonts w:hint="eastAsia"/>
                      <w:color w:val="auto"/>
                      <w:sz w:val="21"/>
                      <w:szCs w:val="21"/>
                      <w:lang w:eastAsia="zh-CN"/>
                    </w:rPr>
                    <w:t>水温</w:t>
                  </w:r>
                </w:p>
              </w:tc>
            </w:tr>
            <w:tr w14:paraId="7B8E4E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862" w:type="pct"/>
                  <w:vMerge w:val="continue"/>
                  <w:tcBorders>
                    <w:bottom w:val="single" w:color="auto" w:sz="4" w:space="0"/>
                    <w:right w:val="single" w:color="auto" w:sz="4" w:space="0"/>
                  </w:tcBorders>
                  <w:noWrap w:val="0"/>
                  <w:vAlign w:val="center"/>
                </w:tcPr>
                <w:p w14:paraId="13C74DF9">
                  <w:pPr>
                    <w:widowControl/>
                    <w:jc w:val="center"/>
                    <w:rPr>
                      <w:rFonts w:hint="default" w:ascii="Times New Roman" w:hAnsi="Times New Roman" w:eastAsia="宋体" w:cs="Times New Roman"/>
                      <w:b/>
                      <w:color w:val="auto"/>
                      <w:sz w:val="21"/>
                      <w:szCs w:val="21"/>
                      <w:highlight w:val="none"/>
                    </w:rPr>
                  </w:pPr>
                </w:p>
              </w:tc>
              <w:tc>
                <w:tcPr>
                  <w:tcW w:w="2855" w:type="pct"/>
                  <w:tcBorders>
                    <w:top w:val="single" w:color="auto" w:sz="4" w:space="0"/>
                    <w:left w:val="single" w:color="auto" w:sz="4" w:space="0"/>
                    <w:bottom w:val="single" w:color="auto" w:sz="4" w:space="0"/>
                    <w:right w:val="single" w:color="auto" w:sz="4" w:space="0"/>
                  </w:tcBorders>
                  <w:noWrap w:val="0"/>
                  <w:vAlign w:val="center"/>
                </w:tcPr>
                <w:p w14:paraId="17B9D81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W2</w:t>
                  </w:r>
                  <w:r>
                    <w:rPr>
                      <w:rFonts w:hint="eastAsia" w:cs="Times New Roman"/>
                      <w:color w:val="auto"/>
                      <w:sz w:val="21"/>
                      <w:szCs w:val="21"/>
                      <w:highlight w:val="none"/>
                      <w:lang w:val="en-US" w:eastAsia="zh-CN"/>
                    </w:rPr>
                    <w:t>常州市金坛区溪城污水处理有限公司</w:t>
                  </w:r>
                  <w:r>
                    <w:rPr>
                      <w:rFonts w:hint="default" w:ascii="Times New Roman" w:hAnsi="Times New Roman" w:eastAsia="宋体" w:cs="Times New Roman"/>
                      <w:color w:val="auto"/>
                      <w:sz w:val="21"/>
                      <w:szCs w:val="21"/>
                      <w:highlight w:val="none"/>
                    </w:rPr>
                    <w:t>排口下游</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00米</w:t>
                  </w:r>
                </w:p>
              </w:tc>
              <w:tc>
                <w:tcPr>
                  <w:tcW w:w="1281" w:type="pct"/>
                  <w:vMerge w:val="continue"/>
                  <w:tcBorders>
                    <w:left w:val="single" w:color="auto" w:sz="4" w:space="0"/>
                    <w:bottom w:val="single" w:color="auto" w:sz="4" w:space="0"/>
                  </w:tcBorders>
                  <w:noWrap w:val="0"/>
                  <w:vAlign w:val="center"/>
                </w:tcPr>
                <w:p w14:paraId="3D9E7EC5">
                  <w:pPr>
                    <w:widowControl/>
                    <w:jc w:val="center"/>
                    <w:rPr>
                      <w:rFonts w:hint="default" w:ascii="Times New Roman" w:hAnsi="Times New Roman" w:eastAsia="宋体" w:cs="Times New Roman"/>
                      <w:b/>
                      <w:color w:val="auto"/>
                      <w:sz w:val="21"/>
                      <w:szCs w:val="21"/>
                      <w:highlight w:val="none"/>
                    </w:rPr>
                  </w:pPr>
                </w:p>
              </w:tc>
            </w:tr>
          </w:tbl>
          <w:p w14:paraId="0E237A28">
            <w:pPr>
              <w:adjustRightInd w:val="0"/>
              <w:snapToGrid w:val="0"/>
              <w:spacing w:line="500" w:lineRule="exact"/>
              <w:ind w:firstLine="420" w:firstLineChars="200"/>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rPr>
              <w:t>主要污染物监测统计结果如下</w:t>
            </w:r>
            <w:r>
              <w:rPr>
                <w:rFonts w:hint="default" w:ascii="Times New Roman" w:hAnsi="Times New Roman" w:cs="Times New Roman"/>
                <w:bCs/>
                <w:color w:val="auto"/>
                <w:sz w:val="21"/>
                <w:szCs w:val="21"/>
                <w:highlight w:val="none"/>
                <w:lang w:eastAsia="zh-CN"/>
              </w:rPr>
              <w:t>。</w:t>
            </w:r>
          </w:p>
          <w:p w14:paraId="2BBAF8EC">
            <w:pPr>
              <w:adjustRightInd w:val="0"/>
              <w:snapToGrid w:val="0"/>
              <w:spacing w:line="500" w:lineRule="exact"/>
              <w:ind w:left="0" w:lef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 xml:space="preserve">5 </w:t>
            </w:r>
            <w:r>
              <w:rPr>
                <w:rFonts w:hint="default" w:ascii="Times New Roman" w:hAnsi="Times New Roman" w:cs="Times New Roman"/>
                <w:b/>
                <w:bCs/>
                <w:color w:val="auto"/>
                <w:sz w:val="21"/>
                <w:szCs w:val="21"/>
                <w:lang w:val="en-US" w:eastAsia="zh-CN"/>
              </w:rPr>
              <w:t>地表水环境质量现状监测结果</w:t>
            </w:r>
          </w:p>
          <w:tbl>
            <w:tblPr>
              <w:tblStyle w:val="31"/>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72"/>
              <w:gridCol w:w="599"/>
              <w:gridCol w:w="1024"/>
              <w:gridCol w:w="1241"/>
              <w:gridCol w:w="1081"/>
              <w:gridCol w:w="1163"/>
              <w:gridCol w:w="1163"/>
              <w:gridCol w:w="1163"/>
            </w:tblGrid>
            <w:tr w14:paraId="58E58A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357" w:type="pct"/>
                  <w:noWrap w:val="0"/>
                  <w:vAlign w:val="center"/>
                </w:tcPr>
                <w:p w14:paraId="62FCDA3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河流</w:t>
                  </w:r>
                </w:p>
                <w:p w14:paraId="0873AA3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374" w:type="pct"/>
                  <w:noWrap w:val="0"/>
                  <w:vAlign w:val="center"/>
                </w:tcPr>
                <w:p w14:paraId="7D3D63C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断面</w:t>
                  </w:r>
                </w:p>
              </w:tc>
              <w:tc>
                <w:tcPr>
                  <w:tcW w:w="637" w:type="pct"/>
                  <w:noWrap w:val="0"/>
                  <w:vAlign w:val="center"/>
                </w:tcPr>
                <w:p w14:paraId="57455C5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检测项目</w:t>
                  </w:r>
                </w:p>
              </w:tc>
              <w:tc>
                <w:tcPr>
                  <w:tcW w:w="775" w:type="pct"/>
                  <w:noWrap w:val="0"/>
                  <w:vAlign w:val="center"/>
                </w:tcPr>
                <w:p w14:paraId="4AC9DC8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pH（无量纲）</w:t>
                  </w:r>
                </w:p>
              </w:tc>
              <w:tc>
                <w:tcPr>
                  <w:tcW w:w="675" w:type="pct"/>
                  <w:noWrap w:val="0"/>
                  <w:vAlign w:val="center"/>
                </w:tcPr>
                <w:p w14:paraId="6F4069C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726" w:type="pct"/>
                  <w:noWrap w:val="0"/>
                  <w:vAlign w:val="center"/>
                </w:tcPr>
                <w:p w14:paraId="3AE9875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726" w:type="pct"/>
                  <w:noWrap w:val="0"/>
                  <w:vAlign w:val="center"/>
                </w:tcPr>
                <w:p w14:paraId="1A23F27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TN</w:t>
                  </w:r>
                </w:p>
              </w:tc>
              <w:tc>
                <w:tcPr>
                  <w:tcW w:w="726" w:type="pct"/>
                  <w:noWrap w:val="0"/>
                  <w:vAlign w:val="center"/>
                </w:tcPr>
                <w:p w14:paraId="76BF8E5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r>
            <w:tr w14:paraId="1DCA50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restart"/>
                  <w:noWrap w:val="0"/>
                  <w:vAlign w:val="center"/>
                </w:tcPr>
                <w:p w14:paraId="482ACA69">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通济河</w:t>
                  </w:r>
                </w:p>
              </w:tc>
              <w:tc>
                <w:tcPr>
                  <w:tcW w:w="374" w:type="pct"/>
                  <w:vMerge w:val="restart"/>
                  <w:noWrap w:val="0"/>
                  <w:vAlign w:val="center"/>
                </w:tcPr>
                <w:p w14:paraId="46BBF57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W1</w:t>
                  </w:r>
                </w:p>
              </w:tc>
              <w:tc>
                <w:tcPr>
                  <w:tcW w:w="637" w:type="pct"/>
                  <w:noWrap w:val="0"/>
                  <w:vAlign w:val="center"/>
                </w:tcPr>
                <w:p w14:paraId="232E094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最大值</w:t>
                  </w:r>
                </w:p>
              </w:tc>
              <w:tc>
                <w:tcPr>
                  <w:tcW w:w="775" w:type="pct"/>
                  <w:noWrap w:val="0"/>
                  <w:vAlign w:val="center"/>
                </w:tcPr>
                <w:p w14:paraId="784599D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7.9</w:t>
                  </w:r>
                </w:p>
              </w:tc>
              <w:tc>
                <w:tcPr>
                  <w:tcW w:w="675" w:type="pct"/>
                  <w:noWrap w:val="0"/>
                  <w:vAlign w:val="center"/>
                </w:tcPr>
                <w:p w14:paraId="7EF5745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w:t>
                  </w:r>
                </w:p>
              </w:tc>
              <w:tc>
                <w:tcPr>
                  <w:tcW w:w="726" w:type="pct"/>
                  <w:noWrap w:val="0"/>
                  <w:vAlign w:val="center"/>
                </w:tcPr>
                <w:p w14:paraId="2056CFD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0.468</w:t>
                  </w:r>
                </w:p>
              </w:tc>
              <w:tc>
                <w:tcPr>
                  <w:tcW w:w="726" w:type="pct"/>
                  <w:noWrap w:val="0"/>
                  <w:vAlign w:val="center"/>
                </w:tcPr>
                <w:p w14:paraId="55535731">
                  <w:pPr>
                    <w:keepNext w:val="0"/>
                    <w:keepLines w:val="0"/>
                    <w:pageBreakBefore w:val="0"/>
                    <w:widowControl w:val="0"/>
                    <w:kinsoku/>
                    <w:wordWrap/>
                    <w:overflowPunct/>
                    <w:topLinePunct w:val="0"/>
                    <w:bidi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0.767</w:t>
                  </w:r>
                </w:p>
              </w:tc>
              <w:tc>
                <w:tcPr>
                  <w:tcW w:w="726" w:type="pct"/>
                  <w:noWrap w:val="0"/>
                  <w:vAlign w:val="center"/>
                </w:tcPr>
                <w:p w14:paraId="21159C8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0.14</w:t>
                  </w:r>
                </w:p>
              </w:tc>
            </w:tr>
            <w:tr w14:paraId="7A525B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noWrap w:val="0"/>
                  <w:vAlign w:val="center"/>
                </w:tcPr>
                <w:p w14:paraId="11E4A32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p>
              </w:tc>
              <w:tc>
                <w:tcPr>
                  <w:tcW w:w="374" w:type="pct"/>
                  <w:vMerge w:val="continue"/>
                  <w:noWrap w:val="0"/>
                  <w:vAlign w:val="center"/>
                </w:tcPr>
                <w:p w14:paraId="382CAE2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p>
              </w:tc>
              <w:tc>
                <w:tcPr>
                  <w:tcW w:w="637" w:type="pct"/>
                  <w:noWrap w:val="0"/>
                  <w:vAlign w:val="center"/>
                </w:tcPr>
                <w:p w14:paraId="0101502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最小值</w:t>
                  </w:r>
                </w:p>
              </w:tc>
              <w:tc>
                <w:tcPr>
                  <w:tcW w:w="775" w:type="pct"/>
                  <w:noWrap w:val="0"/>
                  <w:vAlign w:val="center"/>
                </w:tcPr>
                <w:p w14:paraId="09A0AE9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7.6</w:t>
                  </w:r>
                </w:p>
              </w:tc>
              <w:tc>
                <w:tcPr>
                  <w:tcW w:w="675" w:type="pct"/>
                  <w:noWrap w:val="0"/>
                  <w:vAlign w:val="center"/>
                </w:tcPr>
                <w:p w14:paraId="777F729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w:t>
                  </w:r>
                </w:p>
              </w:tc>
              <w:tc>
                <w:tcPr>
                  <w:tcW w:w="726" w:type="pct"/>
                  <w:noWrap w:val="0"/>
                  <w:vAlign w:val="center"/>
                </w:tcPr>
                <w:p w14:paraId="2889BA2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0.411</w:t>
                  </w:r>
                </w:p>
              </w:tc>
              <w:tc>
                <w:tcPr>
                  <w:tcW w:w="726" w:type="pct"/>
                  <w:noWrap w:val="0"/>
                  <w:vAlign w:val="center"/>
                </w:tcPr>
                <w:p w14:paraId="406480FA">
                  <w:pPr>
                    <w:keepNext w:val="0"/>
                    <w:keepLines w:val="0"/>
                    <w:pageBreakBefore w:val="0"/>
                    <w:widowControl w:val="0"/>
                    <w:kinsoku/>
                    <w:wordWrap/>
                    <w:overflowPunct/>
                    <w:topLinePunct w:val="0"/>
                    <w:bidi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0.699</w:t>
                  </w:r>
                </w:p>
              </w:tc>
              <w:tc>
                <w:tcPr>
                  <w:tcW w:w="726" w:type="pct"/>
                  <w:noWrap w:val="0"/>
                  <w:vAlign w:val="center"/>
                </w:tcPr>
                <w:p w14:paraId="233FB3B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0.11</w:t>
                  </w:r>
                </w:p>
              </w:tc>
            </w:tr>
            <w:tr w14:paraId="70CF28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noWrap w:val="0"/>
                  <w:vAlign w:val="center"/>
                </w:tcPr>
                <w:p w14:paraId="640F6C3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p>
              </w:tc>
              <w:tc>
                <w:tcPr>
                  <w:tcW w:w="374" w:type="pct"/>
                  <w:vMerge w:val="continue"/>
                  <w:noWrap w:val="0"/>
                  <w:vAlign w:val="center"/>
                </w:tcPr>
                <w:p w14:paraId="10D53ED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p>
              </w:tc>
              <w:tc>
                <w:tcPr>
                  <w:tcW w:w="637" w:type="pct"/>
                  <w:noWrap w:val="0"/>
                  <w:vAlign w:val="center"/>
                </w:tcPr>
                <w:p w14:paraId="2A5A19D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超标率</w:t>
                  </w:r>
                </w:p>
              </w:tc>
              <w:tc>
                <w:tcPr>
                  <w:tcW w:w="775" w:type="pct"/>
                  <w:noWrap w:val="0"/>
                  <w:vAlign w:val="center"/>
                </w:tcPr>
                <w:p w14:paraId="4BDD07C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675" w:type="pct"/>
                  <w:noWrap w:val="0"/>
                  <w:vAlign w:val="center"/>
                </w:tcPr>
                <w:p w14:paraId="23C18A7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726" w:type="pct"/>
                  <w:noWrap w:val="0"/>
                  <w:vAlign w:val="center"/>
                </w:tcPr>
                <w:p w14:paraId="4183F5F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726" w:type="pct"/>
                  <w:noWrap w:val="0"/>
                  <w:vAlign w:val="center"/>
                </w:tcPr>
                <w:p w14:paraId="614B5E8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726" w:type="pct"/>
                  <w:noWrap w:val="0"/>
                  <w:vAlign w:val="center"/>
                </w:tcPr>
                <w:p w14:paraId="19F13EA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r>
            <w:tr w14:paraId="43A6F8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noWrap w:val="0"/>
                  <w:vAlign w:val="center"/>
                </w:tcPr>
                <w:p w14:paraId="03C5B24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p>
              </w:tc>
              <w:tc>
                <w:tcPr>
                  <w:tcW w:w="374" w:type="pct"/>
                  <w:vMerge w:val="restart"/>
                  <w:noWrap w:val="0"/>
                  <w:vAlign w:val="center"/>
                </w:tcPr>
                <w:p w14:paraId="489FD91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W2</w:t>
                  </w:r>
                </w:p>
              </w:tc>
              <w:tc>
                <w:tcPr>
                  <w:tcW w:w="637" w:type="pct"/>
                  <w:noWrap w:val="0"/>
                  <w:vAlign w:val="center"/>
                </w:tcPr>
                <w:p w14:paraId="3FB5C00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最大值</w:t>
                  </w:r>
                </w:p>
              </w:tc>
              <w:tc>
                <w:tcPr>
                  <w:tcW w:w="775" w:type="pct"/>
                  <w:noWrap w:val="0"/>
                  <w:vAlign w:val="center"/>
                </w:tcPr>
                <w:p w14:paraId="6CADA97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8.3</w:t>
                  </w:r>
                </w:p>
              </w:tc>
              <w:tc>
                <w:tcPr>
                  <w:tcW w:w="675" w:type="pct"/>
                  <w:noWrap w:val="0"/>
                  <w:vAlign w:val="center"/>
                </w:tcPr>
                <w:p w14:paraId="15F2A42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19</w:t>
                  </w:r>
                </w:p>
              </w:tc>
              <w:tc>
                <w:tcPr>
                  <w:tcW w:w="726" w:type="pct"/>
                  <w:noWrap w:val="0"/>
                  <w:vAlign w:val="center"/>
                </w:tcPr>
                <w:p w14:paraId="6781DF2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0.499</w:t>
                  </w:r>
                </w:p>
              </w:tc>
              <w:tc>
                <w:tcPr>
                  <w:tcW w:w="726" w:type="pct"/>
                  <w:noWrap w:val="0"/>
                  <w:vAlign w:val="center"/>
                </w:tcPr>
                <w:p w14:paraId="48632CB5">
                  <w:pPr>
                    <w:keepNext w:val="0"/>
                    <w:keepLines w:val="0"/>
                    <w:pageBreakBefore w:val="0"/>
                    <w:widowControl w:val="0"/>
                    <w:kinsoku/>
                    <w:wordWrap/>
                    <w:overflowPunct/>
                    <w:topLinePunct w:val="0"/>
                    <w:bidi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0.971</w:t>
                  </w:r>
                </w:p>
              </w:tc>
              <w:tc>
                <w:tcPr>
                  <w:tcW w:w="726" w:type="pct"/>
                  <w:noWrap w:val="0"/>
                  <w:vAlign w:val="center"/>
                </w:tcPr>
                <w:p w14:paraId="36BC257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0.18</w:t>
                  </w:r>
                </w:p>
              </w:tc>
            </w:tr>
            <w:tr w14:paraId="3CEC3C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noWrap w:val="0"/>
                  <w:vAlign w:val="center"/>
                </w:tcPr>
                <w:p w14:paraId="2720145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p>
              </w:tc>
              <w:tc>
                <w:tcPr>
                  <w:tcW w:w="374" w:type="pct"/>
                  <w:vMerge w:val="continue"/>
                  <w:noWrap w:val="0"/>
                  <w:vAlign w:val="center"/>
                </w:tcPr>
                <w:p w14:paraId="1B7B14D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p>
              </w:tc>
              <w:tc>
                <w:tcPr>
                  <w:tcW w:w="637" w:type="pct"/>
                  <w:noWrap w:val="0"/>
                  <w:vAlign w:val="center"/>
                </w:tcPr>
                <w:p w14:paraId="01616C0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最小值</w:t>
                  </w:r>
                </w:p>
              </w:tc>
              <w:tc>
                <w:tcPr>
                  <w:tcW w:w="775" w:type="pct"/>
                  <w:noWrap w:val="0"/>
                  <w:vAlign w:val="center"/>
                </w:tcPr>
                <w:p w14:paraId="49CE59B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8.0</w:t>
                  </w:r>
                </w:p>
              </w:tc>
              <w:tc>
                <w:tcPr>
                  <w:tcW w:w="675" w:type="pct"/>
                  <w:noWrap w:val="0"/>
                  <w:vAlign w:val="center"/>
                </w:tcPr>
                <w:p w14:paraId="36B4743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w:t>
                  </w:r>
                </w:p>
              </w:tc>
              <w:tc>
                <w:tcPr>
                  <w:tcW w:w="726" w:type="pct"/>
                  <w:noWrap w:val="0"/>
                  <w:vAlign w:val="center"/>
                </w:tcPr>
                <w:p w14:paraId="56B4D52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0.429</w:t>
                  </w:r>
                </w:p>
              </w:tc>
              <w:tc>
                <w:tcPr>
                  <w:tcW w:w="726" w:type="pct"/>
                  <w:noWrap w:val="0"/>
                  <w:vAlign w:val="center"/>
                </w:tcPr>
                <w:p w14:paraId="1B5D3744">
                  <w:pPr>
                    <w:keepNext w:val="0"/>
                    <w:keepLines w:val="0"/>
                    <w:pageBreakBefore w:val="0"/>
                    <w:widowControl w:val="0"/>
                    <w:kinsoku/>
                    <w:wordWrap/>
                    <w:overflowPunct/>
                    <w:topLinePunct w:val="0"/>
                    <w:bidi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0.864</w:t>
                  </w:r>
                </w:p>
              </w:tc>
              <w:tc>
                <w:tcPr>
                  <w:tcW w:w="726" w:type="pct"/>
                  <w:noWrap w:val="0"/>
                  <w:vAlign w:val="center"/>
                </w:tcPr>
                <w:p w14:paraId="27D8577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0.16</w:t>
                  </w:r>
                </w:p>
              </w:tc>
            </w:tr>
            <w:tr w14:paraId="2A1BF5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7" w:type="pct"/>
                  <w:vMerge w:val="continue"/>
                  <w:noWrap w:val="0"/>
                  <w:vAlign w:val="center"/>
                </w:tcPr>
                <w:p w14:paraId="16C49B9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p>
              </w:tc>
              <w:tc>
                <w:tcPr>
                  <w:tcW w:w="374" w:type="pct"/>
                  <w:vMerge w:val="continue"/>
                  <w:noWrap w:val="0"/>
                  <w:vAlign w:val="center"/>
                </w:tcPr>
                <w:p w14:paraId="7B0F440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p>
              </w:tc>
              <w:tc>
                <w:tcPr>
                  <w:tcW w:w="637" w:type="pct"/>
                  <w:noWrap w:val="0"/>
                  <w:vAlign w:val="center"/>
                </w:tcPr>
                <w:p w14:paraId="3B176FC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超标率</w:t>
                  </w:r>
                </w:p>
              </w:tc>
              <w:tc>
                <w:tcPr>
                  <w:tcW w:w="775" w:type="pct"/>
                  <w:noWrap w:val="0"/>
                  <w:vAlign w:val="center"/>
                </w:tcPr>
                <w:p w14:paraId="4BD8813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675" w:type="pct"/>
                  <w:noWrap w:val="0"/>
                  <w:vAlign w:val="center"/>
                </w:tcPr>
                <w:p w14:paraId="2A97F7B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726" w:type="pct"/>
                  <w:noWrap w:val="0"/>
                  <w:vAlign w:val="center"/>
                </w:tcPr>
                <w:p w14:paraId="0B0D692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726" w:type="pct"/>
                  <w:noWrap w:val="0"/>
                  <w:vAlign w:val="center"/>
                </w:tcPr>
                <w:p w14:paraId="7F8C39D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726" w:type="pct"/>
                  <w:noWrap w:val="0"/>
                  <w:vAlign w:val="center"/>
                </w:tcPr>
                <w:p w14:paraId="2A2E39C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r>
            <w:tr w14:paraId="5A8A0A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70" w:type="pct"/>
                  <w:gridSpan w:val="3"/>
                  <w:noWrap w:val="0"/>
                  <w:vAlign w:val="center"/>
                </w:tcPr>
                <w:p w14:paraId="229581C5">
                  <w:pPr>
                    <w:pStyle w:val="29"/>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仿宋" w:cs="Times New Roman"/>
                      <w:color w:val="auto"/>
                      <w:kern w:val="0"/>
                      <w:sz w:val="21"/>
                      <w:szCs w:val="21"/>
                    </w:rPr>
                    <w:t>Ⅳ</w:t>
                  </w:r>
                  <w:r>
                    <w:rPr>
                      <w:rFonts w:hint="default" w:ascii="Times New Roman" w:hAnsi="Times New Roman" w:eastAsia="宋体" w:cs="Times New Roman"/>
                      <w:color w:val="auto"/>
                      <w:kern w:val="2"/>
                      <w:sz w:val="21"/>
                      <w:szCs w:val="21"/>
                      <w:lang w:val="en-US" w:eastAsia="zh-CN" w:bidi="ar-SA"/>
                    </w:rPr>
                    <w:t>类功能水域标准</w:t>
                  </w:r>
                </w:p>
              </w:tc>
              <w:tc>
                <w:tcPr>
                  <w:tcW w:w="775" w:type="pct"/>
                  <w:noWrap w:val="0"/>
                  <w:vAlign w:val="center"/>
                </w:tcPr>
                <w:p w14:paraId="448DCE92">
                  <w:pPr>
                    <w:pStyle w:val="29"/>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6-9</w:t>
                  </w:r>
                </w:p>
              </w:tc>
              <w:tc>
                <w:tcPr>
                  <w:tcW w:w="675" w:type="pct"/>
                  <w:noWrap w:val="0"/>
                  <w:vAlign w:val="center"/>
                </w:tcPr>
                <w:p w14:paraId="037A7439">
                  <w:pPr>
                    <w:pStyle w:val="29"/>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highlight w:val="none"/>
                    </w:rPr>
                    <w:t>≤</w:t>
                  </w:r>
                  <w:r>
                    <w:rPr>
                      <w:rFonts w:hint="eastAsia" w:ascii="Times New Roman" w:eastAsia="宋体" w:cs="Times New Roman"/>
                      <w:color w:val="auto"/>
                      <w:sz w:val="21"/>
                      <w:szCs w:val="21"/>
                      <w:highlight w:val="none"/>
                      <w:lang w:val="en-US" w:eastAsia="zh-CN"/>
                    </w:rPr>
                    <w:t>30</w:t>
                  </w:r>
                </w:p>
              </w:tc>
              <w:tc>
                <w:tcPr>
                  <w:tcW w:w="726" w:type="pct"/>
                  <w:noWrap w:val="0"/>
                  <w:vAlign w:val="center"/>
                </w:tcPr>
                <w:p w14:paraId="05E22816">
                  <w:pPr>
                    <w:pStyle w:val="29"/>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≤1.</w:t>
                  </w:r>
                  <w:r>
                    <w:rPr>
                      <w:rFonts w:hint="eastAsia" w:ascii="Times New Roman" w:eastAsia="宋体" w:cs="Times New Roman"/>
                      <w:color w:val="auto"/>
                      <w:sz w:val="21"/>
                      <w:szCs w:val="21"/>
                      <w:highlight w:val="none"/>
                      <w:lang w:val="en-US" w:eastAsia="zh-CN"/>
                    </w:rPr>
                    <w:t>5</w:t>
                  </w:r>
                </w:p>
              </w:tc>
              <w:tc>
                <w:tcPr>
                  <w:tcW w:w="726" w:type="pct"/>
                  <w:noWrap w:val="0"/>
                  <w:vAlign w:val="center"/>
                </w:tcPr>
                <w:p w14:paraId="652DE285">
                  <w:pPr>
                    <w:pStyle w:val="29"/>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eastAsia="宋体" w:cs="Times New Roman"/>
                      <w:color w:val="auto"/>
                      <w:sz w:val="21"/>
                      <w:szCs w:val="21"/>
                      <w:highlight w:val="none"/>
                      <w:lang w:val="en-US" w:eastAsia="zh-CN"/>
                    </w:rPr>
                    <w:t>1.5</w:t>
                  </w:r>
                </w:p>
              </w:tc>
              <w:tc>
                <w:tcPr>
                  <w:tcW w:w="726" w:type="pct"/>
                  <w:noWrap w:val="0"/>
                  <w:vAlign w:val="center"/>
                </w:tcPr>
                <w:p w14:paraId="4F5F091A">
                  <w:pPr>
                    <w:pStyle w:val="29"/>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≤0.</w:t>
                  </w:r>
                  <w:r>
                    <w:rPr>
                      <w:rFonts w:hint="eastAsia" w:ascii="Times New Roman" w:eastAsia="宋体" w:cs="Times New Roman"/>
                      <w:color w:val="auto"/>
                      <w:sz w:val="21"/>
                      <w:szCs w:val="21"/>
                      <w:highlight w:val="none"/>
                      <w:lang w:val="en-US" w:eastAsia="zh-CN"/>
                    </w:rPr>
                    <w:t>3</w:t>
                  </w:r>
                </w:p>
              </w:tc>
            </w:tr>
          </w:tbl>
          <w:p w14:paraId="1E3111B0">
            <w:pPr>
              <w:adjustRightInd w:val="0"/>
              <w:snapToGrid w:val="0"/>
              <w:rPr>
                <w:b/>
                <w:bCs/>
                <w:color w:val="auto"/>
                <w:sz w:val="21"/>
                <w:szCs w:val="21"/>
              </w:rPr>
            </w:pPr>
            <w:r>
              <w:rPr>
                <w:b/>
                <w:bCs/>
                <w:color w:val="auto"/>
                <w:sz w:val="21"/>
                <w:szCs w:val="21"/>
              </w:rPr>
              <w:t>注：检测期间，</w:t>
            </w:r>
            <w:r>
              <w:rPr>
                <w:rFonts w:hint="eastAsia"/>
                <w:b/>
                <w:bCs/>
                <w:color w:val="auto"/>
                <w:sz w:val="21"/>
                <w:szCs w:val="21"/>
                <w:lang w:eastAsia="zh-CN"/>
              </w:rPr>
              <w:t>通济河</w:t>
            </w:r>
            <w:r>
              <w:rPr>
                <w:b/>
                <w:bCs/>
                <w:color w:val="auto"/>
                <w:sz w:val="21"/>
                <w:szCs w:val="21"/>
              </w:rPr>
              <w:t>水温处于</w:t>
            </w:r>
            <w:r>
              <w:rPr>
                <w:rFonts w:hint="eastAsia"/>
                <w:b/>
                <w:bCs/>
                <w:color w:val="auto"/>
                <w:sz w:val="21"/>
                <w:szCs w:val="21"/>
                <w:lang w:val="en-US" w:eastAsia="zh-CN"/>
              </w:rPr>
              <w:t>8.4</w:t>
            </w:r>
            <w:r>
              <w:rPr>
                <w:b/>
                <w:bCs/>
                <w:color w:val="auto"/>
                <w:sz w:val="21"/>
                <w:szCs w:val="21"/>
              </w:rPr>
              <w:t>~</w:t>
            </w:r>
            <w:r>
              <w:rPr>
                <w:rFonts w:hint="eastAsia"/>
                <w:b/>
                <w:bCs/>
                <w:color w:val="auto"/>
                <w:sz w:val="21"/>
                <w:szCs w:val="21"/>
                <w:lang w:val="en-US" w:eastAsia="zh-CN"/>
              </w:rPr>
              <w:t>9.8</w:t>
            </w:r>
            <w:r>
              <w:rPr>
                <w:b/>
                <w:bCs/>
                <w:color w:val="auto"/>
                <w:sz w:val="21"/>
                <w:szCs w:val="21"/>
              </w:rPr>
              <w:t>℃范围内。</w:t>
            </w:r>
          </w:p>
          <w:p w14:paraId="5258622D">
            <w:pPr>
              <w:adjustRightInd w:val="0"/>
              <w:snapToGrid w:val="0"/>
              <w:spacing w:line="500" w:lineRule="exact"/>
              <w:ind w:firstLine="420" w:firstLineChars="20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监测统计结果表明：</w:t>
            </w:r>
            <w:r>
              <w:rPr>
                <w:rFonts w:hint="eastAsia" w:cs="Times New Roman"/>
                <w:bCs/>
                <w:color w:val="auto"/>
                <w:sz w:val="21"/>
                <w:szCs w:val="21"/>
                <w:highlight w:val="none"/>
                <w:lang w:val="en-US" w:eastAsia="zh-CN"/>
              </w:rPr>
              <w:t>通济河</w:t>
            </w:r>
            <w:r>
              <w:rPr>
                <w:rFonts w:hint="default" w:ascii="Times New Roman" w:hAnsi="Times New Roman" w:cs="Times New Roman"/>
                <w:bCs/>
                <w:color w:val="auto"/>
                <w:sz w:val="21"/>
                <w:szCs w:val="21"/>
                <w:highlight w:val="none"/>
              </w:rPr>
              <w:t>监测断面的各监测因子均可以达到《地表水环境质量</w:t>
            </w:r>
            <w:r>
              <w:rPr>
                <w:rFonts w:hint="default" w:ascii="Times New Roman" w:hAnsi="Times New Roman" w:cs="Times New Roman"/>
                <w:color w:val="auto"/>
                <w:sz w:val="21"/>
                <w:szCs w:val="21"/>
              </w:rPr>
              <w:t>标准</w:t>
            </w:r>
            <w:r>
              <w:rPr>
                <w:rFonts w:hint="default" w:ascii="Times New Roman" w:hAnsi="Times New Roman" w:cs="Times New Roman"/>
                <w:bCs/>
                <w:color w:val="auto"/>
                <w:sz w:val="21"/>
                <w:szCs w:val="21"/>
                <w:highlight w:val="none"/>
              </w:rPr>
              <w:t>》（GB3838-2002）</w:t>
            </w:r>
            <w:r>
              <w:rPr>
                <w:rFonts w:hint="default" w:ascii="Times New Roman" w:hAnsi="Times New Roman" w:eastAsia="仿宋" w:cs="Times New Roman"/>
                <w:color w:val="auto"/>
                <w:kern w:val="0"/>
                <w:sz w:val="21"/>
                <w:szCs w:val="21"/>
              </w:rPr>
              <w:t>Ⅳ</w:t>
            </w:r>
            <w:r>
              <w:rPr>
                <w:rFonts w:hint="default" w:ascii="Times New Roman" w:hAnsi="Times New Roman" w:cs="Times New Roman"/>
                <w:bCs/>
                <w:color w:val="auto"/>
                <w:sz w:val="21"/>
                <w:szCs w:val="21"/>
                <w:highlight w:val="none"/>
              </w:rPr>
              <w:t>类标准。</w:t>
            </w:r>
          </w:p>
          <w:p w14:paraId="1A0F3445">
            <w:pPr>
              <w:keepNext w:val="0"/>
              <w:keepLines w:val="0"/>
              <w:pageBreakBefore w:val="0"/>
              <w:widowControl w:val="0"/>
              <w:kinsoku/>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cs="Times New Roman"/>
                <w:color w:val="auto"/>
                <w:sz w:val="21"/>
                <w:szCs w:val="21"/>
                <w:highlight w:val="yellow"/>
              </w:rPr>
            </w:pPr>
            <w:r>
              <w:rPr>
                <w:rFonts w:hint="default" w:ascii="Times New Roman" w:hAnsi="Times New Roman" w:cs="Times New Roman"/>
                <w:bCs/>
                <w:color w:val="auto"/>
                <w:sz w:val="21"/>
                <w:szCs w:val="21"/>
                <w:highlight w:val="none"/>
              </w:rPr>
              <w:t>引用数据有效性分析：</w:t>
            </w:r>
            <w:r>
              <w:rPr>
                <w:rFonts w:hint="eastAsia" w:cs="Times New Roman"/>
                <w:bCs/>
                <w:color w:val="auto"/>
                <w:sz w:val="21"/>
                <w:szCs w:val="21"/>
                <w:highlight w:val="none"/>
                <w:lang w:eastAsia="zh-CN"/>
              </w:rPr>
              <w:t>江苏云居检测技术有限公司</w:t>
            </w:r>
            <w:r>
              <w:rPr>
                <w:rFonts w:hint="default" w:ascii="Times New Roman" w:hAnsi="Times New Roman" w:cs="Times New Roman"/>
                <w:bCs/>
                <w:color w:val="auto"/>
                <w:sz w:val="21"/>
                <w:szCs w:val="21"/>
                <w:highlight w:val="none"/>
              </w:rPr>
              <w:t>于</w:t>
            </w:r>
            <w:r>
              <w:rPr>
                <w:rFonts w:hint="default" w:ascii="Times New Roman" w:hAnsi="Times New Roman" w:eastAsia="宋体" w:cs="Times New Roman"/>
                <w:color w:val="auto"/>
                <w:sz w:val="21"/>
                <w:szCs w:val="21"/>
                <w:highlight w:val="none"/>
                <w:lang w:val="en-US" w:eastAsia="zh-CN"/>
              </w:rPr>
              <w:t>2025年</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月</w:t>
            </w:r>
            <w:r>
              <w:rPr>
                <w:rFonts w:hint="eastAsia"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lang w:val="en-US" w:eastAsia="zh-CN"/>
              </w:rPr>
              <w:t>日~2025年</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月</w:t>
            </w:r>
            <w:r>
              <w:rPr>
                <w:rFonts w:hint="eastAsia" w:cs="Times New Roman"/>
                <w:color w:val="auto"/>
                <w:sz w:val="21"/>
                <w:szCs w:val="21"/>
                <w:highlight w:val="none"/>
                <w:lang w:val="en-US" w:eastAsia="zh-CN"/>
              </w:rPr>
              <w:t>26</w:t>
            </w:r>
            <w:r>
              <w:rPr>
                <w:rFonts w:hint="default" w:ascii="Times New Roman" w:hAnsi="Times New Roman" w:eastAsia="宋体" w:cs="Times New Roman"/>
                <w:color w:val="auto"/>
                <w:sz w:val="21"/>
                <w:szCs w:val="21"/>
                <w:highlight w:val="none"/>
                <w:lang w:val="en-US" w:eastAsia="zh-CN"/>
              </w:rPr>
              <w:t>日</w:t>
            </w:r>
            <w:r>
              <w:rPr>
                <w:rFonts w:hint="default" w:ascii="Times New Roman" w:hAnsi="Times New Roman" w:cs="Times New Roman"/>
                <w:color w:val="auto"/>
                <w:sz w:val="21"/>
                <w:szCs w:val="21"/>
                <w:highlight w:val="none"/>
              </w:rPr>
              <w:t>对</w:t>
            </w:r>
            <w:r>
              <w:rPr>
                <w:rFonts w:hint="eastAsia" w:cs="Times New Roman"/>
                <w:color w:val="auto"/>
                <w:sz w:val="21"/>
                <w:szCs w:val="21"/>
                <w:highlight w:val="none"/>
                <w:lang w:eastAsia="zh-CN"/>
              </w:rPr>
              <w:t>常州市金坛区溪城污水处理有限公司</w:t>
            </w:r>
            <w:r>
              <w:rPr>
                <w:rFonts w:hint="default" w:ascii="Times New Roman" w:hAnsi="Times New Roman" w:cs="Times New Roman"/>
                <w:color w:val="auto"/>
                <w:sz w:val="21"/>
                <w:szCs w:val="21"/>
                <w:highlight w:val="none"/>
              </w:rPr>
              <w:t>排口上游500米断面和</w:t>
            </w:r>
            <w:r>
              <w:rPr>
                <w:rFonts w:hint="eastAsia" w:cs="Times New Roman"/>
                <w:color w:val="auto"/>
                <w:sz w:val="21"/>
                <w:szCs w:val="21"/>
                <w:highlight w:val="none"/>
                <w:lang w:eastAsia="zh-CN"/>
              </w:rPr>
              <w:t>常州市金坛区溪城污水处理有限公司</w:t>
            </w:r>
            <w:r>
              <w:rPr>
                <w:rFonts w:hint="default" w:ascii="Times New Roman" w:hAnsi="Times New Roman" w:cs="Times New Roman"/>
                <w:color w:val="auto"/>
                <w:sz w:val="21"/>
                <w:szCs w:val="21"/>
                <w:highlight w:val="none"/>
              </w:rPr>
              <w:t>排口下游</w:t>
            </w:r>
            <w:r>
              <w:rPr>
                <w:rFonts w:hint="eastAsia" w:cs="Times New Roman"/>
                <w:color w:val="auto"/>
                <w:sz w:val="21"/>
                <w:szCs w:val="21"/>
                <w:highlight w:val="none"/>
                <w:lang w:val="en-US" w:eastAsia="zh-CN"/>
              </w:rPr>
              <w:t>15</w:t>
            </w:r>
            <w:r>
              <w:rPr>
                <w:rFonts w:hint="default" w:ascii="Times New Roman" w:hAnsi="Times New Roman" w:cs="Times New Roman"/>
                <w:color w:val="auto"/>
                <w:sz w:val="21"/>
                <w:szCs w:val="21"/>
                <w:highlight w:val="none"/>
              </w:rPr>
              <w:t>00米断面进行监测</w:t>
            </w:r>
            <w:r>
              <w:rPr>
                <w:rFonts w:hint="default" w:ascii="Times New Roman" w:hAnsi="Times New Roman" w:cs="Times New Roman"/>
                <w:bCs/>
                <w:color w:val="auto"/>
                <w:sz w:val="21"/>
                <w:szCs w:val="21"/>
                <w:highlight w:val="none"/>
              </w:rPr>
              <w:t>，引用时间不超过3年，水环境引用时间有效；项目所在区域污染源未发生重大变化，可引用3年内地表水的监测数据；引用点位在项目纳污河道</w:t>
            </w:r>
            <w:r>
              <w:rPr>
                <w:rFonts w:hint="default" w:ascii="Times New Roman" w:hAnsi="Times New Roman" w:cs="Times New Roman"/>
                <w:color w:val="auto"/>
                <w:sz w:val="21"/>
                <w:szCs w:val="21"/>
              </w:rPr>
              <w:t>评价</w:t>
            </w:r>
            <w:r>
              <w:rPr>
                <w:rFonts w:hint="default" w:ascii="Times New Roman" w:hAnsi="Times New Roman" w:cs="Times New Roman"/>
                <w:bCs/>
                <w:color w:val="auto"/>
                <w:sz w:val="21"/>
                <w:szCs w:val="21"/>
                <w:highlight w:val="none"/>
              </w:rPr>
              <w:t>范围内，监测方法、频次符合导则要求，则地表水环境引用点位有效。</w:t>
            </w:r>
          </w:p>
          <w:p w14:paraId="72504F3E">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3、声环境质量现状</w:t>
            </w:r>
          </w:p>
          <w:p w14:paraId="6AE589F5">
            <w:pPr>
              <w:keepNext w:val="0"/>
              <w:keepLines w:val="0"/>
              <w:pageBreakBefore w:val="0"/>
              <w:widowControl w:val="0"/>
              <w:kinsoku/>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color w:val="auto"/>
                <w:sz w:val="21"/>
                <w:szCs w:val="21"/>
                <w:lang w:val="zh-CN" w:eastAsia="zh-CN"/>
              </w:rPr>
            </w:pPr>
            <w:r>
              <w:rPr>
                <w:rFonts w:hint="eastAsia" w:cs="Times New Roman"/>
                <w:color w:val="auto"/>
                <w:sz w:val="21"/>
                <w:szCs w:val="21"/>
                <w:highlight w:val="none"/>
                <w:lang w:val="en-US" w:eastAsia="zh-CN"/>
              </w:rPr>
              <w:t>项目周边50m范围无环境敏感目标，</w:t>
            </w:r>
            <w:r>
              <w:rPr>
                <w:rFonts w:hint="default" w:ascii="Times New Roman" w:hAnsi="Times New Roman" w:cs="Times New Roman"/>
                <w:bCs/>
                <w:color w:val="auto"/>
                <w:sz w:val="21"/>
                <w:szCs w:val="21"/>
                <w:lang w:val="en-US" w:eastAsia="zh-CN"/>
              </w:rPr>
              <w:t>可</w:t>
            </w:r>
            <w:r>
              <w:rPr>
                <w:rFonts w:hint="default" w:ascii="Times New Roman" w:hAnsi="Times New Roman" w:cs="Times New Roman"/>
                <w:bCs/>
                <w:color w:val="auto"/>
                <w:sz w:val="21"/>
                <w:szCs w:val="21"/>
              </w:rPr>
              <w:t>不开展现状调查</w:t>
            </w:r>
            <w:r>
              <w:rPr>
                <w:rFonts w:hint="default" w:ascii="Times New Roman" w:hAnsi="Times New Roman" w:eastAsia="宋体" w:cs="Times New Roman"/>
                <w:bCs/>
                <w:color w:val="auto"/>
                <w:sz w:val="21"/>
                <w:szCs w:val="21"/>
              </w:rPr>
              <w:t>。</w:t>
            </w:r>
          </w:p>
          <w:p w14:paraId="086ADC4D">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4、生态环境现状</w:t>
            </w:r>
          </w:p>
          <w:p w14:paraId="49A5ECD0">
            <w:pPr>
              <w:keepNext w:val="0"/>
              <w:keepLines w:val="0"/>
              <w:pageBreakBefore w:val="0"/>
              <w:widowControl w:val="0"/>
              <w:kinsoku/>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cs="Times New Roman"/>
                <w:b/>
                <w:color w:val="auto"/>
                <w:sz w:val="21"/>
                <w:szCs w:val="21"/>
              </w:rPr>
            </w:pPr>
            <w:r>
              <w:rPr>
                <w:rFonts w:hint="default" w:ascii="Times New Roman" w:hAnsi="Times New Roman" w:cs="Times New Roman"/>
                <w:bCs/>
                <w:color w:val="auto"/>
                <w:sz w:val="21"/>
                <w:szCs w:val="21"/>
              </w:rPr>
              <w:t>本项目用地范围内无生态环境保护目标，无需开展生态环境现状调查。</w:t>
            </w:r>
          </w:p>
          <w:p w14:paraId="066C569C">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5、</w:t>
            </w:r>
            <w:r>
              <w:rPr>
                <w:rFonts w:hint="eastAsia" w:ascii="Times New Roman" w:hAnsi="Times New Roman" w:cs="Times New Roman"/>
                <w:b/>
                <w:color w:val="auto"/>
                <w:sz w:val="21"/>
                <w:szCs w:val="21"/>
                <w:lang w:eastAsia="zh-CN"/>
              </w:rPr>
              <w:t>土壤、</w:t>
            </w:r>
            <w:r>
              <w:rPr>
                <w:rFonts w:hint="default" w:ascii="Times New Roman" w:hAnsi="Times New Roman" w:cs="Times New Roman"/>
                <w:b/>
                <w:color w:val="auto"/>
                <w:sz w:val="21"/>
                <w:szCs w:val="21"/>
              </w:rPr>
              <w:t>地下水环境质量现状</w:t>
            </w:r>
          </w:p>
          <w:p w14:paraId="5C4F9C38">
            <w:pPr>
              <w:keepNext w:val="0"/>
              <w:keepLines w:val="0"/>
              <w:pageBreakBefore w:val="0"/>
              <w:widowControl w:val="0"/>
              <w:kinsoku/>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本项目不</w:t>
            </w:r>
            <w:r>
              <w:rPr>
                <w:rFonts w:hint="default" w:ascii="Times New Roman" w:hAnsi="Times New Roman" w:cs="Times New Roman"/>
                <w:bCs/>
                <w:color w:val="auto"/>
                <w:sz w:val="21"/>
                <w:szCs w:val="21"/>
                <w:lang w:val="en-US" w:eastAsia="zh-CN"/>
              </w:rPr>
              <w:t>存在</w:t>
            </w:r>
            <w:r>
              <w:rPr>
                <w:rFonts w:hint="eastAsia" w:ascii="Times New Roman" w:hAnsi="Times New Roman" w:cs="Times New Roman"/>
                <w:bCs/>
                <w:color w:val="auto"/>
                <w:sz w:val="21"/>
                <w:szCs w:val="21"/>
                <w:lang w:val="en-US" w:eastAsia="zh-CN"/>
              </w:rPr>
              <w:t>土壤、</w:t>
            </w:r>
            <w:r>
              <w:rPr>
                <w:rFonts w:hint="default" w:ascii="Times New Roman" w:hAnsi="Times New Roman" w:cs="Times New Roman"/>
                <w:bCs/>
                <w:color w:val="auto"/>
                <w:sz w:val="21"/>
                <w:szCs w:val="21"/>
                <w:lang w:val="en-US" w:eastAsia="zh-CN"/>
              </w:rPr>
              <w:t>地下水污染途径</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lang w:val="en-US" w:eastAsia="zh-CN"/>
              </w:rPr>
              <w:t>可</w:t>
            </w:r>
            <w:r>
              <w:rPr>
                <w:rFonts w:hint="default" w:ascii="Times New Roman" w:hAnsi="Times New Roman" w:cs="Times New Roman"/>
                <w:bCs/>
                <w:color w:val="auto"/>
                <w:sz w:val="21"/>
                <w:szCs w:val="21"/>
              </w:rPr>
              <w:t>不开展现状调查。</w:t>
            </w:r>
          </w:p>
          <w:p w14:paraId="0BE1B561">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1"/>
                <w:szCs w:val="21"/>
              </w:rPr>
            </w:pPr>
            <w:r>
              <w:rPr>
                <w:rFonts w:hint="eastAsia" w:ascii="Times New Roman" w:hAnsi="Times New Roman" w:cs="Times New Roman"/>
                <w:b/>
                <w:color w:val="auto"/>
                <w:sz w:val="21"/>
                <w:szCs w:val="21"/>
                <w:lang w:val="en-US" w:eastAsia="zh-CN"/>
              </w:rPr>
              <w:t>6</w:t>
            </w:r>
            <w:r>
              <w:rPr>
                <w:rFonts w:hint="default" w:ascii="Times New Roman" w:hAnsi="Times New Roman" w:cs="Times New Roman"/>
                <w:b/>
                <w:color w:val="auto"/>
                <w:sz w:val="21"/>
                <w:szCs w:val="21"/>
              </w:rPr>
              <w:t>、辐射</w:t>
            </w:r>
          </w:p>
          <w:p w14:paraId="6261E720">
            <w:pPr>
              <w:keepNext w:val="0"/>
              <w:keepLines w:val="0"/>
              <w:pageBreakBefore w:val="0"/>
              <w:widowControl w:val="0"/>
              <w:tabs>
                <w:tab w:val="left" w:pos="630"/>
              </w:tabs>
              <w:kinsoku/>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本项目不属于广播电台、差转台、电视塔台、卫星地球上行站、雷达等电磁辐射类项目。</w:t>
            </w:r>
          </w:p>
        </w:tc>
      </w:tr>
      <w:tr w14:paraId="469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9" w:hRule="atLeast"/>
          <w:jc w:val="center"/>
        </w:trPr>
        <w:tc>
          <w:tcPr>
            <w:tcW w:w="832" w:type="dxa"/>
            <w:vAlign w:val="center"/>
          </w:tcPr>
          <w:p w14:paraId="39BA1D0C">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环境</w:t>
            </w:r>
          </w:p>
          <w:p w14:paraId="734B1711">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保护</w:t>
            </w:r>
          </w:p>
          <w:p w14:paraId="65344D44">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目标</w:t>
            </w:r>
          </w:p>
        </w:tc>
        <w:tc>
          <w:tcPr>
            <w:tcW w:w="8228" w:type="dxa"/>
            <w:vAlign w:val="top"/>
          </w:tcPr>
          <w:p w14:paraId="753CFDC1">
            <w:pPr>
              <w:pStyle w:val="94"/>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eastAsia="宋体"/>
                <w:color w:val="auto"/>
                <w:sz w:val="21"/>
                <w:szCs w:val="21"/>
              </w:rPr>
            </w:pPr>
            <w:r>
              <w:rPr>
                <w:rFonts w:eastAsia="宋体"/>
                <w:color w:val="auto"/>
                <w:sz w:val="21"/>
                <w:szCs w:val="21"/>
              </w:rPr>
              <w:t>1</w:t>
            </w:r>
            <w:r>
              <w:rPr>
                <w:rFonts w:hint="eastAsia" w:eastAsia="宋体"/>
                <w:color w:val="auto"/>
                <w:sz w:val="21"/>
                <w:szCs w:val="21"/>
              </w:rPr>
              <w:t>.大气环境</w:t>
            </w:r>
          </w:p>
          <w:p w14:paraId="13670066">
            <w:pPr>
              <w:snapToGrid w:val="0"/>
              <w:spacing w:before="72" w:beforeLines="30"/>
              <w:jc w:val="center"/>
              <w:rPr>
                <w:b/>
                <w:color w:val="auto"/>
                <w:sz w:val="21"/>
                <w:szCs w:val="21"/>
              </w:rPr>
            </w:pPr>
            <w:r>
              <w:rPr>
                <w:b/>
                <w:color w:val="auto"/>
                <w:sz w:val="21"/>
                <w:szCs w:val="21"/>
              </w:rPr>
              <w:t>表3-</w:t>
            </w:r>
            <w:r>
              <w:rPr>
                <w:rFonts w:hint="eastAsia"/>
                <w:b/>
                <w:color w:val="auto"/>
                <w:sz w:val="21"/>
                <w:szCs w:val="21"/>
                <w:lang w:val="en-US" w:eastAsia="zh-CN"/>
              </w:rPr>
              <w:t xml:space="preserve">6 </w:t>
            </w:r>
            <w:r>
              <w:rPr>
                <w:rFonts w:hint="eastAsia"/>
                <w:b/>
                <w:color w:val="auto"/>
                <w:sz w:val="21"/>
                <w:szCs w:val="21"/>
              </w:rPr>
              <w:t>项目附近</w:t>
            </w:r>
            <w:r>
              <w:rPr>
                <w:b/>
                <w:color w:val="auto"/>
                <w:sz w:val="21"/>
                <w:szCs w:val="21"/>
              </w:rPr>
              <w:t>大气环境保护目标一览表</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7"/>
              <w:gridCol w:w="1369"/>
              <w:gridCol w:w="1302"/>
              <w:gridCol w:w="747"/>
              <w:gridCol w:w="739"/>
              <w:gridCol w:w="1121"/>
              <w:gridCol w:w="731"/>
              <w:gridCol w:w="993"/>
            </w:tblGrid>
            <w:tr w14:paraId="5EB993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8" w:type="pct"/>
                  <w:vMerge w:val="restart"/>
                  <w:noWrap w:val="0"/>
                  <w:vAlign w:val="center"/>
                </w:tcPr>
                <w:p w14:paraId="11A900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val="en-US" w:eastAsia="zh-CN"/>
                    </w:rPr>
                    <w:t>保护对象</w:t>
                  </w:r>
                  <w:r>
                    <w:rPr>
                      <w:rFonts w:hint="default" w:ascii="Times New Roman" w:hAnsi="Times New Roman" w:cs="Times New Roman" w:eastAsiaTheme="minorEastAsia"/>
                      <w:b w:val="0"/>
                      <w:bCs w:val="0"/>
                      <w:color w:val="auto"/>
                      <w:sz w:val="21"/>
                      <w:szCs w:val="21"/>
                    </w:rPr>
                    <w:t>名称</w:t>
                  </w:r>
                </w:p>
              </w:tc>
              <w:tc>
                <w:tcPr>
                  <w:tcW w:w="1666" w:type="pct"/>
                  <w:gridSpan w:val="2"/>
                  <w:noWrap w:val="0"/>
                  <w:vAlign w:val="center"/>
                </w:tcPr>
                <w:p w14:paraId="51E518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经纬度</w:t>
                  </w:r>
                </w:p>
              </w:tc>
              <w:tc>
                <w:tcPr>
                  <w:tcW w:w="466" w:type="pct"/>
                  <w:vMerge w:val="restart"/>
                  <w:noWrap w:val="0"/>
                  <w:vAlign w:val="center"/>
                </w:tcPr>
                <w:p w14:paraId="7B15DC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保护</w:t>
                  </w:r>
                </w:p>
                <w:p w14:paraId="32BE99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对象</w:t>
                  </w:r>
                </w:p>
              </w:tc>
              <w:tc>
                <w:tcPr>
                  <w:tcW w:w="461" w:type="pct"/>
                  <w:vMerge w:val="restart"/>
                  <w:noWrap w:val="0"/>
                  <w:vAlign w:val="center"/>
                </w:tcPr>
                <w:p w14:paraId="10F2C9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环境</w:t>
                  </w:r>
                </w:p>
                <w:p w14:paraId="6A65B7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功能区</w:t>
                  </w:r>
                </w:p>
              </w:tc>
              <w:tc>
                <w:tcPr>
                  <w:tcW w:w="699" w:type="pct"/>
                  <w:vMerge w:val="restart"/>
                  <w:noWrap w:val="0"/>
                  <w:vAlign w:val="center"/>
                </w:tcPr>
                <w:p w14:paraId="51C0B5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规模</w:t>
                  </w:r>
                </w:p>
              </w:tc>
              <w:tc>
                <w:tcPr>
                  <w:tcW w:w="456" w:type="pct"/>
                  <w:vMerge w:val="restart"/>
                  <w:noWrap w:val="0"/>
                  <w:vAlign w:val="center"/>
                </w:tcPr>
                <w:p w14:paraId="7E0619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相对方位</w:t>
                  </w:r>
                </w:p>
              </w:tc>
              <w:tc>
                <w:tcPr>
                  <w:tcW w:w="619" w:type="pct"/>
                  <w:vMerge w:val="restart"/>
                  <w:noWrap w:val="0"/>
                  <w:vAlign w:val="center"/>
                </w:tcPr>
                <w:p w14:paraId="05FDB4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相对厂界距离（m）</w:t>
                  </w:r>
                </w:p>
              </w:tc>
            </w:tr>
            <w:tr w14:paraId="2D9BB2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8" w:type="pct"/>
                  <w:vMerge w:val="continue"/>
                  <w:noWrap w:val="0"/>
                  <w:vAlign w:val="center"/>
                </w:tcPr>
                <w:p w14:paraId="5AAA41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rPr>
                  </w:pPr>
                </w:p>
              </w:tc>
              <w:tc>
                <w:tcPr>
                  <w:tcW w:w="854" w:type="pct"/>
                  <w:noWrap w:val="0"/>
                  <w:vAlign w:val="center"/>
                </w:tcPr>
                <w:p w14:paraId="4623B4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经度</w:t>
                  </w:r>
                </w:p>
              </w:tc>
              <w:tc>
                <w:tcPr>
                  <w:tcW w:w="812" w:type="pct"/>
                  <w:noWrap w:val="0"/>
                  <w:vAlign w:val="center"/>
                </w:tcPr>
                <w:p w14:paraId="3C75B7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纬度</w:t>
                  </w:r>
                </w:p>
              </w:tc>
              <w:tc>
                <w:tcPr>
                  <w:tcW w:w="466" w:type="pct"/>
                  <w:vMerge w:val="continue"/>
                  <w:noWrap w:val="0"/>
                  <w:vAlign w:val="center"/>
                </w:tcPr>
                <w:p w14:paraId="3346AC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rPr>
                  </w:pPr>
                </w:p>
              </w:tc>
              <w:tc>
                <w:tcPr>
                  <w:tcW w:w="461" w:type="pct"/>
                  <w:vMerge w:val="continue"/>
                  <w:noWrap w:val="0"/>
                  <w:vAlign w:val="center"/>
                </w:tcPr>
                <w:p w14:paraId="4ADCD7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rPr>
                  </w:pPr>
                </w:p>
              </w:tc>
              <w:tc>
                <w:tcPr>
                  <w:tcW w:w="699" w:type="pct"/>
                  <w:vMerge w:val="continue"/>
                  <w:noWrap w:val="0"/>
                  <w:vAlign w:val="center"/>
                </w:tcPr>
                <w:p w14:paraId="4C2CE1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rPr>
                  </w:pPr>
                </w:p>
              </w:tc>
              <w:tc>
                <w:tcPr>
                  <w:tcW w:w="456" w:type="pct"/>
                  <w:vMerge w:val="continue"/>
                  <w:noWrap w:val="0"/>
                  <w:vAlign w:val="center"/>
                </w:tcPr>
                <w:p w14:paraId="0CCB94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rPr>
                  </w:pPr>
                </w:p>
              </w:tc>
              <w:tc>
                <w:tcPr>
                  <w:tcW w:w="619" w:type="pct"/>
                  <w:vMerge w:val="continue"/>
                  <w:noWrap w:val="0"/>
                  <w:vAlign w:val="center"/>
                </w:tcPr>
                <w:p w14:paraId="7FDB0B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rPr>
                  </w:pPr>
                </w:p>
              </w:tc>
            </w:tr>
            <w:tr w14:paraId="639105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7" w:type="dxa"/>
                  <w:noWrap w:val="0"/>
                  <w:vAlign w:val="center"/>
                </w:tcPr>
                <w:p w14:paraId="4890FBFA">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咀头村</w:t>
                  </w:r>
                </w:p>
              </w:tc>
              <w:tc>
                <w:tcPr>
                  <w:tcW w:w="1368" w:type="dxa"/>
                  <w:noWrap w:val="0"/>
                  <w:vAlign w:val="center"/>
                </w:tcPr>
                <w:p w14:paraId="559E2397">
                  <w:pPr>
                    <w:snapToGrid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eastAsia="仿宋" w:cs="Times New Roman"/>
                      <w:color w:val="auto"/>
                      <w:sz w:val="21"/>
                      <w:szCs w:val="21"/>
                      <w:lang w:val="en-US" w:eastAsia="zh-CN"/>
                    </w:rPr>
                    <w:t>119.438230</w:t>
                  </w:r>
                </w:p>
              </w:tc>
              <w:tc>
                <w:tcPr>
                  <w:tcW w:w="1302" w:type="dxa"/>
                  <w:noWrap w:val="0"/>
                  <w:vAlign w:val="center"/>
                </w:tcPr>
                <w:p w14:paraId="5BF5F942">
                  <w:pPr>
                    <w:snapToGrid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eastAsia="仿宋" w:cs="Times New Roman"/>
                      <w:color w:val="auto"/>
                      <w:sz w:val="21"/>
                      <w:szCs w:val="21"/>
                      <w:lang w:val="en-US" w:eastAsia="zh-CN"/>
                    </w:rPr>
                    <w:t xml:space="preserve">31.741042 </w:t>
                  </w:r>
                </w:p>
              </w:tc>
              <w:tc>
                <w:tcPr>
                  <w:tcW w:w="466" w:type="pct"/>
                  <w:noWrap w:val="0"/>
                  <w:vAlign w:val="center"/>
                </w:tcPr>
                <w:p w14:paraId="2026B8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居住区</w:t>
                  </w:r>
                </w:p>
              </w:tc>
              <w:tc>
                <w:tcPr>
                  <w:tcW w:w="461" w:type="pct"/>
                  <w:noWrap w:val="0"/>
                  <w:vAlign w:val="center"/>
                </w:tcPr>
                <w:p w14:paraId="36A800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二类区</w:t>
                  </w:r>
                </w:p>
              </w:tc>
              <w:tc>
                <w:tcPr>
                  <w:tcW w:w="699" w:type="pct"/>
                  <w:noWrap w:val="0"/>
                  <w:vAlign w:val="center"/>
                </w:tcPr>
                <w:p w14:paraId="4B86E9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约</w:t>
                  </w:r>
                  <w:r>
                    <w:rPr>
                      <w:rFonts w:hint="eastAsia" w:cs="Times New Roman" w:eastAsiaTheme="minorEastAsia"/>
                      <w:color w:val="auto"/>
                      <w:sz w:val="21"/>
                      <w:szCs w:val="21"/>
                      <w:lang w:val="en-US" w:eastAsia="zh-CN"/>
                    </w:rPr>
                    <w:t>12</w:t>
                  </w:r>
                  <w:r>
                    <w:rPr>
                      <w:rFonts w:hint="default" w:ascii="Times New Roman" w:hAnsi="Times New Roman" w:cs="Times New Roman" w:eastAsiaTheme="minorEastAsia"/>
                      <w:color w:val="auto"/>
                      <w:sz w:val="21"/>
                      <w:szCs w:val="21"/>
                      <w:lang w:val="en-US" w:eastAsia="zh-CN"/>
                    </w:rPr>
                    <w:t>0户</w:t>
                  </w:r>
                </w:p>
              </w:tc>
              <w:tc>
                <w:tcPr>
                  <w:tcW w:w="456" w:type="pct"/>
                  <w:noWrap w:val="0"/>
                  <w:vAlign w:val="center"/>
                </w:tcPr>
                <w:p w14:paraId="4DAFD6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N</w:t>
                  </w:r>
                </w:p>
              </w:tc>
              <w:tc>
                <w:tcPr>
                  <w:tcW w:w="619" w:type="pct"/>
                  <w:noWrap w:val="0"/>
                  <w:vAlign w:val="center"/>
                </w:tcPr>
                <w:p w14:paraId="03D4D4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350</w:t>
                  </w:r>
                </w:p>
              </w:tc>
            </w:tr>
            <w:tr w14:paraId="565AA4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8" w:type="pct"/>
                  <w:noWrap w:val="0"/>
                  <w:vAlign w:val="center"/>
                </w:tcPr>
                <w:p w14:paraId="0050108A">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田舍大村</w:t>
                  </w:r>
                </w:p>
              </w:tc>
              <w:tc>
                <w:tcPr>
                  <w:tcW w:w="1368" w:type="dxa"/>
                  <w:noWrap w:val="0"/>
                  <w:vAlign w:val="center"/>
                </w:tcPr>
                <w:p w14:paraId="2C913B63">
                  <w:pPr>
                    <w:snapToGrid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eastAsia="仿宋" w:cs="Times New Roman"/>
                      <w:color w:val="auto"/>
                      <w:sz w:val="21"/>
                      <w:szCs w:val="21"/>
                      <w:lang w:val="en-US" w:eastAsia="zh-CN"/>
                    </w:rPr>
                    <w:t>119.432737</w:t>
                  </w:r>
                </w:p>
              </w:tc>
              <w:tc>
                <w:tcPr>
                  <w:tcW w:w="1302" w:type="dxa"/>
                  <w:noWrap w:val="0"/>
                  <w:vAlign w:val="center"/>
                </w:tcPr>
                <w:p w14:paraId="41F371C6">
                  <w:pPr>
                    <w:snapToGrid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eastAsia="仿宋" w:cs="Times New Roman"/>
                      <w:color w:val="auto"/>
                      <w:sz w:val="21"/>
                      <w:szCs w:val="21"/>
                      <w:lang w:val="en-US" w:eastAsia="zh-CN"/>
                    </w:rPr>
                    <w:t xml:space="preserve">31.738971 </w:t>
                  </w:r>
                </w:p>
              </w:tc>
              <w:tc>
                <w:tcPr>
                  <w:tcW w:w="466" w:type="pct"/>
                  <w:noWrap w:val="0"/>
                  <w:vAlign w:val="center"/>
                </w:tcPr>
                <w:p w14:paraId="2FD699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居住区</w:t>
                  </w:r>
                </w:p>
              </w:tc>
              <w:tc>
                <w:tcPr>
                  <w:tcW w:w="461" w:type="pct"/>
                  <w:noWrap w:val="0"/>
                  <w:vAlign w:val="center"/>
                </w:tcPr>
                <w:p w14:paraId="37F749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二类区</w:t>
                  </w:r>
                </w:p>
              </w:tc>
              <w:tc>
                <w:tcPr>
                  <w:tcW w:w="699" w:type="pct"/>
                  <w:noWrap w:val="0"/>
                  <w:vAlign w:val="center"/>
                </w:tcPr>
                <w:p w14:paraId="6E523D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约</w:t>
                  </w:r>
                  <w:r>
                    <w:rPr>
                      <w:rFonts w:hint="eastAsia" w:cs="Times New Roman" w:eastAsiaTheme="minorEastAsia"/>
                      <w:color w:val="auto"/>
                      <w:sz w:val="21"/>
                      <w:szCs w:val="21"/>
                      <w:lang w:val="en-US" w:eastAsia="zh-CN"/>
                    </w:rPr>
                    <w:t>11</w:t>
                  </w:r>
                  <w:r>
                    <w:rPr>
                      <w:rFonts w:hint="default" w:ascii="Times New Roman" w:hAnsi="Times New Roman" w:cs="Times New Roman" w:eastAsiaTheme="minorEastAsia"/>
                      <w:color w:val="auto"/>
                      <w:sz w:val="21"/>
                      <w:szCs w:val="21"/>
                      <w:lang w:val="en-US" w:eastAsia="zh-CN"/>
                    </w:rPr>
                    <w:t>户</w:t>
                  </w:r>
                </w:p>
              </w:tc>
              <w:tc>
                <w:tcPr>
                  <w:tcW w:w="456" w:type="pct"/>
                  <w:noWrap w:val="0"/>
                  <w:vAlign w:val="center"/>
                </w:tcPr>
                <w:p w14:paraId="3E72F1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N</w:t>
                  </w:r>
                  <w:r>
                    <w:rPr>
                      <w:rFonts w:hint="default" w:ascii="Times New Roman" w:hAnsi="Times New Roman" w:cs="Times New Roman" w:eastAsiaTheme="minorEastAsia"/>
                      <w:color w:val="auto"/>
                      <w:sz w:val="21"/>
                      <w:szCs w:val="21"/>
                      <w:lang w:val="en-US" w:eastAsia="zh-CN"/>
                    </w:rPr>
                    <w:t>W</w:t>
                  </w:r>
                </w:p>
              </w:tc>
              <w:tc>
                <w:tcPr>
                  <w:tcW w:w="619" w:type="pct"/>
                  <w:noWrap w:val="0"/>
                  <w:vAlign w:val="center"/>
                </w:tcPr>
                <w:p w14:paraId="7F6CCA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460</w:t>
                  </w:r>
                </w:p>
              </w:tc>
            </w:tr>
            <w:tr w14:paraId="111EAD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8" w:type="pct"/>
                  <w:noWrap w:val="0"/>
                  <w:vAlign w:val="center"/>
                </w:tcPr>
                <w:p w14:paraId="5EB25352">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朱林邻里中心</w:t>
                  </w:r>
                </w:p>
              </w:tc>
              <w:tc>
                <w:tcPr>
                  <w:tcW w:w="1368" w:type="dxa"/>
                  <w:noWrap w:val="0"/>
                  <w:vAlign w:val="center"/>
                </w:tcPr>
                <w:p w14:paraId="72A862FF">
                  <w:pPr>
                    <w:snapToGrid w:val="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119.43</w:t>
                  </w:r>
                  <w:r>
                    <w:rPr>
                      <w:rFonts w:hint="eastAsia" w:eastAsia="仿宋" w:cs="Times New Roman"/>
                      <w:color w:val="auto"/>
                      <w:sz w:val="21"/>
                      <w:szCs w:val="21"/>
                      <w:lang w:val="en-US" w:eastAsia="zh-CN"/>
                    </w:rPr>
                    <w:t>6313</w:t>
                  </w:r>
                </w:p>
              </w:tc>
              <w:tc>
                <w:tcPr>
                  <w:tcW w:w="1302" w:type="dxa"/>
                  <w:noWrap w:val="0"/>
                  <w:vAlign w:val="center"/>
                </w:tcPr>
                <w:p w14:paraId="14900CF8">
                  <w:pPr>
                    <w:snapToGrid w:val="0"/>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31.7</w:t>
                  </w:r>
                  <w:r>
                    <w:rPr>
                      <w:rFonts w:hint="eastAsia" w:eastAsia="仿宋" w:cs="Times New Roman"/>
                      <w:color w:val="auto"/>
                      <w:sz w:val="21"/>
                      <w:szCs w:val="21"/>
                      <w:lang w:val="en-US" w:eastAsia="zh-CN"/>
                    </w:rPr>
                    <w:t>36189</w:t>
                  </w:r>
                  <w:r>
                    <w:rPr>
                      <w:rFonts w:hint="eastAsia" w:ascii="Times New Roman" w:hAnsi="Times New Roman" w:eastAsia="仿宋" w:cs="Times New Roman"/>
                      <w:color w:val="auto"/>
                      <w:sz w:val="21"/>
                      <w:szCs w:val="21"/>
                      <w:lang w:val="en-US" w:eastAsia="zh-CN"/>
                    </w:rPr>
                    <w:t xml:space="preserve"> </w:t>
                  </w:r>
                </w:p>
              </w:tc>
              <w:tc>
                <w:tcPr>
                  <w:tcW w:w="747" w:type="dxa"/>
                  <w:noWrap w:val="0"/>
                  <w:vAlign w:val="center"/>
                </w:tcPr>
                <w:p w14:paraId="4D9201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居住区</w:t>
                  </w:r>
                </w:p>
              </w:tc>
              <w:tc>
                <w:tcPr>
                  <w:tcW w:w="739" w:type="dxa"/>
                  <w:noWrap w:val="0"/>
                  <w:vAlign w:val="center"/>
                </w:tcPr>
                <w:p w14:paraId="2CF234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二类区</w:t>
                  </w:r>
                </w:p>
              </w:tc>
              <w:tc>
                <w:tcPr>
                  <w:tcW w:w="699" w:type="pct"/>
                  <w:noWrap w:val="0"/>
                  <w:vAlign w:val="center"/>
                </w:tcPr>
                <w:p w14:paraId="7C4973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约</w:t>
                  </w:r>
                  <w:r>
                    <w:rPr>
                      <w:rFonts w:hint="eastAsia" w:cs="Times New Roman" w:eastAsiaTheme="minorEastAsia"/>
                      <w:color w:val="auto"/>
                      <w:sz w:val="21"/>
                      <w:szCs w:val="21"/>
                      <w:lang w:val="en-US" w:eastAsia="zh-CN"/>
                    </w:rPr>
                    <w:t>20</w:t>
                  </w:r>
                  <w:r>
                    <w:rPr>
                      <w:rFonts w:hint="default" w:ascii="Times New Roman" w:hAnsi="Times New Roman" w:cs="Times New Roman" w:eastAsiaTheme="minorEastAsia"/>
                      <w:color w:val="auto"/>
                      <w:sz w:val="21"/>
                      <w:szCs w:val="21"/>
                      <w:lang w:val="en-US" w:eastAsia="zh-CN"/>
                    </w:rPr>
                    <w:t>0户</w:t>
                  </w:r>
                </w:p>
              </w:tc>
              <w:tc>
                <w:tcPr>
                  <w:tcW w:w="456" w:type="pct"/>
                  <w:noWrap w:val="0"/>
                  <w:vAlign w:val="center"/>
                </w:tcPr>
                <w:p w14:paraId="3813A9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SE</w:t>
                  </w:r>
                </w:p>
              </w:tc>
              <w:tc>
                <w:tcPr>
                  <w:tcW w:w="619" w:type="pct"/>
                  <w:noWrap w:val="0"/>
                  <w:vAlign w:val="center"/>
                </w:tcPr>
                <w:p w14:paraId="2B592D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340</w:t>
                  </w:r>
                </w:p>
              </w:tc>
            </w:tr>
          </w:tbl>
          <w:p w14:paraId="1D8F43EF">
            <w:pPr>
              <w:pStyle w:val="94"/>
              <w:keepNext w:val="0"/>
              <w:keepLines w:val="0"/>
              <w:pageBreakBefore w:val="0"/>
              <w:widowControl w:val="0"/>
              <w:kinsoku/>
              <w:wordWrap/>
              <w:overflowPunct/>
              <w:topLinePunct w:val="0"/>
              <w:autoSpaceDE/>
              <w:autoSpaceDN/>
              <w:bidi w:val="0"/>
              <w:adjustRightInd w:val="0"/>
              <w:snapToGrid w:val="0"/>
              <w:spacing w:line="500" w:lineRule="exact"/>
              <w:ind w:left="0" w:leftChars="0" w:firstLine="420" w:firstLineChars="200"/>
              <w:textAlignment w:val="auto"/>
              <w:rPr>
                <w:rFonts w:hint="eastAsia" w:eastAsia="宋体"/>
                <w:color w:val="auto"/>
                <w:sz w:val="21"/>
                <w:szCs w:val="21"/>
              </w:rPr>
            </w:pPr>
            <w:r>
              <w:rPr>
                <w:rFonts w:eastAsia="宋体"/>
                <w:color w:val="auto"/>
                <w:sz w:val="21"/>
                <w:szCs w:val="21"/>
              </w:rPr>
              <w:t>2</w:t>
            </w:r>
            <w:r>
              <w:rPr>
                <w:rFonts w:hint="eastAsia" w:eastAsia="宋体"/>
                <w:color w:val="auto"/>
                <w:sz w:val="21"/>
                <w:szCs w:val="21"/>
              </w:rPr>
              <w:t>.声环境</w:t>
            </w:r>
          </w:p>
          <w:p w14:paraId="796A2659">
            <w:pPr>
              <w:pStyle w:val="94"/>
              <w:keepNext w:val="0"/>
              <w:keepLines w:val="0"/>
              <w:pageBreakBefore w:val="0"/>
              <w:widowControl w:val="0"/>
              <w:kinsoku/>
              <w:wordWrap/>
              <w:overflowPunct/>
              <w:topLinePunct w:val="0"/>
              <w:autoSpaceDE/>
              <w:autoSpaceDN/>
              <w:bidi w:val="0"/>
              <w:adjustRightInd w:val="0"/>
              <w:snapToGrid w:val="0"/>
              <w:spacing w:line="500" w:lineRule="exact"/>
              <w:ind w:firstLine="420"/>
              <w:textAlignment w:val="auto"/>
              <w:rPr>
                <w:rFonts w:hint="eastAsia" w:eastAsia="宋体"/>
                <w:bCs/>
                <w:color w:val="auto"/>
                <w:sz w:val="21"/>
                <w:szCs w:val="21"/>
              </w:rPr>
            </w:pPr>
            <w:r>
              <w:rPr>
                <w:rFonts w:eastAsia="宋体"/>
                <w:bCs/>
                <w:color w:val="auto"/>
                <w:sz w:val="21"/>
                <w:szCs w:val="21"/>
              </w:rPr>
              <w:t>项目厂界外50米范围内无声环境保护目标</w:t>
            </w:r>
            <w:r>
              <w:rPr>
                <w:rFonts w:hint="eastAsia" w:eastAsia="宋体"/>
                <w:bCs/>
                <w:color w:val="auto"/>
                <w:sz w:val="21"/>
                <w:szCs w:val="21"/>
              </w:rPr>
              <w:t>。</w:t>
            </w:r>
          </w:p>
          <w:p w14:paraId="6E5E8143">
            <w:pPr>
              <w:pStyle w:val="94"/>
              <w:keepNext w:val="0"/>
              <w:keepLines w:val="0"/>
              <w:pageBreakBefore w:val="0"/>
              <w:widowControl w:val="0"/>
              <w:kinsoku/>
              <w:wordWrap/>
              <w:overflowPunct/>
              <w:topLinePunct w:val="0"/>
              <w:autoSpaceDE/>
              <w:autoSpaceDN/>
              <w:bidi w:val="0"/>
              <w:adjustRightInd w:val="0"/>
              <w:snapToGrid w:val="0"/>
              <w:spacing w:line="500" w:lineRule="exact"/>
              <w:ind w:firstLine="420"/>
              <w:textAlignment w:val="auto"/>
              <w:rPr>
                <w:rFonts w:hint="eastAsia" w:eastAsia="宋体"/>
                <w:color w:val="auto"/>
                <w:sz w:val="21"/>
                <w:szCs w:val="21"/>
              </w:rPr>
            </w:pPr>
            <w:r>
              <w:rPr>
                <w:rFonts w:eastAsia="宋体"/>
                <w:color w:val="auto"/>
                <w:sz w:val="21"/>
                <w:szCs w:val="21"/>
              </w:rPr>
              <w:t>3</w:t>
            </w:r>
            <w:r>
              <w:rPr>
                <w:rFonts w:hint="eastAsia" w:eastAsia="宋体"/>
                <w:color w:val="auto"/>
                <w:sz w:val="21"/>
                <w:szCs w:val="21"/>
              </w:rPr>
              <w:t>.地下水环境</w:t>
            </w:r>
          </w:p>
          <w:p w14:paraId="50914FCA">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eastAsia" w:ascii="宋体" w:hAnsi="宋体" w:cs="宋体"/>
                <w:bCs/>
                <w:color w:val="auto"/>
                <w:sz w:val="21"/>
                <w:szCs w:val="21"/>
              </w:rPr>
            </w:pPr>
            <w:r>
              <w:rPr>
                <w:rFonts w:hint="eastAsia"/>
                <w:color w:val="auto"/>
                <w:sz w:val="21"/>
                <w:szCs w:val="21"/>
              </w:rPr>
              <w:t>项目厂界外</w:t>
            </w:r>
            <w:r>
              <w:rPr>
                <w:color w:val="auto"/>
                <w:sz w:val="21"/>
                <w:szCs w:val="21"/>
              </w:rPr>
              <w:t>500</w:t>
            </w:r>
            <w:r>
              <w:rPr>
                <w:rFonts w:hint="eastAsia"/>
                <w:color w:val="auto"/>
                <w:sz w:val="21"/>
                <w:szCs w:val="21"/>
              </w:rPr>
              <w:t>米范围内无地下水集中式饮用水水源和热水、矿泉水、温泉等特殊地下水资源。</w:t>
            </w:r>
            <w:r>
              <w:rPr>
                <w:rFonts w:hint="eastAsia"/>
                <w:color w:val="auto"/>
                <w:sz w:val="21"/>
                <w:szCs w:val="21"/>
              </w:rPr>
              <w:br w:type="textWrapping"/>
            </w:r>
            <w:r>
              <w:rPr>
                <w:rFonts w:hint="eastAsia" w:ascii="宋体" w:hAnsi="宋体" w:cs="宋体"/>
                <w:color w:val="auto"/>
                <w:sz w:val="21"/>
                <w:szCs w:val="21"/>
              </w:rPr>
              <w:t xml:space="preserve">    </w:t>
            </w:r>
            <w:r>
              <w:rPr>
                <w:rFonts w:hint="eastAsia" w:ascii="宋体" w:hAnsi="宋体" w:cs="宋体"/>
                <w:bCs/>
                <w:color w:val="auto"/>
                <w:sz w:val="21"/>
                <w:szCs w:val="21"/>
              </w:rPr>
              <w:t>4</w:t>
            </w:r>
            <w:r>
              <w:rPr>
                <w:rFonts w:hint="eastAsia"/>
                <w:color w:val="auto"/>
                <w:sz w:val="21"/>
                <w:szCs w:val="21"/>
              </w:rPr>
              <w:t>.</w:t>
            </w:r>
            <w:r>
              <w:rPr>
                <w:rFonts w:hint="eastAsia" w:ascii="宋体" w:hAnsi="宋体" w:cs="宋体"/>
                <w:bCs/>
                <w:color w:val="auto"/>
                <w:sz w:val="21"/>
                <w:szCs w:val="21"/>
              </w:rPr>
              <w:t>生态环境</w:t>
            </w:r>
          </w:p>
          <w:p w14:paraId="55143119">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both"/>
              <w:textAlignment w:val="auto"/>
              <w:rPr>
                <w:rFonts w:hint="default" w:ascii="Times New Roman" w:hAnsi="Times New Roman" w:cs="Times New Roman"/>
                <w:bCs/>
                <w:color w:val="auto"/>
                <w:sz w:val="21"/>
                <w:szCs w:val="21"/>
              </w:rPr>
            </w:pPr>
            <w:r>
              <w:rPr>
                <w:rFonts w:hint="eastAsia" w:ascii="宋体" w:hAnsi="宋体" w:cs="宋体"/>
                <w:bCs/>
                <w:color w:val="auto"/>
                <w:sz w:val="21"/>
                <w:szCs w:val="21"/>
              </w:rPr>
              <w:t>本项目位于</w:t>
            </w:r>
            <w:r>
              <w:rPr>
                <w:rFonts w:hint="eastAsia" w:ascii="宋体" w:hAnsi="宋体" w:cs="宋体"/>
                <w:color w:val="auto"/>
                <w:sz w:val="21"/>
                <w:szCs w:val="21"/>
                <w:lang w:eastAsia="zh-CN"/>
              </w:rPr>
              <w:t>朱林现代产业园</w:t>
            </w:r>
            <w:r>
              <w:rPr>
                <w:rFonts w:hint="eastAsia" w:ascii="宋体" w:hAnsi="宋体" w:cs="宋体"/>
                <w:bCs/>
                <w:color w:val="auto"/>
                <w:sz w:val="21"/>
                <w:szCs w:val="21"/>
              </w:rPr>
              <w:t>内，用地范围内不存在生态环境保护目标。</w:t>
            </w:r>
          </w:p>
          <w:p w14:paraId="642757CF">
            <w:pPr>
              <w:adjustRightInd w:val="0"/>
              <w:snapToGrid w:val="0"/>
              <w:spacing w:line="500" w:lineRule="exact"/>
              <w:jc w:val="both"/>
              <w:rPr>
                <w:rFonts w:hint="default" w:ascii="Times New Roman" w:hAnsi="Times New Roman" w:eastAsia="宋体" w:cs="Times New Roman"/>
                <w:color w:val="auto"/>
                <w:kern w:val="0"/>
                <w:sz w:val="21"/>
                <w:szCs w:val="21"/>
                <w:lang w:val="en-US" w:eastAsia="zh-CN" w:bidi="ar-SA"/>
              </w:rPr>
            </w:pPr>
          </w:p>
        </w:tc>
      </w:tr>
    </w:tbl>
    <w:p w14:paraId="118AD336">
      <w:pPr>
        <w:adjustRightInd w:val="0"/>
        <w:snapToGrid w:val="0"/>
        <w:jc w:val="center"/>
        <w:rPr>
          <w:rFonts w:hint="default" w:ascii="Times New Roman" w:hAnsi="Times New Roman" w:cs="Times New Roman"/>
          <w:color w:val="auto"/>
          <w:kern w:val="0"/>
          <w:sz w:val="24"/>
        </w:rPr>
        <w:sectPr>
          <w:pgSz w:w="11906" w:h="16838"/>
          <w:pgMar w:top="1417" w:right="1417" w:bottom="1417" w:left="1417" w:header="851" w:footer="1134" w:gutter="0"/>
          <w:pgBorders>
            <w:top w:val="none" w:sz="0" w:space="0"/>
            <w:left w:val="none" w:sz="0" w:space="0"/>
            <w:bottom w:val="none" w:sz="0" w:space="0"/>
            <w:right w:val="none" w:sz="0" w:space="0"/>
          </w:pgBorders>
          <w:pgNumType w:fmt="decimal"/>
          <w:cols w:space="720" w:num="1"/>
          <w:docGrid w:linePitch="312" w:charSpace="0"/>
        </w:sectPr>
      </w:pPr>
    </w:p>
    <w:tbl>
      <w:tblPr>
        <w:tblStyle w:val="31"/>
        <w:tblW w:w="8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8152"/>
      </w:tblGrid>
      <w:tr w14:paraId="485ED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4" w:hRule="atLeast"/>
          <w:jc w:val="center"/>
        </w:trPr>
        <w:tc>
          <w:tcPr>
            <w:tcW w:w="832" w:type="dxa"/>
            <w:tcMar>
              <w:left w:w="28" w:type="dxa"/>
              <w:right w:w="28" w:type="dxa"/>
            </w:tcMar>
            <w:vAlign w:val="center"/>
          </w:tcPr>
          <w:p w14:paraId="187B0708">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w:t>
            </w:r>
          </w:p>
          <w:p w14:paraId="7DE3DF1C">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物排</w:t>
            </w:r>
          </w:p>
          <w:p w14:paraId="50B5B55E">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放控</w:t>
            </w:r>
          </w:p>
          <w:p w14:paraId="55382105">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制标</w:t>
            </w:r>
          </w:p>
          <w:p w14:paraId="4C660D65">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准</w:t>
            </w:r>
          </w:p>
        </w:tc>
        <w:tc>
          <w:tcPr>
            <w:tcW w:w="8152" w:type="dxa"/>
            <w:vAlign w:val="center"/>
          </w:tcPr>
          <w:p w14:paraId="39CF740E">
            <w:pPr>
              <w:adjustRightInd w:val="0"/>
              <w:snapToGrid w:val="0"/>
              <w:spacing w:line="240" w:lineRule="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1、废气</w:t>
            </w:r>
          </w:p>
          <w:p w14:paraId="5FD3D777">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项目</w:t>
            </w:r>
            <w:r>
              <w:rPr>
                <w:rFonts w:hint="eastAsia" w:ascii="Times New Roman" w:hAnsi="Times New Roman" w:eastAsia="宋体" w:cs="Times New Roman"/>
                <w:color w:val="auto"/>
                <w:sz w:val="21"/>
                <w:szCs w:val="21"/>
                <w:highlight w:val="none"/>
                <w:lang w:eastAsia="zh-CN"/>
              </w:rPr>
              <w:t>印刷工序废气排放执行</w:t>
            </w:r>
            <w:r>
              <w:rPr>
                <w:rFonts w:hint="eastAsia" w:ascii="Times New Roman" w:hAnsi="Times New Roman" w:eastAsia="宋体" w:cs="Times New Roman"/>
                <w:color w:val="auto"/>
                <w:sz w:val="21"/>
                <w:szCs w:val="21"/>
                <w:highlight w:val="none"/>
              </w:rPr>
              <w:t>《印刷工业大气污染物排放标准》（DB32／4438-2022）</w:t>
            </w:r>
            <w:r>
              <w:rPr>
                <w:rFonts w:hint="eastAsia" w:ascii="Times New Roman" w:hAnsi="Times New Roman" w:eastAsia="宋体" w:cs="Times New Roman"/>
                <w:color w:val="auto"/>
                <w:sz w:val="21"/>
                <w:szCs w:val="21"/>
                <w:highlight w:val="none"/>
                <w:lang w:val="en-US" w:eastAsia="zh-CN"/>
              </w:rPr>
              <w:t>表1</w:t>
            </w:r>
            <w:r>
              <w:rPr>
                <w:rFonts w:hint="eastAsia" w:ascii="Times New Roman" w:hAnsi="Times New Roman" w:eastAsia="宋体" w:cs="Times New Roman"/>
                <w:color w:val="auto"/>
                <w:sz w:val="21"/>
                <w:szCs w:val="21"/>
                <w:highlight w:val="none"/>
                <w:lang w:eastAsia="zh-CN"/>
              </w:rPr>
              <w:t>中标准，复合、熟化工序废气排放执行</w:t>
            </w:r>
            <w:r>
              <w:rPr>
                <w:rFonts w:hint="eastAsia" w:ascii="Times New Roman" w:hAnsi="Times New Roman" w:eastAsia="宋体" w:cs="Times New Roman"/>
                <w:color w:val="auto"/>
                <w:sz w:val="21"/>
                <w:szCs w:val="21"/>
                <w:highlight w:val="none"/>
              </w:rPr>
              <w:t>《大气污染物综合排放标准》(DB32/4041-2021)</w:t>
            </w:r>
            <w:r>
              <w:rPr>
                <w:rFonts w:hint="eastAsia" w:ascii="Times New Roman" w:hAnsi="Times New Roman" w:eastAsia="宋体" w:cs="Times New Roman"/>
                <w:color w:val="auto"/>
                <w:sz w:val="21"/>
                <w:szCs w:val="21"/>
                <w:highlight w:val="none"/>
                <w:lang w:val="en-US" w:eastAsia="zh-CN"/>
              </w:rPr>
              <w:t>表1</w:t>
            </w:r>
            <w:r>
              <w:rPr>
                <w:rFonts w:hint="eastAsia" w:ascii="Times New Roman" w:hAnsi="Times New Roman" w:eastAsia="宋体" w:cs="Times New Roman"/>
                <w:color w:val="auto"/>
                <w:sz w:val="21"/>
                <w:szCs w:val="21"/>
                <w:highlight w:val="none"/>
                <w:lang w:eastAsia="zh-CN"/>
              </w:rPr>
              <w:t>中标准，由于印刷、复合、熟化废气均通过同一根排气筒排放，故项目</w:t>
            </w:r>
            <w:r>
              <w:rPr>
                <w:rFonts w:hint="eastAsia" w:ascii="Times New Roman" w:hAnsi="Times New Roman" w:eastAsia="宋体" w:cs="Times New Roman"/>
                <w:color w:val="auto"/>
                <w:sz w:val="21"/>
                <w:szCs w:val="21"/>
                <w:highlight w:val="none"/>
              </w:rPr>
              <w:t>有组织废气非甲烷总烃排放</w:t>
            </w:r>
            <w:r>
              <w:rPr>
                <w:rFonts w:hint="eastAsia" w:ascii="Times New Roman" w:hAnsi="Times New Roman" w:eastAsia="宋体" w:cs="Times New Roman"/>
                <w:color w:val="auto"/>
                <w:sz w:val="21"/>
                <w:szCs w:val="21"/>
                <w:highlight w:val="none"/>
                <w:lang w:eastAsia="zh-CN"/>
              </w:rPr>
              <w:t>从严</w:t>
            </w:r>
            <w:r>
              <w:rPr>
                <w:rFonts w:hint="eastAsia" w:ascii="Times New Roman" w:hAnsi="Times New Roman" w:eastAsia="宋体" w:cs="Times New Roman"/>
                <w:color w:val="auto"/>
                <w:sz w:val="21"/>
                <w:szCs w:val="21"/>
                <w:highlight w:val="none"/>
              </w:rPr>
              <w:t>执行《印刷工业大气污染物排放标准》（DB32／4438-2022）</w:t>
            </w:r>
            <w:r>
              <w:rPr>
                <w:rFonts w:hint="eastAsia" w:ascii="Times New Roman" w:hAnsi="Times New Roman" w:eastAsia="宋体" w:cs="Times New Roman"/>
                <w:color w:val="auto"/>
                <w:sz w:val="21"/>
                <w:szCs w:val="21"/>
                <w:highlight w:val="none"/>
                <w:lang w:val="en-US" w:eastAsia="zh-CN"/>
              </w:rPr>
              <w:t>表1标准限值。</w:t>
            </w:r>
          </w:p>
          <w:p w14:paraId="499F3113">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表3</w:t>
            </w:r>
            <w:r>
              <w:rPr>
                <w:rFonts w:hint="eastAsia" w:cs="Times New Roman"/>
                <w:b/>
                <w:bCs/>
                <w:color w:val="auto"/>
                <w:sz w:val="21"/>
                <w:szCs w:val="21"/>
                <w:highlight w:val="none"/>
                <w:lang w:val="en-US" w:eastAsia="zh-CN"/>
              </w:rPr>
              <w:t xml:space="preserve">-7 </w:t>
            </w:r>
            <w:r>
              <w:rPr>
                <w:rFonts w:hint="eastAsia" w:cs="Times New Roman"/>
                <w:b/>
                <w:bCs/>
                <w:color w:val="auto"/>
                <w:sz w:val="21"/>
                <w:szCs w:val="21"/>
                <w:lang w:val="en-US" w:eastAsia="zh-CN"/>
              </w:rPr>
              <w:t>运营期项目</w:t>
            </w:r>
            <w:r>
              <w:rPr>
                <w:rFonts w:hint="default" w:ascii="Times New Roman" w:hAnsi="Times New Roman" w:cs="Times New Roman"/>
                <w:b/>
                <w:bCs/>
                <w:color w:val="auto"/>
                <w:sz w:val="21"/>
                <w:szCs w:val="21"/>
                <w:highlight w:val="none"/>
                <w:lang w:val="en-US" w:eastAsia="zh-CN"/>
              </w:rPr>
              <w:t>大气污染物</w:t>
            </w:r>
            <w:r>
              <w:rPr>
                <w:rFonts w:hint="eastAsia" w:cs="Times New Roman"/>
                <w:b/>
                <w:bCs/>
                <w:color w:val="auto"/>
                <w:sz w:val="21"/>
                <w:szCs w:val="21"/>
                <w:highlight w:val="none"/>
                <w:lang w:val="en-US" w:eastAsia="zh-CN"/>
              </w:rPr>
              <w:t>有组织</w:t>
            </w:r>
            <w:r>
              <w:rPr>
                <w:rFonts w:hint="default" w:ascii="Times New Roman" w:hAnsi="Times New Roman" w:cs="Times New Roman"/>
                <w:b/>
                <w:bCs/>
                <w:color w:val="auto"/>
                <w:sz w:val="21"/>
                <w:szCs w:val="21"/>
                <w:highlight w:val="none"/>
                <w:lang w:val="en-US" w:eastAsia="zh-CN"/>
              </w:rPr>
              <w:t>排放标准</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972"/>
              <w:gridCol w:w="1866"/>
              <w:gridCol w:w="1779"/>
              <w:gridCol w:w="1232"/>
              <w:gridCol w:w="2084"/>
            </w:tblGrid>
            <w:tr w14:paraId="78435446">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3" w:type="pct"/>
                  <w:vMerge w:val="restart"/>
                  <w:noWrap w:val="0"/>
                  <w:vAlign w:val="center"/>
                </w:tcPr>
                <w:p w14:paraId="28D096A6">
                  <w:pPr>
                    <w:jc w:val="center"/>
                    <w:rPr>
                      <w:color w:val="auto"/>
                      <w:sz w:val="21"/>
                      <w:szCs w:val="21"/>
                    </w:rPr>
                  </w:pPr>
                  <w:r>
                    <w:rPr>
                      <w:color w:val="auto"/>
                      <w:sz w:val="21"/>
                      <w:szCs w:val="21"/>
                    </w:rPr>
                    <w:t>污染物名称</w:t>
                  </w:r>
                </w:p>
              </w:tc>
              <w:tc>
                <w:tcPr>
                  <w:tcW w:w="3073" w:type="pct"/>
                  <w:gridSpan w:val="3"/>
                  <w:noWrap w:val="0"/>
                  <w:vAlign w:val="center"/>
                </w:tcPr>
                <w:p w14:paraId="244A5172">
                  <w:pPr>
                    <w:jc w:val="center"/>
                    <w:rPr>
                      <w:color w:val="auto"/>
                      <w:sz w:val="21"/>
                      <w:szCs w:val="21"/>
                    </w:rPr>
                  </w:pPr>
                  <w:r>
                    <w:rPr>
                      <w:color w:val="auto"/>
                      <w:sz w:val="21"/>
                      <w:szCs w:val="21"/>
                    </w:rPr>
                    <w:t>有组织排放限值</w:t>
                  </w:r>
                </w:p>
              </w:tc>
              <w:tc>
                <w:tcPr>
                  <w:tcW w:w="1313" w:type="pct"/>
                  <w:vMerge w:val="restart"/>
                  <w:tcBorders>
                    <w:left w:val="single" w:color="auto" w:sz="4" w:space="0"/>
                  </w:tcBorders>
                  <w:noWrap w:val="0"/>
                  <w:vAlign w:val="center"/>
                </w:tcPr>
                <w:p w14:paraId="5602E02C">
                  <w:pPr>
                    <w:jc w:val="center"/>
                    <w:rPr>
                      <w:color w:val="auto"/>
                      <w:sz w:val="21"/>
                      <w:szCs w:val="21"/>
                    </w:rPr>
                  </w:pPr>
                  <w:r>
                    <w:rPr>
                      <w:color w:val="auto"/>
                      <w:sz w:val="21"/>
                      <w:szCs w:val="21"/>
                    </w:rPr>
                    <w:t>标准来源</w:t>
                  </w:r>
                </w:p>
              </w:tc>
            </w:tr>
            <w:tr w14:paraId="40722146">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3" w:type="pct"/>
                  <w:vMerge w:val="continue"/>
                  <w:noWrap w:val="0"/>
                  <w:vAlign w:val="center"/>
                </w:tcPr>
                <w:p w14:paraId="19D75AAD">
                  <w:pPr>
                    <w:jc w:val="center"/>
                    <w:rPr>
                      <w:color w:val="auto"/>
                      <w:sz w:val="21"/>
                      <w:szCs w:val="21"/>
                    </w:rPr>
                  </w:pPr>
                </w:p>
              </w:tc>
              <w:tc>
                <w:tcPr>
                  <w:tcW w:w="1176" w:type="pct"/>
                  <w:noWrap w:val="0"/>
                  <w:vAlign w:val="center"/>
                </w:tcPr>
                <w:p w14:paraId="5206AD90">
                  <w:pPr>
                    <w:jc w:val="center"/>
                    <w:rPr>
                      <w:color w:val="auto"/>
                      <w:sz w:val="21"/>
                      <w:szCs w:val="21"/>
                    </w:rPr>
                  </w:pPr>
                  <w:r>
                    <w:rPr>
                      <w:color w:val="auto"/>
                      <w:sz w:val="21"/>
                      <w:szCs w:val="21"/>
                    </w:rPr>
                    <w:t>最高允许排放浓度mg/m</w:t>
                  </w:r>
                  <w:r>
                    <w:rPr>
                      <w:color w:val="auto"/>
                      <w:sz w:val="21"/>
                      <w:szCs w:val="21"/>
                      <w:vertAlign w:val="superscript"/>
                    </w:rPr>
                    <w:t>3</w:t>
                  </w:r>
                </w:p>
              </w:tc>
              <w:tc>
                <w:tcPr>
                  <w:tcW w:w="1121" w:type="pct"/>
                  <w:noWrap w:val="0"/>
                  <w:vAlign w:val="center"/>
                </w:tcPr>
                <w:p w14:paraId="5FA4F97D">
                  <w:pPr>
                    <w:jc w:val="center"/>
                    <w:rPr>
                      <w:color w:val="auto"/>
                      <w:sz w:val="21"/>
                      <w:szCs w:val="21"/>
                    </w:rPr>
                  </w:pPr>
                  <w:r>
                    <w:rPr>
                      <w:color w:val="auto"/>
                      <w:sz w:val="21"/>
                      <w:szCs w:val="21"/>
                    </w:rPr>
                    <w:t>最高允许排放速率kg/h</w:t>
                  </w:r>
                </w:p>
              </w:tc>
              <w:tc>
                <w:tcPr>
                  <w:tcW w:w="776" w:type="pct"/>
                  <w:noWrap w:val="0"/>
                  <w:vAlign w:val="center"/>
                </w:tcPr>
                <w:p w14:paraId="4B0943FD">
                  <w:pPr>
                    <w:jc w:val="center"/>
                    <w:rPr>
                      <w:color w:val="auto"/>
                      <w:sz w:val="21"/>
                      <w:szCs w:val="21"/>
                    </w:rPr>
                  </w:pPr>
                  <w:r>
                    <w:rPr>
                      <w:color w:val="auto"/>
                      <w:sz w:val="21"/>
                      <w:szCs w:val="21"/>
                    </w:rPr>
                    <w:t>排气筒高度m</w:t>
                  </w:r>
                </w:p>
              </w:tc>
              <w:tc>
                <w:tcPr>
                  <w:tcW w:w="1313" w:type="pct"/>
                  <w:vMerge w:val="continue"/>
                  <w:tcBorders>
                    <w:left w:val="single" w:color="auto" w:sz="4" w:space="0"/>
                  </w:tcBorders>
                  <w:noWrap w:val="0"/>
                  <w:vAlign w:val="center"/>
                </w:tcPr>
                <w:p w14:paraId="43A0D955">
                  <w:pPr>
                    <w:jc w:val="center"/>
                    <w:rPr>
                      <w:color w:val="auto"/>
                      <w:sz w:val="21"/>
                      <w:szCs w:val="21"/>
                    </w:rPr>
                  </w:pPr>
                </w:p>
              </w:tc>
            </w:tr>
            <w:tr w14:paraId="350D6962">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3" w:type="pct"/>
                  <w:noWrap w:val="0"/>
                  <w:vAlign w:val="center"/>
                </w:tcPr>
                <w:p w14:paraId="25F29E0E">
                  <w:pPr>
                    <w:snapToGrid w:val="0"/>
                    <w:spacing w:line="240" w:lineRule="atLeast"/>
                    <w:jc w:val="center"/>
                    <w:rPr>
                      <w:color w:val="auto"/>
                      <w:sz w:val="21"/>
                      <w:szCs w:val="21"/>
                    </w:rPr>
                  </w:pPr>
                  <w:r>
                    <w:rPr>
                      <w:bCs/>
                      <w:color w:val="auto"/>
                      <w:sz w:val="21"/>
                      <w:szCs w:val="21"/>
                    </w:rPr>
                    <w:t>非甲烷总烃</w:t>
                  </w:r>
                </w:p>
              </w:tc>
              <w:tc>
                <w:tcPr>
                  <w:tcW w:w="1176" w:type="pct"/>
                  <w:noWrap w:val="0"/>
                  <w:vAlign w:val="center"/>
                </w:tcPr>
                <w:p w14:paraId="7BCE92AB">
                  <w:pPr>
                    <w:snapToGrid w:val="0"/>
                    <w:spacing w:line="240" w:lineRule="atLeast"/>
                    <w:jc w:val="center"/>
                    <w:rPr>
                      <w:color w:val="auto"/>
                      <w:sz w:val="21"/>
                      <w:szCs w:val="21"/>
                    </w:rPr>
                  </w:pPr>
                  <w:r>
                    <w:rPr>
                      <w:rFonts w:hint="eastAsia"/>
                      <w:color w:val="auto"/>
                      <w:sz w:val="21"/>
                      <w:szCs w:val="21"/>
                    </w:rPr>
                    <w:t>50</w:t>
                  </w:r>
                </w:p>
              </w:tc>
              <w:tc>
                <w:tcPr>
                  <w:tcW w:w="1121" w:type="pct"/>
                  <w:noWrap w:val="0"/>
                  <w:vAlign w:val="center"/>
                </w:tcPr>
                <w:p w14:paraId="0582B6DE">
                  <w:pPr>
                    <w:snapToGrid w:val="0"/>
                    <w:spacing w:line="240" w:lineRule="atLeast"/>
                    <w:jc w:val="center"/>
                    <w:rPr>
                      <w:color w:val="auto"/>
                      <w:sz w:val="21"/>
                      <w:szCs w:val="21"/>
                    </w:rPr>
                  </w:pPr>
                  <w:r>
                    <w:rPr>
                      <w:rFonts w:hint="eastAsia"/>
                      <w:color w:val="auto"/>
                      <w:sz w:val="21"/>
                      <w:szCs w:val="21"/>
                    </w:rPr>
                    <w:t>1.8</w:t>
                  </w:r>
                </w:p>
              </w:tc>
              <w:tc>
                <w:tcPr>
                  <w:tcW w:w="776" w:type="pct"/>
                  <w:noWrap w:val="0"/>
                  <w:vAlign w:val="center"/>
                </w:tcPr>
                <w:p w14:paraId="7A0A7506">
                  <w:pPr>
                    <w:jc w:val="center"/>
                    <w:rPr>
                      <w:color w:val="auto"/>
                      <w:sz w:val="21"/>
                      <w:szCs w:val="21"/>
                    </w:rPr>
                  </w:pPr>
                  <w:r>
                    <w:rPr>
                      <w:color w:val="auto"/>
                      <w:sz w:val="21"/>
                      <w:szCs w:val="21"/>
                    </w:rPr>
                    <w:t>15</w:t>
                  </w:r>
                </w:p>
              </w:tc>
              <w:tc>
                <w:tcPr>
                  <w:tcW w:w="1313" w:type="pct"/>
                  <w:vMerge w:val="restart"/>
                  <w:tcBorders>
                    <w:left w:val="single" w:color="auto" w:sz="4" w:space="0"/>
                  </w:tcBorders>
                  <w:noWrap w:val="0"/>
                  <w:vAlign w:val="center"/>
                </w:tcPr>
                <w:p w14:paraId="11B521ED">
                  <w:pPr>
                    <w:jc w:val="center"/>
                    <w:rPr>
                      <w:color w:val="auto"/>
                      <w:sz w:val="21"/>
                      <w:szCs w:val="21"/>
                    </w:rPr>
                  </w:pPr>
                  <w:r>
                    <w:rPr>
                      <w:color w:val="auto"/>
                      <w:sz w:val="21"/>
                      <w:szCs w:val="21"/>
                    </w:rPr>
                    <w:t>《印刷工业大气污染物排放标准》（DB32／4438-2022）表1限值</w:t>
                  </w:r>
                </w:p>
              </w:tc>
            </w:tr>
            <w:tr w14:paraId="37F8FF29">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3" w:type="pct"/>
                  <w:noWrap w:val="0"/>
                  <w:vAlign w:val="center"/>
                </w:tcPr>
                <w:p w14:paraId="41D560C2">
                  <w:pPr>
                    <w:snapToGrid w:val="0"/>
                    <w:spacing w:line="240" w:lineRule="atLeast"/>
                    <w:jc w:val="center"/>
                    <w:rPr>
                      <w:rFonts w:hint="default" w:eastAsia="宋体"/>
                      <w:bCs/>
                      <w:color w:val="auto"/>
                      <w:sz w:val="21"/>
                      <w:szCs w:val="21"/>
                      <w:lang w:val="en-US" w:eastAsia="zh-CN"/>
                    </w:rPr>
                  </w:pPr>
                  <w:r>
                    <w:rPr>
                      <w:rFonts w:hint="eastAsia"/>
                      <w:bCs/>
                      <w:color w:val="auto"/>
                      <w:sz w:val="21"/>
                      <w:szCs w:val="21"/>
                      <w:lang w:val="en-US" w:eastAsia="zh-CN"/>
                    </w:rPr>
                    <w:t>TVOC</w:t>
                  </w:r>
                </w:p>
              </w:tc>
              <w:tc>
                <w:tcPr>
                  <w:tcW w:w="1176" w:type="pct"/>
                  <w:noWrap w:val="0"/>
                  <w:vAlign w:val="center"/>
                </w:tcPr>
                <w:p w14:paraId="390663FA">
                  <w:pPr>
                    <w:snapToGrid w:val="0"/>
                    <w:spacing w:line="240" w:lineRule="atLeast"/>
                    <w:jc w:val="center"/>
                    <w:rPr>
                      <w:rFonts w:hint="default" w:eastAsia="宋体"/>
                      <w:color w:val="auto"/>
                      <w:sz w:val="21"/>
                      <w:szCs w:val="21"/>
                      <w:lang w:val="en-US" w:eastAsia="zh-CN"/>
                    </w:rPr>
                  </w:pPr>
                  <w:r>
                    <w:rPr>
                      <w:rFonts w:hint="eastAsia"/>
                      <w:color w:val="auto"/>
                      <w:sz w:val="21"/>
                      <w:szCs w:val="21"/>
                      <w:lang w:val="en-US" w:eastAsia="zh-CN"/>
                    </w:rPr>
                    <w:t>70</w:t>
                  </w:r>
                </w:p>
              </w:tc>
              <w:tc>
                <w:tcPr>
                  <w:tcW w:w="1121" w:type="pct"/>
                  <w:noWrap w:val="0"/>
                  <w:vAlign w:val="center"/>
                </w:tcPr>
                <w:p w14:paraId="298B1790">
                  <w:pPr>
                    <w:snapToGrid w:val="0"/>
                    <w:spacing w:line="240" w:lineRule="atLeast"/>
                    <w:jc w:val="center"/>
                    <w:rPr>
                      <w:rFonts w:hint="default" w:eastAsia="宋体"/>
                      <w:color w:val="auto"/>
                      <w:sz w:val="21"/>
                      <w:szCs w:val="21"/>
                      <w:lang w:val="en-US" w:eastAsia="zh-CN"/>
                    </w:rPr>
                  </w:pPr>
                  <w:r>
                    <w:rPr>
                      <w:rFonts w:hint="eastAsia"/>
                      <w:color w:val="auto"/>
                      <w:sz w:val="21"/>
                      <w:szCs w:val="21"/>
                      <w:lang w:val="en-US" w:eastAsia="zh-CN"/>
                    </w:rPr>
                    <w:t>2.5</w:t>
                  </w:r>
                </w:p>
              </w:tc>
              <w:tc>
                <w:tcPr>
                  <w:tcW w:w="776" w:type="pct"/>
                  <w:noWrap w:val="0"/>
                  <w:vAlign w:val="center"/>
                </w:tcPr>
                <w:p w14:paraId="613B2AF5">
                  <w:pPr>
                    <w:jc w:val="center"/>
                    <w:rPr>
                      <w:rFonts w:hint="default" w:eastAsia="宋体"/>
                      <w:color w:val="auto"/>
                      <w:sz w:val="21"/>
                      <w:szCs w:val="21"/>
                      <w:lang w:val="en-US" w:eastAsia="zh-CN"/>
                    </w:rPr>
                  </w:pPr>
                  <w:r>
                    <w:rPr>
                      <w:rFonts w:hint="eastAsia"/>
                      <w:color w:val="auto"/>
                      <w:sz w:val="21"/>
                      <w:szCs w:val="21"/>
                      <w:lang w:val="en-US" w:eastAsia="zh-CN"/>
                    </w:rPr>
                    <w:t>15</w:t>
                  </w:r>
                </w:p>
              </w:tc>
              <w:tc>
                <w:tcPr>
                  <w:tcW w:w="1313" w:type="pct"/>
                  <w:vMerge w:val="continue"/>
                  <w:tcBorders>
                    <w:left w:val="single" w:color="auto" w:sz="4" w:space="0"/>
                  </w:tcBorders>
                  <w:noWrap w:val="0"/>
                  <w:vAlign w:val="center"/>
                </w:tcPr>
                <w:p w14:paraId="0AFD95E0">
                  <w:pPr>
                    <w:jc w:val="center"/>
                    <w:rPr>
                      <w:color w:val="auto"/>
                      <w:sz w:val="21"/>
                      <w:szCs w:val="21"/>
                    </w:rPr>
                  </w:pPr>
                </w:p>
              </w:tc>
            </w:tr>
          </w:tbl>
          <w:p w14:paraId="66256FB0">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厂界无组织废气非甲烷总烃</w:t>
            </w:r>
            <w:r>
              <w:rPr>
                <w:rFonts w:hint="eastAsia"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color w:val="auto"/>
                <w:sz w:val="21"/>
                <w:szCs w:val="21"/>
                <w:highlight w:val="none"/>
              </w:rPr>
              <w:t>执行《大气污染物综合排放标准》（DB32/4041-2021）</w:t>
            </w:r>
            <w:r>
              <w:rPr>
                <w:rFonts w:hint="eastAsia" w:ascii="Times New Roman" w:hAnsi="Times New Roman" w:eastAsia="宋体" w:cs="Times New Roman"/>
                <w:color w:val="auto"/>
                <w:sz w:val="21"/>
                <w:szCs w:val="21"/>
                <w:highlight w:val="none"/>
                <w:lang w:val="en-US" w:eastAsia="zh-CN"/>
              </w:rPr>
              <w:t>表3标准限值</w:t>
            </w:r>
            <w:r>
              <w:rPr>
                <w:rFonts w:hint="default" w:ascii="Times New Roman" w:hAnsi="Times New Roman" w:eastAsia="宋体" w:cs="Times New Roman"/>
                <w:color w:val="auto"/>
                <w:sz w:val="21"/>
                <w:szCs w:val="21"/>
                <w:highlight w:val="none"/>
              </w:rPr>
              <w:t>。</w:t>
            </w:r>
          </w:p>
          <w:p w14:paraId="0D2BB38E">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8 运营期项目无组织</w:t>
            </w:r>
            <w:r>
              <w:rPr>
                <w:rFonts w:hint="default" w:ascii="Times New Roman" w:hAnsi="Times New Roman" w:cs="Times New Roman"/>
                <w:b/>
                <w:bCs/>
                <w:color w:val="auto"/>
                <w:sz w:val="21"/>
                <w:szCs w:val="21"/>
                <w:lang w:val="en-US" w:eastAsia="zh-CN"/>
              </w:rPr>
              <w:t>大气污染物排放标准</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228"/>
              <w:gridCol w:w="1819"/>
              <w:gridCol w:w="1390"/>
              <w:gridCol w:w="3496"/>
            </w:tblGrid>
            <w:tr w14:paraId="7965D9E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74" w:type="pct"/>
                  <w:vMerge w:val="restart"/>
                  <w:noWrap w:val="0"/>
                  <w:vAlign w:val="center"/>
                </w:tcPr>
                <w:p w14:paraId="32EAA923">
                  <w:pPr>
                    <w:adjustRightInd w:val="0"/>
                    <w:snapToGrid w:val="0"/>
                    <w:spacing w:line="240" w:lineRule="auto"/>
                    <w:jc w:val="center"/>
                    <w:rPr>
                      <w:b/>
                      <w:color w:val="auto"/>
                      <w:sz w:val="21"/>
                      <w:szCs w:val="21"/>
                      <w:highlight w:val="none"/>
                    </w:rPr>
                  </w:pPr>
                  <w:r>
                    <w:rPr>
                      <w:b/>
                      <w:color w:val="auto"/>
                      <w:sz w:val="21"/>
                      <w:szCs w:val="21"/>
                      <w:highlight w:val="none"/>
                    </w:rPr>
                    <w:t>污染物</w:t>
                  </w:r>
                </w:p>
              </w:tc>
              <w:tc>
                <w:tcPr>
                  <w:tcW w:w="2022" w:type="pct"/>
                  <w:gridSpan w:val="2"/>
                  <w:noWrap w:val="0"/>
                  <w:vAlign w:val="center"/>
                </w:tcPr>
                <w:p w14:paraId="32597B11">
                  <w:pPr>
                    <w:adjustRightInd w:val="0"/>
                    <w:snapToGrid w:val="0"/>
                    <w:spacing w:line="240" w:lineRule="auto"/>
                    <w:jc w:val="center"/>
                    <w:rPr>
                      <w:b/>
                      <w:color w:val="auto"/>
                      <w:sz w:val="21"/>
                      <w:szCs w:val="21"/>
                      <w:highlight w:val="none"/>
                      <w:vertAlign w:val="superscript"/>
                    </w:rPr>
                  </w:pPr>
                  <w:r>
                    <w:rPr>
                      <w:b/>
                      <w:color w:val="auto"/>
                      <w:sz w:val="21"/>
                      <w:szCs w:val="21"/>
                      <w:highlight w:val="none"/>
                    </w:rPr>
                    <w:t>无组织排放监控浓度限值</w:t>
                  </w:r>
                </w:p>
              </w:tc>
              <w:tc>
                <w:tcPr>
                  <w:tcW w:w="2202" w:type="pct"/>
                  <w:vMerge w:val="restart"/>
                  <w:noWrap w:val="0"/>
                  <w:vAlign w:val="center"/>
                </w:tcPr>
                <w:p w14:paraId="5B47A501">
                  <w:pPr>
                    <w:adjustRightInd w:val="0"/>
                    <w:snapToGrid w:val="0"/>
                    <w:spacing w:line="240" w:lineRule="auto"/>
                    <w:jc w:val="center"/>
                    <w:rPr>
                      <w:b/>
                      <w:color w:val="auto"/>
                      <w:sz w:val="21"/>
                      <w:szCs w:val="21"/>
                      <w:highlight w:val="none"/>
                    </w:rPr>
                  </w:pPr>
                  <w:r>
                    <w:rPr>
                      <w:b/>
                      <w:color w:val="auto"/>
                      <w:sz w:val="21"/>
                      <w:szCs w:val="21"/>
                      <w:highlight w:val="none"/>
                    </w:rPr>
                    <w:t>标准来源</w:t>
                  </w:r>
                </w:p>
              </w:tc>
            </w:tr>
            <w:tr w14:paraId="0BF1B22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74" w:type="pct"/>
                  <w:vMerge w:val="continue"/>
                  <w:noWrap w:val="0"/>
                  <w:vAlign w:val="center"/>
                </w:tcPr>
                <w:p w14:paraId="6E8B10A6">
                  <w:pPr>
                    <w:spacing w:line="240" w:lineRule="auto"/>
                    <w:rPr>
                      <w:color w:val="auto"/>
                      <w:sz w:val="21"/>
                      <w:szCs w:val="21"/>
                      <w:highlight w:val="none"/>
                    </w:rPr>
                  </w:pPr>
                </w:p>
              </w:tc>
              <w:tc>
                <w:tcPr>
                  <w:tcW w:w="1146" w:type="pct"/>
                  <w:noWrap w:val="0"/>
                  <w:vAlign w:val="center"/>
                </w:tcPr>
                <w:p w14:paraId="79CCD8F5">
                  <w:pPr>
                    <w:adjustRightInd w:val="0"/>
                    <w:snapToGrid w:val="0"/>
                    <w:spacing w:line="240" w:lineRule="auto"/>
                    <w:jc w:val="center"/>
                    <w:rPr>
                      <w:b/>
                      <w:color w:val="auto"/>
                      <w:sz w:val="21"/>
                      <w:szCs w:val="21"/>
                      <w:highlight w:val="none"/>
                    </w:rPr>
                  </w:pPr>
                  <w:r>
                    <w:rPr>
                      <w:b/>
                      <w:color w:val="auto"/>
                      <w:sz w:val="21"/>
                      <w:szCs w:val="21"/>
                      <w:highlight w:val="none"/>
                    </w:rPr>
                    <w:t>监控点</w:t>
                  </w:r>
                </w:p>
              </w:tc>
              <w:tc>
                <w:tcPr>
                  <w:tcW w:w="876" w:type="pct"/>
                  <w:noWrap w:val="0"/>
                  <w:vAlign w:val="center"/>
                </w:tcPr>
                <w:p w14:paraId="43B42C60">
                  <w:pPr>
                    <w:adjustRightInd w:val="0"/>
                    <w:snapToGrid w:val="0"/>
                    <w:spacing w:line="240" w:lineRule="auto"/>
                    <w:jc w:val="center"/>
                    <w:rPr>
                      <w:b/>
                      <w:color w:val="auto"/>
                      <w:sz w:val="21"/>
                      <w:szCs w:val="21"/>
                      <w:highlight w:val="none"/>
                    </w:rPr>
                  </w:pPr>
                  <w:r>
                    <w:rPr>
                      <w:b/>
                      <w:color w:val="auto"/>
                      <w:sz w:val="21"/>
                      <w:szCs w:val="21"/>
                      <w:highlight w:val="none"/>
                    </w:rPr>
                    <w:t>浓度mg/m</w:t>
                  </w:r>
                  <w:r>
                    <w:rPr>
                      <w:b/>
                      <w:color w:val="auto"/>
                      <w:sz w:val="21"/>
                      <w:szCs w:val="21"/>
                      <w:highlight w:val="none"/>
                      <w:vertAlign w:val="superscript"/>
                    </w:rPr>
                    <w:t>3</w:t>
                  </w:r>
                </w:p>
              </w:tc>
              <w:tc>
                <w:tcPr>
                  <w:tcW w:w="2202" w:type="pct"/>
                  <w:vMerge w:val="continue"/>
                  <w:noWrap w:val="0"/>
                  <w:vAlign w:val="center"/>
                </w:tcPr>
                <w:p w14:paraId="05E813AE">
                  <w:pPr>
                    <w:spacing w:line="240" w:lineRule="auto"/>
                    <w:rPr>
                      <w:color w:val="auto"/>
                      <w:sz w:val="21"/>
                      <w:szCs w:val="21"/>
                      <w:highlight w:val="none"/>
                    </w:rPr>
                  </w:pPr>
                </w:p>
              </w:tc>
            </w:tr>
            <w:tr w14:paraId="4AEE8B0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74" w:type="pct"/>
                  <w:noWrap w:val="0"/>
                  <w:vAlign w:val="center"/>
                </w:tcPr>
                <w:p w14:paraId="69616DFD">
                  <w:pPr>
                    <w:adjustRightInd w:val="0"/>
                    <w:snapToGrid w:val="0"/>
                    <w:spacing w:line="240" w:lineRule="auto"/>
                    <w:jc w:val="center"/>
                    <w:rPr>
                      <w:color w:val="auto"/>
                      <w:sz w:val="21"/>
                      <w:szCs w:val="21"/>
                      <w:highlight w:val="none"/>
                    </w:rPr>
                  </w:pPr>
                  <w:r>
                    <w:rPr>
                      <w:rFonts w:hint="eastAsia"/>
                      <w:color w:val="auto"/>
                      <w:kern w:val="0"/>
                      <w:sz w:val="21"/>
                      <w:szCs w:val="21"/>
                      <w:highlight w:val="none"/>
                      <w:lang w:val="en-US" w:eastAsia="zh-CN"/>
                    </w:rPr>
                    <w:t>非甲烷总烃</w:t>
                  </w:r>
                </w:p>
              </w:tc>
              <w:tc>
                <w:tcPr>
                  <w:tcW w:w="1146" w:type="pct"/>
                  <w:noWrap w:val="0"/>
                  <w:vAlign w:val="center"/>
                </w:tcPr>
                <w:p w14:paraId="4CAFC2B8">
                  <w:pPr>
                    <w:snapToGrid w:val="0"/>
                    <w:spacing w:line="240" w:lineRule="auto"/>
                    <w:ind w:left="-105" w:leftChars="-50" w:right="-105" w:rightChars="-50"/>
                    <w:jc w:val="center"/>
                    <w:rPr>
                      <w:color w:val="auto"/>
                      <w:sz w:val="21"/>
                      <w:szCs w:val="21"/>
                      <w:highlight w:val="none"/>
                    </w:rPr>
                  </w:pPr>
                  <w:r>
                    <w:rPr>
                      <w:color w:val="auto"/>
                      <w:sz w:val="21"/>
                      <w:szCs w:val="21"/>
                      <w:highlight w:val="none"/>
                    </w:rPr>
                    <w:t>周界外浓度最高点</w:t>
                  </w:r>
                </w:p>
              </w:tc>
              <w:tc>
                <w:tcPr>
                  <w:tcW w:w="876" w:type="pct"/>
                  <w:noWrap w:val="0"/>
                  <w:vAlign w:val="center"/>
                </w:tcPr>
                <w:p w14:paraId="6FE4168F">
                  <w:pPr>
                    <w:adjustRightInd w:val="0"/>
                    <w:snapToGrid w:val="0"/>
                    <w:spacing w:line="240" w:lineRule="auto"/>
                    <w:jc w:val="center"/>
                    <w:rPr>
                      <w:color w:val="auto"/>
                      <w:sz w:val="21"/>
                      <w:szCs w:val="21"/>
                      <w:highlight w:val="none"/>
                    </w:rPr>
                  </w:pPr>
                  <w:r>
                    <w:rPr>
                      <w:color w:val="auto"/>
                      <w:sz w:val="21"/>
                      <w:szCs w:val="21"/>
                      <w:highlight w:val="none"/>
                    </w:rPr>
                    <w:t>4.0</w:t>
                  </w:r>
                </w:p>
              </w:tc>
              <w:tc>
                <w:tcPr>
                  <w:tcW w:w="2202" w:type="pct"/>
                  <w:noWrap w:val="0"/>
                  <w:vAlign w:val="center"/>
                </w:tcPr>
                <w:p w14:paraId="33EF818F">
                  <w:pPr>
                    <w:adjustRightInd w:val="0"/>
                    <w:snapToGrid w:val="0"/>
                    <w:spacing w:line="240" w:lineRule="auto"/>
                    <w:jc w:val="center"/>
                    <w:rPr>
                      <w:color w:val="auto"/>
                      <w:sz w:val="21"/>
                      <w:szCs w:val="21"/>
                      <w:highlight w:val="none"/>
                    </w:rPr>
                  </w:pPr>
                  <w:r>
                    <w:rPr>
                      <w:color w:val="auto"/>
                      <w:sz w:val="21"/>
                      <w:szCs w:val="21"/>
                    </w:rPr>
                    <w:t>《大气污染物综合排放标准》（DB32/4041-2021）</w:t>
                  </w:r>
                  <w:r>
                    <w:rPr>
                      <w:rFonts w:hint="eastAsia" w:eastAsia="宋体"/>
                      <w:color w:val="auto"/>
                      <w:sz w:val="21"/>
                      <w:szCs w:val="21"/>
                      <w:highlight w:val="none"/>
                      <w:lang w:val="en-US" w:eastAsia="zh-CN"/>
                    </w:rPr>
                    <w:t>表</w:t>
                  </w:r>
                  <w:r>
                    <w:rPr>
                      <w:rFonts w:hint="eastAsia"/>
                      <w:color w:val="auto"/>
                      <w:sz w:val="21"/>
                      <w:szCs w:val="21"/>
                      <w:highlight w:val="none"/>
                      <w:lang w:val="en-US" w:eastAsia="zh-CN"/>
                    </w:rPr>
                    <w:t>3</w:t>
                  </w:r>
                  <w:r>
                    <w:rPr>
                      <w:color w:val="auto"/>
                      <w:sz w:val="21"/>
                      <w:szCs w:val="21"/>
                      <w:highlight w:val="none"/>
                    </w:rPr>
                    <w:t>中标准</w:t>
                  </w:r>
                </w:p>
              </w:tc>
            </w:tr>
          </w:tbl>
          <w:p w14:paraId="6F702A88">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sz w:val="21"/>
                <w:szCs w:val="21"/>
                <w:highlight w:val="none"/>
                <w:lang w:val="en-US" w:eastAsia="zh-CN"/>
              </w:rPr>
              <w:t>厂区内</w:t>
            </w:r>
            <w:r>
              <w:rPr>
                <w:rFonts w:hint="default" w:ascii="Times New Roman" w:hAnsi="Times New Roman" w:eastAsia="宋体" w:cs="Times New Roman"/>
                <w:color w:val="auto"/>
                <w:sz w:val="21"/>
                <w:szCs w:val="21"/>
                <w:highlight w:val="none"/>
              </w:rPr>
              <w:t>非甲烷总烃无组织排放限值执行《印刷工业大气污染物排放标准》（DB32／4438-2022）</w:t>
            </w:r>
            <w:r>
              <w:rPr>
                <w:rFonts w:hint="default" w:ascii="Times New Roman" w:hAnsi="Times New Roman" w:eastAsia="宋体" w:cs="Times New Roman"/>
                <w:color w:val="auto"/>
                <w:sz w:val="21"/>
                <w:szCs w:val="21"/>
                <w:highlight w:val="none"/>
                <w:lang w:val="en-US" w:eastAsia="zh-CN"/>
              </w:rPr>
              <w:t>表</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标准</w:t>
            </w:r>
            <w:r>
              <w:rPr>
                <w:rFonts w:hint="default" w:ascii="Times New Roman" w:hAnsi="Times New Roman" w:eastAsia="宋体" w:cs="Times New Roman"/>
                <w:color w:val="auto"/>
                <w:sz w:val="21"/>
                <w:szCs w:val="21"/>
                <w:highlight w:val="none"/>
              </w:rPr>
              <w:t>。</w:t>
            </w:r>
          </w:p>
          <w:p w14:paraId="72C96D7D">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 xml:space="preserve">9 </w:t>
            </w:r>
            <w:r>
              <w:rPr>
                <w:rFonts w:hint="default" w:ascii="Times New Roman" w:hAnsi="Times New Roman" w:cs="Times New Roman"/>
                <w:b/>
                <w:bCs/>
                <w:color w:val="auto"/>
                <w:sz w:val="21"/>
                <w:szCs w:val="21"/>
                <w:lang w:val="en-US" w:eastAsia="zh-CN"/>
              </w:rPr>
              <w:t>厂区内VOCs无组织排放限值</w:t>
            </w:r>
          </w:p>
          <w:tbl>
            <w:tblPr>
              <w:tblStyle w:val="31"/>
              <w:tblW w:w="777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236"/>
              <w:gridCol w:w="2077"/>
              <w:gridCol w:w="2458"/>
              <w:gridCol w:w="2008"/>
            </w:tblGrid>
            <w:tr w14:paraId="03BC43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1236" w:type="dxa"/>
                  <w:noWrap w:val="0"/>
                  <w:vAlign w:val="center"/>
                </w:tcPr>
                <w:p w14:paraId="14C727FE">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污染物项目</w:t>
                  </w:r>
                </w:p>
              </w:tc>
              <w:tc>
                <w:tcPr>
                  <w:tcW w:w="2077" w:type="dxa"/>
                  <w:noWrap w:val="0"/>
                  <w:vAlign w:val="center"/>
                </w:tcPr>
                <w:p w14:paraId="59322F48">
                  <w:pPr>
                    <w:widowControl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特别排放限值</w:t>
                  </w:r>
                  <w:r>
                    <w:rPr>
                      <w:rFonts w:hint="eastAsia" w:cs="Times New Roman"/>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mg/m</w:t>
                  </w:r>
                  <w:r>
                    <w:rPr>
                      <w:rFonts w:hint="default" w:ascii="Times New Roman" w:hAnsi="Times New Roman" w:eastAsia="宋体" w:cs="Times New Roman"/>
                      <w:b w:val="0"/>
                      <w:bCs w:val="0"/>
                      <w:color w:val="auto"/>
                      <w:sz w:val="21"/>
                      <w:szCs w:val="21"/>
                      <w:highlight w:val="none"/>
                      <w:vertAlign w:val="superscript"/>
                    </w:rPr>
                    <w:t>3</w:t>
                  </w:r>
                  <w:r>
                    <w:rPr>
                      <w:rFonts w:hint="eastAsia" w:cs="Times New Roman"/>
                      <w:color w:val="auto"/>
                      <w:sz w:val="21"/>
                      <w:szCs w:val="21"/>
                      <w:highlight w:val="none"/>
                      <w:lang w:val="en-US" w:eastAsia="zh-CN"/>
                    </w:rPr>
                    <w:t>)</w:t>
                  </w:r>
                </w:p>
              </w:tc>
              <w:tc>
                <w:tcPr>
                  <w:tcW w:w="2458" w:type="dxa"/>
                  <w:noWrap w:val="0"/>
                  <w:vAlign w:val="center"/>
                </w:tcPr>
                <w:p w14:paraId="034D0FA3">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限值含义</w:t>
                  </w:r>
                </w:p>
              </w:tc>
              <w:tc>
                <w:tcPr>
                  <w:tcW w:w="2008" w:type="dxa"/>
                  <w:noWrap w:val="0"/>
                  <w:vAlign w:val="center"/>
                </w:tcPr>
                <w:p w14:paraId="57CCA2D2">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无组织排放监控位置</w:t>
                  </w:r>
                </w:p>
              </w:tc>
            </w:tr>
            <w:tr w14:paraId="3DB487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1236" w:type="dxa"/>
                  <w:vMerge w:val="restart"/>
                  <w:noWrap w:val="0"/>
                  <w:vAlign w:val="center"/>
                </w:tcPr>
                <w:p w14:paraId="20C02A6B">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非甲烷总烃</w:t>
                  </w:r>
                </w:p>
              </w:tc>
              <w:tc>
                <w:tcPr>
                  <w:tcW w:w="2077" w:type="dxa"/>
                  <w:noWrap w:val="0"/>
                  <w:vAlign w:val="center"/>
                </w:tcPr>
                <w:p w14:paraId="2AA55818">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2458" w:type="dxa"/>
                  <w:noWrap w:val="0"/>
                  <w:vAlign w:val="center"/>
                </w:tcPr>
                <w:p w14:paraId="5A7C4ABA">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监控点处1h平均浓度值</w:t>
                  </w:r>
                </w:p>
              </w:tc>
              <w:tc>
                <w:tcPr>
                  <w:tcW w:w="2008" w:type="dxa"/>
                  <w:vMerge w:val="restart"/>
                  <w:noWrap w:val="0"/>
                  <w:vAlign w:val="center"/>
                </w:tcPr>
                <w:p w14:paraId="035BBE42">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在厂房外设置监控点</w:t>
                  </w:r>
                </w:p>
              </w:tc>
            </w:tr>
            <w:tr w14:paraId="3E3D50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1236" w:type="dxa"/>
                  <w:vMerge w:val="continue"/>
                  <w:noWrap w:val="0"/>
                  <w:vAlign w:val="center"/>
                </w:tcPr>
                <w:p w14:paraId="0AA5F7C1">
                  <w:pPr>
                    <w:widowControl w:val="0"/>
                    <w:jc w:val="center"/>
                    <w:rPr>
                      <w:rFonts w:hint="default" w:ascii="Times New Roman" w:hAnsi="Times New Roman" w:eastAsia="宋体" w:cs="Times New Roman"/>
                      <w:color w:val="auto"/>
                      <w:sz w:val="21"/>
                      <w:szCs w:val="21"/>
                      <w:highlight w:val="none"/>
                    </w:rPr>
                  </w:pPr>
                </w:p>
              </w:tc>
              <w:tc>
                <w:tcPr>
                  <w:tcW w:w="2077" w:type="dxa"/>
                  <w:noWrap w:val="0"/>
                  <w:vAlign w:val="center"/>
                </w:tcPr>
                <w:p w14:paraId="3EE6075C">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2458" w:type="dxa"/>
                  <w:noWrap w:val="0"/>
                  <w:vAlign w:val="center"/>
                </w:tcPr>
                <w:p w14:paraId="632A0052">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监控点处任意一次浓度值</w:t>
                  </w:r>
                </w:p>
              </w:tc>
              <w:tc>
                <w:tcPr>
                  <w:tcW w:w="2008" w:type="dxa"/>
                  <w:vMerge w:val="continue"/>
                  <w:noWrap w:val="0"/>
                  <w:vAlign w:val="center"/>
                </w:tcPr>
                <w:p w14:paraId="1FC8D126">
                  <w:pPr>
                    <w:widowControl w:val="0"/>
                    <w:jc w:val="center"/>
                    <w:rPr>
                      <w:rFonts w:hint="default" w:ascii="Times New Roman" w:hAnsi="Times New Roman" w:eastAsia="宋体" w:cs="Times New Roman"/>
                      <w:color w:val="auto"/>
                      <w:sz w:val="21"/>
                      <w:szCs w:val="21"/>
                      <w:highlight w:val="none"/>
                    </w:rPr>
                  </w:pPr>
                </w:p>
              </w:tc>
            </w:tr>
          </w:tbl>
          <w:p w14:paraId="5BD6058C">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2、废水</w:t>
            </w:r>
          </w:p>
          <w:p w14:paraId="5B97F1E7">
            <w:pPr>
              <w:adjustRightInd w:val="0"/>
              <w:snapToGrid w:val="0"/>
              <w:spacing w:line="500" w:lineRule="exact"/>
              <w:ind w:firstLine="420" w:firstLineChars="200"/>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项目生活污水</w:t>
            </w:r>
            <w:r>
              <w:rPr>
                <w:rFonts w:hint="eastAsia" w:cs="Times New Roman"/>
                <w:color w:val="auto"/>
                <w:sz w:val="21"/>
                <w:szCs w:val="21"/>
                <w:lang w:val="en-US" w:eastAsia="zh-CN"/>
              </w:rPr>
              <w:t>均</w:t>
            </w:r>
            <w:r>
              <w:rPr>
                <w:rFonts w:hint="default" w:ascii="Times New Roman" w:hAnsi="Times New Roman" w:cs="Times New Roman"/>
                <w:color w:val="auto"/>
                <w:sz w:val="21"/>
                <w:szCs w:val="21"/>
              </w:rPr>
              <w:t>接管</w:t>
            </w:r>
            <w:r>
              <w:rPr>
                <w:rFonts w:hint="eastAsia" w:cs="Times New Roman"/>
                <w:color w:val="auto"/>
                <w:sz w:val="21"/>
                <w:szCs w:val="21"/>
                <w:lang w:eastAsia="zh-CN"/>
              </w:rPr>
              <w:t>至常州市金坛区溪城污水处理有限公司</w:t>
            </w:r>
            <w:r>
              <w:rPr>
                <w:rFonts w:hint="default" w:ascii="Times New Roman" w:hAnsi="Times New Roman" w:eastAsia="宋体" w:cs="Times New Roman"/>
                <w:color w:val="auto"/>
                <w:sz w:val="21"/>
                <w:szCs w:val="21"/>
              </w:rPr>
              <w:t>集中处理，尾水排入</w:t>
            </w:r>
            <w:r>
              <w:rPr>
                <w:rFonts w:hint="eastAsia" w:cs="Times New Roman"/>
                <w:color w:val="auto"/>
                <w:sz w:val="21"/>
                <w:szCs w:val="21"/>
                <w:lang w:eastAsia="zh-CN"/>
              </w:rPr>
              <w:t>通济河</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接管标准执行《</w:t>
            </w:r>
            <w:r>
              <w:rPr>
                <w:rFonts w:hint="eastAsia" w:cs="Times New Roman"/>
                <w:color w:val="auto"/>
                <w:sz w:val="21"/>
                <w:szCs w:val="21"/>
                <w:lang w:eastAsia="zh-CN"/>
              </w:rPr>
              <w:t>常州市金坛区溪城污水处理有限公司</w:t>
            </w:r>
            <w:r>
              <w:rPr>
                <w:rFonts w:hint="default" w:ascii="Times New Roman" w:hAnsi="Times New Roman" w:eastAsia="宋体" w:cs="Times New Roman"/>
                <w:color w:val="auto"/>
                <w:sz w:val="21"/>
                <w:szCs w:val="21"/>
              </w:rPr>
              <w:t>污水接管要求》，污</w:t>
            </w:r>
            <w:r>
              <w:rPr>
                <w:rFonts w:hint="default" w:ascii="Times New Roman" w:hAnsi="Times New Roman" w:cs="Times New Roman"/>
                <w:color w:val="auto"/>
                <w:sz w:val="21"/>
                <w:szCs w:val="21"/>
              </w:rPr>
              <w:t>水处理厂尾</w:t>
            </w:r>
            <w:r>
              <w:rPr>
                <w:rFonts w:hint="default" w:cs="Times New Roman"/>
                <w:color w:val="auto"/>
                <w:sz w:val="21"/>
                <w:szCs w:val="21"/>
                <w:lang w:eastAsia="zh-CN"/>
              </w:rPr>
              <w:t>水排放执行</w:t>
            </w:r>
            <w:r>
              <w:rPr>
                <w:rFonts w:hint="eastAsia" w:cs="Times New Roman"/>
                <w:color w:val="auto"/>
                <w:sz w:val="21"/>
                <w:szCs w:val="21"/>
                <w:lang w:val="en-US" w:eastAsia="zh-CN"/>
              </w:rPr>
              <w:t>《城镇污水处理厂污染物排放标准》（</w:t>
            </w:r>
            <w:r>
              <w:rPr>
                <w:rFonts w:hint="default" w:cs="Times New Roman"/>
                <w:color w:val="auto"/>
                <w:sz w:val="21"/>
                <w:szCs w:val="21"/>
                <w:lang w:val="en-US" w:eastAsia="zh-CN"/>
              </w:rPr>
              <w:t>DB32/4440-2022</w:t>
            </w:r>
            <w:r>
              <w:rPr>
                <w:rFonts w:hint="eastAsia" w:cs="Times New Roman"/>
                <w:color w:val="auto"/>
                <w:sz w:val="21"/>
                <w:szCs w:val="21"/>
                <w:lang w:val="en-US" w:eastAsia="zh-CN"/>
              </w:rPr>
              <w:t>）</w:t>
            </w:r>
            <w:r>
              <w:rPr>
                <w:rFonts w:hint="default" w:cs="Times New Roman"/>
                <w:color w:val="auto"/>
                <w:sz w:val="21"/>
                <w:szCs w:val="21"/>
                <w:lang w:eastAsia="zh-CN"/>
              </w:rPr>
              <w:t>表1中</w:t>
            </w:r>
            <w:r>
              <w:rPr>
                <w:rFonts w:hint="eastAsia" w:cs="Times New Roman"/>
                <w:color w:val="auto"/>
                <w:sz w:val="21"/>
                <w:szCs w:val="21"/>
                <w:lang w:val="en-US" w:eastAsia="zh-CN"/>
              </w:rPr>
              <w:t>C级</w:t>
            </w:r>
            <w:r>
              <w:rPr>
                <w:rFonts w:hint="default" w:cs="Times New Roman"/>
                <w:color w:val="auto"/>
                <w:sz w:val="21"/>
                <w:szCs w:val="21"/>
                <w:lang w:eastAsia="zh-CN"/>
              </w:rPr>
              <w:t>标</w:t>
            </w:r>
            <w:r>
              <w:rPr>
                <w:rFonts w:hint="default" w:ascii="Times New Roman" w:hAnsi="Times New Roman" w:cs="Times New Roman"/>
                <w:color w:val="auto"/>
                <w:sz w:val="21"/>
                <w:szCs w:val="21"/>
              </w:rPr>
              <w:t>准，标准值如下：</w:t>
            </w:r>
          </w:p>
          <w:p w14:paraId="09DBC924">
            <w:pPr>
              <w:adjustRightInd w:val="0"/>
              <w:snapToGrid w:val="0"/>
              <w:spacing w:line="500" w:lineRule="exact"/>
              <w:ind w:left="0" w:lef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10</w:t>
            </w:r>
            <w:r>
              <w:rPr>
                <w:rFonts w:hint="default" w:ascii="Times New Roman" w:hAnsi="Times New Roman" w:cs="Times New Roman"/>
                <w:b/>
                <w:bCs/>
                <w:color w:val="auto"/>
                <w:sz w:val="21"/>
                <w:szCs w:val="21"/>
                <w:lang w:val="en-US" w:eastAsia="zh-CN"/>
              </w:rPr>
              <w:t>水污染物排放标准</w:t>
            </w:r>
          </w:p>
          <w:tbl>
            <w:tblPr>
              <w:tblStyle w:val="31"/>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3"/>
              <w:gridCol w:w="2668"/>
              <w:gridCol w:w="1411"/>
              <w:gridCol w:w="1120"/>
              <w:gridCol w:w="730"/>
              <w:gridCol w:w="981"/>
            </w:tblGrid>
            <w:tr w14:paraId="7EA3C2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tcMar>
                    <w:left w:w="0" w:type="dxa"/>
                    <w:right w:w="0" w:type="dxa"/>
                  </w:tcMar>
                  <w:vAlign w:val="center"/>
                </w:tcPr>
                <w:p w14:paraId="6DD93A11">
                  <w:pPr>
                    <w:adjustRightIn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排放口</w:t>
                  </w:r>
                </w:p>
                <w:p w14:paraId="69517506">
                  <w:pPr>
                    <w:adjustRightIn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名称</w:t>
                  </w:r>
                </w:p>
              </w:tc>
              <w:tc>
                <w:tcPr>
                  <w:tcW w:w="2668" w:type="dxa"/>
                  <w:vAlign w:val="center"/>
                </w:tcPr>
                <w:p w14:paraId="03953428">
                  <w:pPr>
                    <w:adjustRightIn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执行标准</w:t>
                  </w:r>
                </w:p>
              </w:tc>
              <w:tc>
                <w:tcPr>
                  <w:tcW w:w="1411" w:type="dxa"/>
                  <w:tcMar>
                    <w:left w:w="0" w:type="dxa"/>
                    <w:right w:w="0" w:type="dxa"/>
                  </w:tcMar>
                  <w:vAlign w:val="center"/>
                </w:tcPr>
                <w:p w14:paraId="1561FE85">
                  <w:pPr>
                    <w:adjustRightIn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取值表号及级别</w:t>
                  </w:r>
                </w:p>
              </w:tc>
              <w:tc>
                <w:tcPr>
                  <w:tcW w:w="1120" w:type="dxa"/>
                  <w:vAlign w:val="center"/>
                </w:tcPr>
                <w:p w14:paraId="7817032E">
                  <w:pPr>
                    <w:adjustRightIn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污染物指标</w:t>
                  </w:r>
                </w:p>
              </w:tc>
              <w:tc>
                <w:tcPr>
                  <w:tcW w:w="730" w:type="dxa"/>
                  <w:vAlign w:val="center"/>
                </w:tcPr>
                <w:p w14:paraId="3FFE5014">
                  <w:pPr>
                    <w:adjustRightIn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单位</w:t>
                  </w:r>
                </w:p>
              </w:tc>
              <w:tc>
                <w:tcPr>
                  <w:tcW w:w="981" w:type="dxa"/>
                  <w:vAlign w:val="center"/>
                </w:tcPr>
                <w:p w14:paraId="0EC8E339">
                  <w:pPr>
                    <w:adjustRightIn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标准限值</w:t>
                  </w:r>
                </w:p>
              </w:tc>
            </w:tr>
            <w:tr w14:paraId="39CFAF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restart"/>
                  <w:vAlign w:val="center"/>
                </w:tcPr>
                <w:p w14:paraId="35E0AE3F">
                  <w:pPr>
                    <w:adjustRightInd w:val="0"/>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DW001</w:t>
                  </w:r>
                </w:p>
              </w:tc>
              <w:tc>
                <w:tcPr>
                  <w:tcW w:w="2668" w:type="dxa"/>
                  <w:vMerge w:val="restart"/>
                  <w:vAlign w:val="center"/>
                </w:tcPr>
                <w:p w14:paraId="46C6A636">
                  <w:pPr>
                    <w:adjustRightInd w:val="0"/>
                    <w:jc w:val="center"/>
                    <w:rPr>
                      <w:rFonts w:hint="default" w:ascii="Times New Roman" w:hAnsi="Times New Roman" w:cs="Times New Roman"/>
                      <w:bCs/>
                      <w:color w:val="auto"/>
                      <w:sz w:val="21"/>
                      <w:szCs w:val="21"/>
                    </w:rPr>
                  </w:pPr>
                  <w:r>
                    <w:rPr>
                      <w:rFonts w:hint="eastAsia" w:cs="Times New Roman"/>
                      <w:color w:val="auto"/>
                      <w:sz w:val="21"/>
                      <w:szCs w:val="21"/>
                      <w:lang w:eastAsia="zh-CN"/>
                    </w:rPr>
                    <w:t>常州市金坛区溪城污水处理有限公司</w:t>
                  </w:r>
                  <w:r>
                    <w:rPr>
                      <w:rFonts w:hint="default" w:ascii="Times New Roman" w:hAnsi="Times New Roman" w:cs="Times New Roman"/>
                      <w:color w:val="auto"/>
                      <w:sz w:val="21"/>
                      <w:szCs w:val="21"/>
                    </w:rPr>
                    <w:t>污水接管要求</w:t>
                  </w:r>
                </w:p>
              </w:tc>
              <w:tc>
                <w:tcPr>
                  <w:tcW w:w="1411" w:type="dxa"/>
                  <w:vMerge w:val="restart"/>
                  <w:vAlign w:val="center"/>
                </w:tcPr>
                <w:p w14:paraId="112FFFBE">
                  <w:pPr>
                    <w:adjustRightInd w:val="0"/>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val="en-US" w:eastAsia="zh-CN"/>
                    </w:rPr>
                    <w:t>/</w:t>
                  </w:r>
                </w:p>
              </w:tc>
              <w:tc>
                <w:tcPr>
                  <w:tcW w:w="1120" w:type="dxa"/>
                  <w:vAlign w:val="center"/>
                </w:tcPr>
                <w:p w14:paraId="4F452475">
                  <w:pPr>
                    <w:adjustRightIn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pH</w:t>
                  </w:r>
                </w:p>
              </w:tc>
              <w:tc>
                <w:tcPr>
                  <w:tcW w:w="730" w:type="dxa"/>
                  <w:vAlign w:val="center"/>
                </w:tcPr>
                <w:p w14:paraId="607E4B6C">
                  <w:pPr>
                    <w:adjustRightIn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981" w:type="dxa"/>
                  <w:vAlign w:val="center"/>
                </w:tcPr>
                <w:p w14:paraId="5F85899F">
                  <w:pPr>
                    <w:adjustRightIn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rPr>
                    <w:t>6-9</w:t>
                  </w:r>
                </w:p>
              </w:tc>
            </w:tr>
            <w:tr w14:paraId="16D532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632EFDB9">
                  <w:pPr>
                    <w:adjustRightInd w:val="0"/>
                    <w:jc w:val="center"/>
                    <w:rPr>
                      <w:rFonts w:hint="default" w:ascii="Times New Roman" w:hAnsi="Times New Roman" w:cs="Times New Roman"/>
                      <w:color w:val="auto"/>
                      <w:sz w:val="21"/>
                      <w:szCs w:val="21"/>
                    </w:rPr>
                  </w:pPr>
                </w:p>
              </w:tc>
              <w:tc>
                <w:tcPr>
                  <w:tcW w:w="2668" w:type="dxa"/>
                  <w:vMerge w:val="continue"/>
                  <w:vAlign w:val="center"/>
                </w:tcPr>
                <w:p w14:paraId="616B909E">
                  <w:pPr>
                    <w:adjustRightInd w:val="0"/>
                    <w:jc w:val="center"/>
                    <w:rPr>
                      <w:rFonts w:hint="eastAsia" w:cs="Times New Roman"/>
                      <w:color w:val="auto"/>
                      <w:sz w:val="21"/>
                      <w:szCs w:val="21"/>
                      <w:lang w:eastAsia="zh-CN"/>
                    </w:rPr>
                  </w:pPr>
                </w:p>
              </w:tc>
              <w:tc>
                <w:tcPr>
                  <w:tcW w:w="1411" w:type="dxa"/>
                  <w:vMerge w:val="continue"/>
                  <w:vAlign w:val="center"/>
                </w:tcPr>
                <w:p w14:paraId="19BD76B9">
                  <w:pPr>
                    <w:adjustRightInd w:val="0"/>
                    <w:jc w:val="center"/>
                    <w:rPr>
                      <w:rFonts w:hint="default" w:ascii="Times New Roman" w:hAnsi="Times New Roman" w:cs="Times New Roman"/>
                      <w:bCs/>
                      <w:color w:val="auto"/>
                      <w:sz w:val="21"/>
                      <w:szCs w:val="21"/>
                      <w:lang w:val="en-US" w:eastAsia="zh-CN"/>
                    </w:rPr>
                  </w:pPr>
                </w:p>
              </w:tc>
              <w:tc>
                <w:tcPr>
                  <w:tcW w:w="1120" w:type="dxa"/>
                  <w:vAlign w:val="center"/>
                </w:tcPr>
                <w:p w14:paraId="4D51E75A">
                  <w:pPr>
                    <w:adjustRightIn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COD</w:t>
                  </w:r>
                </w:p>
              </w:tc>
              <w:tc>
                <w:tcPr>
                  <w:tcW w:w="730" w:type="dxa"/>
                  <w:vAlign w:val="center"/>
                </w:tcPr>
                <w:p w14:paraId="24BAA588">
                  <w:pPr>
                    <w:adjustRightIn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mg/L</w:t>
                  </w:r>
                </w:p>
              </w:tc>
              <w:tc>
                <w:tcPr>
                  <w:tcW w:w="981" w:type="dxa"/>
                  <w:vAlign w:val="center"/>
                </w:tcPr>
                <w:p w14:paraId="73B96155">
                  <w:pPr>
                    <w:adjustRightInd w:val="0"/>
                    <w:jc w:val="center"/>
                    <w:rPr>
                      <w:rFonts w:hint="eastAsia" w:cs="Times New Roman"/>
                      <w:bCs/>
                      <w:color w:val="auto"/>
                      <w:sz w:val="21"/>
                      <w:szCs w:val="21"/>
                      <w:lang w:val="en-US" w:eastAsia="zh-CN"/>
                    </w:rPr>
                  </w:pPr>
                  <w:r>
                    <w:rPr>
                      <w:rFonts w:hint="eastAsia" w:cs="Times New Roman"/>
                      <w:bCs/>
                      <w:color w:val="auto"/>
                      <w:sz w:val="21"/>
                      <w:szCs w:val="21"/>
                      <w:lang w:val="en-US" w:eastAsia="zh-CN"/>
                    </w:rPr>
                    <w:t>500</w:t>
                  </w:r>
                </w:p>
              </w:tc>
            </w:tr>
            <w:tr w14:paraId="0A216E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69EE43F9">
                  <w:pPr>
                    <w:adjustRightInd w:val="0"/>
                    <w:jc w:val="center"/>
                    <w:rPr>
                      <w:rFonts w:hint="default" w:ascii="Times New Roman" w:hAnsi="Times New Roman" w:cs="Times New Roman"/>
                      <w:bCs/>
                      <w:color w:val="auto"/>
                      <w:sz w:val="21"/>
                      <w:szCs w:val="21"/>
                    </w:rPr>
                  </w:pPr>
                </w:p>
              </w:tc>
              <w:tc>
                <w:tcPr>
                  <w:tcW w:w="2668" w:type="dxa"/>
                  <w:vMerge w:val="continue"/>
                  <w:vAlign w:val="center"/>
                </w:tcPr>
                <w:p w14:paraId="62303C47">
                  <w:pPr>
                    <w:adjustRightInd w:val="0"/>
                    <w:jc w:val="center"/>
                    <w:rPr>
                      <w:rFonts w:hint="default" w:ascii="Times New Roman" w:hAnsi="Times New Roman" w:cs="Times New Roman"/>
                      <w:bCs/>
                      <w:color w:val="auto"/>
                      <w:sz w:val="21"/>
                      <w:szCs w:val="21"/>
                    </w:rPr>
                  </w:pPr>
                </w:p>
              </w:tc>
              <w:tc>
                <w:tcPr>
                  <w:tcW w:w="1411" w:type="dxa"/>
                  <w:vMerge w:val="continue"/>
                  <w:vAlign w:val="center"/>
                </w:tcPr>
                <w:p w14:paraId="1782549B">
                  <w:pPr>
                    <w:adjustRightInd w:val="0"/>
                    <w:jc w:val="center"/>
                    <w:rPr>
                      <w:rFonts w:hint="default" w:ascii="Times New Roman" w:hAnsi="Times New Roman" w:cs="Times New Roman"/>
                      <w:bCs/>
                      <w:color w:val="auto"/>
                      <w:sz w:val="21"/>
                      <w:szCs w:val="21"/>
                    </w:rPr>
                  </w:pPr>
                </w:p>
              </w:tc>
              <w:tc>
                <w:tcPr>
                  <w:tcW w:w="1120" w:type="dxa"/>
                  <w:vAlign w:val="center"/>
                </w:tcPr>
                <w:p w14:paraId="32ADE4D4">
                  <w:pPr>
                    <w:adjustRightIn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SS</w:t>
                  </w:r>
                </w:p>
              </w:tc>
              <w:tc>
                <w:tcPr>
                  <w:tcW w:w="730" w:type="dxa"/>
                  <w:vAlign w:val="center"/>
                </w:tcPr>
                <w:p w14:paraId="41DF2991">
                  <w:pPr>
                    <w:adjustRightIn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mg/L</w:t>
                  </w:r>
                </w:p>
              </w:tc>
              <w:tc>
                <w:tcPr>
                  <w:tcW w:w="981" w:type="dxa"/>
                  <w:vAlign w:val="center"/>
                </w:tcPr>
                <w:p w14:paraId="6E852239">
                  <w:pPr>
                    <w:adjustRightInd w:val="0"/>
                    <w:jc w:val="center"/>
                    <w:rPr>
                      <w:rFonts w:hint="default" w:ascii="Times New Roman" w:hAnsi="Times New Roman" w:cs="Times New Roman"/>
                      <w:bCs/>
                      <w:color w:val="auto"/>
                      <w:sz w:val="21"/>
                      <w:szCs w:val="21"/>
                      <w:lang w:val="en-US"/>
                    </w:rPr>
                  </w:pPr>
                  <w:r>
                    <w:rPr>
                      <w:rFonts w:hint="eastAsia" w:cs="Times New Roman"/>
                      <w:bCs/>
                      <w:color w:val="auto"/>
                      <w:sz w:val="21"/>
                      <w:szCs w:val="21"/>
                      <w:lang w:val="en-US" w:eastAsia="zh-CN"/>
                    </w:rPr>
                    <w:t>400</w:t>
                  </w:r>
                </w:p>
              </w:tc>
            </w:tr>
            <w:tr w14:paraId="132E55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0EC18079">
                  <w:pPr>
                    <w:adjustRightInd w:val="0"/>
                    <w:jc w:val="center"/>
                    <w:rPr>
                      <w:rFonts w:hint="default" w:ascii="Times New Roman" w:hAnsi="Times New Roman" w:cs="Times New Roman"/>
                      <w:bCs/>
                      <w:color w:val="auto"/>
                      <w:sz w:val="21"/>
                      <w:szCs w:val="21"/>
                    </w:rPr>
                  </w:pPr>
                </w:p>
              </w:tc>
              <w:tc>
                <w:tcPr>
                  <w:tcW w:w="2668" w:type="dxa"/>
                  <w:vMerge w:val="continue"/>
                  <w:vAlign w:val="center"/>
                </w:tcPr>
                <w:p w14:paraId="4837211E">
                  <w:pPr>
                    <w:adjustRightInd w:val="0"/>
                    <w:jc w:val="center"/>
                    <w:rPr>
                      <w:rFonts w:hint="default" w:ascii="Times New Roman" w:hAnsi="Times New Roman" w:cs="Times New Roman"/>
                      <w:bCs/>
                      <w:color w:val="auto"/>
                      <w:sz w:val="21"/>
                      <w:szCs w:val="21"/>
                    </w:rPr>
                  </w:pPr>
                </w:p>
              </w:tc>
              <w:tc>
                <w:tcPr>
                  <w:tcW w:w="1411" w:type="dxa"/>
                  <w:vMerge w:val="continue"/>
                  <w:vAlign w:val="center"/>
                </w:tcPr>
                <w:p w14:paraId="581A5526">
                  <w:pPr>
                    <w:adjustRightInd w:val="0"/>
                    <w:jc w:val="center"/>
                    <w:rPr>
                      <w:rFonts w:hint="default" w:ascii="Times New Roman" w:hAnsi="Times New Roman" w:cs="Times New Roman"/>
                      <w:bCs/>
                      <w:color w:val="auto"/>
                      <w:sz w:val="21"/>
                      <w:szCs w:val="21"/>
                    </w:rPr>
                  </w:pPr>
                </w:p>
              </w:tc>
              <w:tc>
                <w:tcPr>
                  <w:tcW w:w="1120" w:type="dxa"/>
                  <w:vAlign w:val="center"/>
                </w:tcPr>
                <w:p w14:paraId="64DF4E16">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NH</w:t>
                  </w:r>
                  <w:r>
                    <w:rPr>
                      <w:rFonts w:hint="default" w:ascii="Times New Roman" w:hAnsi="Times New Roman" w:cs="Times New Roman"/>
                      <w:bCs/>
                      <w:color w:val="auto"/>
                      <w:sz w:val="21"/>
                      <w:szCs w:val="21"/>
                      <w:vertAlign w:val="subscript"/>
                    </w:rPr>
                    <w:t>3</w:t>
                  </w:r>
                  <w:r>
                    <w:rPr>
                      <w:rFonts w:hint="default" w:ascii="Times New Roman" w:hAnsi="Times New Roman" w:cs="Times New Roman"/>
                      <w:bCs/>
                      <w:color w:val="auto"/>
                      <w:sz w:val="21"/>
                      <w:szCs w:val="21"/>
                    </w:rPr>
                    <w:t>-N</w:t>
                  </w:r>
                </w:p>
              </w:tc>
              <w:tc>
                <w:tcPr>
                  <w:tcW w:w="730" w:type="dxa"/>
                  <w:vAlign w:val="center"/>
                </w:tcPr>
                <w:p w14:paraId="0B370C03">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mg/L</w:t>
                  </w:r>
                </w:p>
              </w:tc>
              <w:tc>
                <w:tcPr>
                  <w:tcW w:w="981" w:type="dxa"/>
                  <w:vAlign w:val="center"/>
                </w:tcPr>
                <w:p w14:paraId="5DB5AF2A">
                  <w:pPr>
                    <w:adjustRightIn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45</w:t>
                  </w:r>
                </w:p>
              </w:tc>
            </w:tr>
            <w:tr w14:paraId="33B3DC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2D504142">
                  <w:pPr>
                    <w:adjustRightInd w:val="0"/>
                    <w:jc w:val="center"/>
                    <w:rPr>
                      <w:rFonts w:hint="default" w:ascii="Times New Roman" w:hAnsi="Times New Roman" w:cs="Times New Roman"/>
                      <w:bCs/>
                      <w:color w:val="auto"/>
                      <w:sz w:val="21"/>
                      <w:szCs w:val="21"/>
                    </w:rPr>
                  </w:pPr>
                </w:p>
              </w:tc>
              <w:tc>
                <w:tcPr>
                  <w:tcW w:w="2668" w:type="dxa"/>
                  <w:vMerge w:val="continue"/>
                  <w:vAlign w:val="center"/>
                </w:tcPr>
                <w:p w14:paraId="389E3FCA">
                  <w:pPr>
                    <w:adjustRightInd w:val="0"/>
                    <w:jc w:val="center"/>
                    <w:rPr>
                      <w:rFonts w:hint="default" w:ascii="Times New Roman" w:hAnsi="Times New Roman" w:cs="Times New Roman"/>
                      <w:bCs/>
                      <w:color w:val="auto"/>
                      <w:sz w:val="21"/>
                      <w:szCs w:val="21"/>
                    </w:rPr>
                  </w:pPr>
                </w:p>
              </w:tc>
              <w:tc>
                <w:tcPr>
                  <w:tcW w:w="1411" w:type="dxa"/>
                  <w:vMerge w:val="continue"/>
                  <w:vAlign w:val="center"/>
                </w:tcPr>
                <w:p w14:paraId="0FC616B8">
                  <w:pPr>
                    <w:adjustRightInd w:val="0"/>
                    <w:jc w:val="center"/>
                    <w:rPr>
                      <w:rFonts w:hint="default" w:ascii="Times New Roman" w:hAnsi="Times New Roman" w:cs="Times New Roman"/>
                      <w:bCs/>
                      <w:color w:val="auto"/>
                      <w:sz w:val="21"/>
                      <w:szCs w:val="21"/>
                    </w:rPr>
                  </w:pPr>
                </w:p>
              </w:tc>
              <w:tc>
                <w:tcPr>
                  <w:tcW w:w="1120" w:type="dxa"/>
                  <w:vAlign w:val="center"/>
                </w:tcPr>
                <w:p w14:paraId="0F3BCF19">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TP</w:t>
                  </w:r>
                </w:p>
              </w:tc>
              <w:tc>
                <w:tcPr>
                  <w:tcW w:w="730" w:type="dxa"/>
                  <w:vAlign w:val="center"/>
                </w:tcPr>
                <w:p w14:paraId="0999A774">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mg/L</w:t>
                  </w:r>
                </w:p>
              </w:tc>
              <w:tc>
                <w:tcPr>
                  <w:tcW w:w="981" w:type="dxa"/>
                  <w:vAlign w:val="center"/>
                </w:tcPr>
                <w:p w14:paraId="3641E59C">
                  <w:pPr>
                    <w:adjustRightIn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8</w:t>
                  </w:r>
                </w:p>
              </w:tc>
            </w:tr>
            <w:tr w14:paraId="713FF4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restart"/>
                  <w:vAlign w:val="center"/>
                </w:tcPr>
                <w:p w14:paraId="66B694BF">
                  <w:pPr>
                    <w:adjustRightIn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污水处理厂排口</w:t>
                  </w:r>
                </w:p>
              </w:tc>
              <w:tc>
                <w:tcPr>
                  <w:tcW w:w="2668" w:type="dxa"/>
                  <w:vMerge w:val="restart"/>
                  <w:vAlign w:val="center"/>
                </w:tcPr>
                <w:p w14:paraId="616B44B1">
                  <w:pPr>
                    <w:adjustRightInd w:val="0"/>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《城镇污水处理厂污染物排放标准</w:t>
                  </w:r>
                  <w:r>
                    <w:rPr>
                      <w:rFonts w:hint="eastAsia" w:cs="Times New Roman"/>
                      <w:color w:val="auto"/>
                      <w:sz w:val="21"/>
                      <w:szCs w:val="21"/>
                      <w:lang w:val="en-US" w:eastAsia="zh-CN"/>
                    </w:rPr>
                    <w:t>》</w:t>
                  </w:r>
                  <w:r>
                    <w:rPr>
                      <w:rFonts w:hint="eastAsia" w:ascii="Times New Roman" w:hAnsi="Times New Roman" w:eastAsia="宋体" w:cs="Times New Roman"/>
                      <w:bCs/>
                      <w:color w:val="auto"/>
                      <w:sz w:val="21"/>
                      <w:szCs w:val="21"/>
                      <w:lang w:val="en-US" w:eastAsia="zh-CN"/>
                    </w:rPr>
                    <w:t>（</w:t>
                  </w:r>
                  <w:r>
                    <w:rPr>
                      <w:rFonts w:hint="default" w:ascii="Times New Roman" w:hAnsi="Times New Roman" w:eastAsia="宋体" w:cs="Times New Roman"/>
                      <w:bCs/>
                      <w:color w:val="auto"/>
                      <w:sz w:val="21"/>
                      <w:szCs w:val="21"/>
                      <w:lang w:val="en-US" w:eastAsia="zh-CN"/>
                    </w:rPr>
                    <w:t>DB32/4440-2022</w:t>
                  </w:r>
                  <w:r>
                    <w:rPr>
                      <w:rFonts w:hint="eastAsia" w:ascii="Times New Roman" w:hAnsi="Times New Roman" w:eastAsia="宋体" w:cs="Times New Roman"/>
                      <w:bCs/>
                      <w:color w:val="auto"/>
                      <w:sz w:val="21"/>
                      <w:szCs w:val="21"/>
                      <w:lang w:val="en-US" w:eastAsia="zh-CN"/>
                    </w:rPr>
                    <w:t>）</w:t>
                  </w:r>
                </w:p>
              </w:tc>
              <w:tc>
                <w:tcPr>
                  <w:tcW w:w="1411" w:type="dxa"/>
                  <w:vMerge w:val="restart"/>
                  <w:vAlign w:val="center"/>
                </w:tcPr>
                <w:p w14:paraId="0F84F66B">
                  <w:pPr>
                    <w:adjustRightInd w:val="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表</w:t>
                  </w:r>
                  <w:r>
                    <w:rPr>
                      <w:rFonts w:hint="default" w:ascii="Times New Roman" w:hAnsi="Times New Roman" w:eastAsia="宋体" w:cs="Times New Roman"/>
                      <w:bCs/>
                      <w:color w:val="auto"/>
                      <w:sz w:val="21"/>
                      <w:szCs w:val="21"/>
                      <w:lang w:val="en-US" w:eastAsia="zh-CN"/>
                    </w:rPr>
                    <w:t>1</w:t>
                  </w:r>
                </w:p>
                <w:p w14:paraId="78E4C9E6">
                  <w:pPr>
                    <w:adjustRightInd w:val="0"/>
                    <w:jc w:val="center"/>
                    <w:rPr>
                      <w:rFonts w:hint="default" w:ascii="Times New Roman" w:hAnsi="Times New Roman" w:cs="Times New Roman"/>
                      <w:bCs/>
                      <w:color w:val="auto"/>
                      <w:sz w:val="21"/>
                      <w:szCs w:val="21"/>
                    </w:rPr>
                  </w:pPr>
                  <w:r>
                    <w:rPr>
                      <w:rFonts w:hint="eastAsia" w:cs="Times New Roman"/>
                      <w:bCs/>
                      <w:color w:val="auto"/>
                      <w:sz w:val="21"/>
                      <w:szCs w:val="21"/>
                      <w:lang w:val="en-US" w:eastAsia="zh-CN"/>
                    </w:rPr>
                    <w:t>C</w:t>
                  </w:r>
                  <w:r>
                    <w:rPr>
                      <w:rFonts w:hint="eastAsia" w:ascii="Times New Roman" w:hAnsi="Times New Roman" w:eastAsia="宋体" w:cs="Times New Roman"/>
                      <w:bCs/>
                      <w:color w:val="auto"/>
                      <w:sz w:val="21"/>
                      <w:szCs w:val="21"/>
                      <w:lang w:val="en-US" w:eastAsia="zh-CN"/>
                    </w:rPr>
                    <w:t>级标准</w:t>
                  </w:r>
                </w:p>
              </w:tc>
              <w:tc>
                <w:tcPr>
                  <w:tcW w:w="1120" w:type="dxa"/>
                  <w:vAlign w:val="center"/>
                </w:tcPr>
                <w:p w14:paraId="08B2C70E">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pH</w:t>
                  </w:r>
                </w:p>
              </w:tc>
              <w:tc>
                <w:tcPr>
                  <w:tcW w:w="730" w:type="dxa"/>
                  <w:vAlign w:val="center"/>
                </w:tcPr>
                <w:p w14:paraId="03A7B9DC">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w:t>
                  </w:r>
                </w:p>
              </w:tc>
              <w:tc>
                <w:tcPr>
                  <w:tcW w:w="981" w:type="dxa"/>
                  <w:vAlign w:val="center"/>
                </w:tcPr>
                <w:p w14:paraId="6ACFF4A9">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6-9</w:t>
                  </w:r>
                </w:p>
              </w:tc>
            </w:tr>
            <w:tr w14:paraId="5A4A04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16A02312">
                  <w:pPr>
                    <w:adjustRightInd w:val="0"/>
                    <w:jc w:val="center"/>
                    <w:rPr>
                      <w:rFonts w:hint="default" w:ascii="Times New Roman" w:hAnsi="Times New Roman" w:cs="Times New Roman"/>
                      <w:bCs/>
                      <w:color w:val="auto"/>
                      <w:sz w:val="21"/>
                      <w:szCs w:val="21"/>
                    </w:rPr>
                  </w:pPr>
                </w:p>
              </w:tc>
              <w:tc>
                <w:tcPr>
                  <w:tcW w:w="2668" w:type="dxa"/>
                  <w:vMerge w:val="continue"/>
                  <w:vAlign w:val="center"/>
                </w:tcPr>
                <w:p w14:paraId="71B62776">
                  <w:pPr>
                    <w:adjustRightInd w:val="0"/>
                    <w:jc w:val="center"/>
                    <w:rPr>
                      <w:rFonts w:hint="default" w:ascii="Times New Roman" w:hAnsi="Times New Roman" w:cs="Times New Roman"/>
                      <w:bCs/>
                      <w:color w:val="auto"/>
                      <w:sz w:val="21"/>
                      <w:szCs w:val="21"/>
                    </w:rPr>
                  </w:pPr>
                </w:p>
              </w:tc>
              <w:tc>
                <w:tcPr>
                  <w:tcW w:w="1411" w:type="dxa"/>
                  <w:vMerge w:val="continue"/>
                  <w:vAlign w:val="center"/>
                </w:tcPr>
                <w:p w14:paraId="2ACF6095">
                  <w:pPr>
                    <w:adjustRightInd w:val="0"/>
                    <w:jc w:val="center"/>
                    <w:rPr>
                      <w:rFonts w:hint="default" w:ascii="Times New Roman" w:hAnsi="Times New Roman" w:cs="Times New Roman"/>
                      <w:bCs/>
                      <w:color w:val="auto"/>
                      <w:sz w:val="21"/>
                      <w:szCs w:val="21"/>
                    </w:rPr>
                  </w:pPr>
                </w:p>
              </w:tc>
              <w:tc>
                <w:tcPr>
                  <w:tcW w:w="1120" w:type="dxa"/>
                  <w:vAlign w:val="center"/>
                </w:tcPr>
                <w:p w14:paraId="71014005">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COD</w:t>
                  </w:r>
                </w:p>
              </w:tc>
              <w:tc>
                <w:tcPr>
                  <w:tcW w:w="730" w:type="dxa"/>
                  <w:vAlign w:val="center"/>
                </w:tcPr>
                <w:p w14:paraId="49719C4A">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mg/L</w:t>
                  </w:r>
                </w:p>
              </w:tc>
              <w:tc>
                <w:tcPr>
                  <w:tcW w:w="981" w:type="dxa"/>
                  <w:vAlign w:val="center"/>
                </w:tcPr>
                <w:p w14:paraId="6364FF8E">
                  <w:pPr>
                    <w:adjustRightIn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50</w:t>
                  </w:r>
                </w:p>
              </w:tc>
            </w:tr>
            <w:tr w14:paraId="2D6B3A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54D5BDAD">
                  <w:pPr>
                    <w:adjustRightInd w:val="0"/>
                    <w:jc w:val="center"/>
                    <w:rPr>
                      <w:rFonts w:hint="default" w:ascii="Times New Roman" w:hAnsi="Times New Roman" w:cs="Times New Roman"/>
                      <w:bCs/>
                      <w:color w:val="auto"/>
                      <w:sz w:val="21"/>
                      <w:szCs w:val="21"/>
                    </w:rPr>
                  </w:pPr>
                </w:p>
              </w:tc>
              <w:tc>
                <w:tcPr>
                  <w:tcW w:w="2668" w:type="dxa"/>
                  <w:vMerge w:val="continue"/>
                  <w:vAlign w:val="center"/>
                </w:tcPr>
                <w:p w14:paraId="4BE2FB0C">
                  <w:pPr>
                    <w:adjustRightInd w:val="0"/>
                    <w:jc w:val="center"/>
                    <w:rPr>
                      <w:rFonts w:hint="default" w:ascii="Times New Roman" w:hAnsi="Times New Roman" w:cs="Times New Roman"/>
                      <w:bCs/>
                      <w:color w:val="auto"/>
                      <w:sz w:val="21"/>
                      <w:szCs w:val="21"/>
                    </w:rPr>
                  </w:pPr>
                </w:p>
              </w:tc>
              <w:tc>
                <w:tcPr>
                  <w:tcW w:w="1411" w:type="dxa"/>
                  <w:vMerge w:val="continue"/>
                  <w:vAlign w:val="center"/>
                </w:tcPr>
                <w:p w14:paraId="384F3688">
                  <w:pPr>
                    <w:adjustRightInd w:val="0"/>
                    <w:jc w:val="center"/>
                    <w:rPr>
                      <w:rFonts w:hint="default" w:ascii="Times New Roman" w:hAnsi="Times New Roman" w:cs="Times New Roman"/>
                      <w:bCs/>
                      <w:color w:val="auto"/>
                      <w:sz w:val="21"/>
                      <w:szCs w:val="21"/>
                    </w:rPr>
                  </w:pPr>
                </w:p>
              </w:tc>
              <w:tc>
                <w:tcPr>
                  <w:tcW w:w="1120" w:type="dxa"/>
                  <w:vAlign w:val="center"/>
                </w:tcPr>
                <w:p w14:paraId="22236CA1">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SS</w:t>
                  </w:r>
                </w:p>
              </w:tc>
              <w:tc>
                <w:tcPr>
                  <w:tcW w:w="730" w:type="dxa"/>
                  <w:vAlign w:val="center"/>
                </w:tcPr>
                <w:p w14:paraId="05F6363E">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mg/L</w:t>
                  </w:r>
                </w:p>
              </w:tc>
              <w:tc>
                <w:tcPr>
                  <w:tcW w:w="981" w:type="dxa"/>
                  <w:vAlign w:val="center"/>
                </w:tcPr>
                <w:p w14:paraId="35D1D899">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10</w:t>
                  </w:r>
                </w:p>
              </w:tc>
            </w:tr>
            <w:tr w14:paraId="266CCB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7FB7BCD9">
                  <w:pPr>
                    <w:adjustRightInd w:val="0"/>
                    <w:jc w:val="center"/>
                    <w:rPr>
                      <w:rFonts w:hint="default" w:ascii="Times New Roman" w:hAnsi="Times New Roman" w:cs="Times New Roman"/>
                      <w:bCs/>
                      <w:color w:val="auto"/>
                      <w:sz w:val="21"/>
                      <w:szCs w:val="21"/>
                    </w:rPr>
                  </w:pPr>
                </w:p>
              </w:tc>
              <w:tc>
                <w:tcPr>
                  <w:tcW w:w="2668" w:type="dxa"/>
                  <w:vMerge w:val="continue"/>
                  <w:vAlign w:val="center"/>
                </w:tcPr>
                <w:p w14:paraId="6B914CCD">
                  <w:pPr>
                    <w:adjustRightInd w:val="0"/>
                    <w:jc w:val="center"/>
                    <w:rPr>
                      <w:rFonts w:hint="default" w:ascii="Times New Roman" w:hAnsi="Times New Roman" w:cs="Times New Roman"/>
                      <w:bCs/>
                      <w:color w:val="auto"/>
                      <w:sz w:val="21"/>
                      <w:szCs w:val="21"/>
                    </w:rPr>
                  </w:pPr>
                </w:p>
              </w:tc>
              <w:tc>
                <w:tcPr>
                  <w:tcW w:w="1411" w:type="dxa"/>
                  <w:vMerge w:val="continue"/>
                  <w:vAlign w:val="center"/>
                </w:tcPr>
                <w:p w14:paraId="12E60E4E">
                  <w:pPr>
                    <w:adjustRightInd w:val="0"/>
                    <w:jc w:val="center"/>
                    <w:rPr>
                      <w:rFonts w:hint="default" w:ascii="Times New Roman" w:hAnsi="Times New Roman" w:cs="Times New Roman"/>
                      <w:bCs/>
                      <w:color w:val="auto"/>
                      <w:sz w:val="21"/>
                      <w:szCs w:val="21"/>
                    </w:rPr>
                  </w:pPr>
                </w:p>
              </w:tc>
              <w:tc>
                <w:tcPr>
                  <w:tcW w:w="1120" w:type="dxa"/>
                  <w:vAlign w:val="center"/>
                </w:tcPr>
                <w:p w14:paraId="049A1492">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NH</w:t>
                  </w:r>
                  <w:r>
                    <w:rPr>
                      <w:rFonts w:hint="default" w:ascii="Times New Roman" w:hAnsi="Times New Roman" w:cs="Times New Roman"/>
                      <w:bCs/>
                      <w:color w:val="auto"/>
                      <w:sz w:val="21"/>
                      <w:szCs w:val="21"/>
                      <w:vertAlign w:val="subscript"/>
                    </w:rPr>
                    <w:t>3</w:t>
                  </w:r>
                  <w:r>
                    <w:rPr>
                      <w:rFonts w:hint="default" w:ascii="Times New Roman" w:hAnsi="Times New Roman" w:cs="Times New Roman"/>
                      <w:bCs/>
                      <w:color w:val="auto"/>
                      <w:sz w:val="21"/>
                      <w:szCs w:val="21"/>
                    </w:rPr>
                    <w:t>-N</w:t>
                  </w:r>
                </w:p>
              </w:tc>
              <w:tc>
                <w:tcPr>
                  <w:tcW w:w="730" w:type="dxa"/>
                  <w:vAlign w:val="center"/>
                </w:tcPr>
                <w:p w14:paraId="6FF05A3A">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mg/L</w:t>
                  </w:r>
                </w:p>
              </w:tc>
              <w:tc>
                <w:tcPr>
                  <w:tcW w:w="981" w:type="dxa"/>
                  <w:vAlign w:val="center"/>
                </w:tcPr>
                <w:p w14:paraId="5EFB6C5F">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4（6）</w:t>
                  </w:r>
                </w:p>
              </w:tc>
            </w:tr>
            <w:tr w14:paraId="7BE2FF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6824CB09">
                  <w:pPr>
                    <w:adjustRightInd w:val="0"/>
                    <w:jc w:val="center"/>
                    <w:rPr>
                      <w:rFonts w:hint="default" w:ascii="Times New Roman" w:hAnsi="Times New Roman" w:cs="Times New Roman"/>
                      <w:bCs/>
                      <w:color w:val="auto"/>
                      <w:sz w:val="21"/>
                      <w:szCs w:val="21"/>
                    </w:rPr>
                  </w:pPr>
                </w:p>
              </w:tc>
              <w:tc>
                <w:tcPr>
                  <w:tcW w:w="2668" w:type="dxa"/>
                  <w:vMerge w:val="continue"/>
                  <w:vAlign w:val="center"/>
                </w:tcPr>
                <w:p w14:paraId="75A455BF">
                  <w:pPr>
                    <w:adjustRightInd w:val="0"/>
                    <w:jc w:val="center"/>
                    <w:rPr>
                      <w:rFonts w:hint="default" w:ascii="Times New Roman" w:hAnsi="Times New Roman" w:cs="Times New Roman"/>
                      <w:bCs/>
                      <w:color w:val="auto"/>
                      <w:sz w:val="21"/>
                      <w:szCs w:val="21"/>
                    </w:rPr>
                  </w:pPr>
                </w:p>
              </w:tc>
              <w:tc>
                <w:tcPr>
                  <w:tcW w:w="1411" w:type="dxa"/>
                  <w:vMerge w:val="continue"/>
                  <w:vAlign w:val="center"/>
                </w:tcPr>
                <w:p w14:paraId="5FBB84AF">
                  <w:pPr>
                    <w:adjustRightInd w:val="0"/>
                    <w:jc w:val="center"/>
                    <w:rPr>
                      <w:rFonts w:hint="default" w:ascii="Times New Roman" w:hAnsi="Times New Roman" w:cs="Times New Roman"/>
                      <w:bCs/>
                      <w:color w:val="auto"/>
                      <w:sz w:val="21"/>
                      <w:szCs w:val="21"/>
                    </w:rPr>
                  </w:pPr>
                </w:p>
              </w:tc>
              <w:tc>
                <w:tcPr>
                  <w:tcW w:w="1120" w:type="dxa"/>
                  <w:vAlign w:val="center"/>
                </w:tcPr>
                <w:p w14:paraId="74F438B0">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TP</w:t>
                  </w:r>
                </w:p>
              </w:tc>
              <w:tc>
                <w:tcPr>
                  <w:tcW w:w="730" w:type="dxa"/>
                  <w:vAlign w:val="center"/>
                </w:tcPr>
                <w:p w14:paraId="30D03297">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mg/L</w:t>
                  </w:r>
                </w:p>
              </w:tc>
              <w:tc>
                <w:tcPr>
                  <w:tcW w:w="981" w:type="dxa"/>
                  <w:vAlign w:val="center"/>
                </w:tcPr>
                <w:p w14:paraId="6671CD91">
                  <w:pPr>
                    <w:adjustRightInd w:val="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0.</w:t>
                  </w:r>
                  <w:r>
                    <w:rPr>
                      <w:rFonts w:hint="eastAsia" w:cs="Times New Roman"/>
                      <w:bCs/>
                      <w:color w:val="auto"/>
                      <w:sz w:val="21"/>
                      <w:szCs w:val="21"/>
                      <w:lang w:val="en-US" w:eastAsia="zh-CN"/>
                    </w:rPr>
                    <w:t>5</w:t>
                  </w:r>
                </w:p>
              </w:tc>
            </w:tr>
            <w:tr w14:paraId="4805F0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3" w:type="dxa"/>
                  <w:vMerge w:val="continue"/>
                  <w:vAlign w:val="center"/>
                </w:tcPr>
                <w:p w14:paraId="718D348C">
                  <w:pPr>
                    <w:adjustRightInd w:val="0"/>
                    <w:jc w:val="center"/>
                    <w:rPr>
                      <w:rFonts w:hint="default" w:ascii="Times New Roman" w:hAnsi="Times New Roman" w:cs="Times New Roman"/>
                      <w:bCs/>
                      <w:color w:val="auto"/>
                      <w:sz w:val="21"/>
                      <w:szCs w:val="21"/>
                    </w:rPr>
                  </w:pPr>
                </w:p>
              </w:tc>
              <w:tc>
                <w:tcPr>
                  <w:tcW w:w="2668" w:type="dxa"/>
                  <w:vMerge w:val="continue"/>
                  <w:vAlign w:val="center"/>
                </w:tcPr>
                <w:p w14:paraId="5D7BAB13">
                  <w:pPr>
                    <w:adjustRightInd w:val="0"/>
                    <w:jc w:val="center"/>
                    <w:rPr>
                      <w:rFonts w:hint="default" w:ascii="Times New Roman" w:hAnsi="Times New Roman" w:cs="Times New Roman"/>
                      <w:bCs/>
                      <w:color w:val="auto"/>
                      <w:sz w:val="21"/>
                      <w:szCs w:val="21"/>
                    </w:rPr>
                  </w:pPr>
                </w:p>
              </w:tc>
              <w:tc>
                <w:tcPr>
                  <w:tcW w:w="1411" w:type="dxa"/>
                  <w:vMerge w:val="continue"/>
                  <w:vAlign w:val="center"/>
                </w:tcPr>
                <w:p w14:paraId="5724B6EF">
                  <w:pPr>
                    <w:adjustRightInd w:val="0"/>
                    <w:jc w:val="center"/>
                    <w:rPr>
                      <w:rFonts w:hint="default" w:ascii="Times New Roman" w:hAnsi="Times New Roman" w:cs="Times New Roman"/>
                      <w:bCs/>
                      <w:color w:val="auto"/>
                      <w:sz w:val="21"/>
                      <w:szCs w:val="21"/>
                    </w:rPr>
                  </w:pPr>
                </w:p>
              </w:tc>
              <w:tc>
                <w:tcPr>
                  <w:tcW w:w="1120" w:type="dxa"/>
                  <w:vAlign w:val="center"/>
                </w:tcPr>
                <w:p w14:paraId="2B4FCFEE">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TN</w:t>
                  </w:r>
                </w:p>
              </w:tc>
              <w:tc>
                <w:tcPr>
                  <w:tcW w:w="730" w:type="dxa"/>
                  <w:vAlign w:val="center"/>
                </w:tcPr>
                <w:p w14:paraId="1F7DD8F2">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mg/L</w:t>
                  </w:r>
                </w:p>
              </w:tc>
              <w:tc>
                <w:tcPr>
                  <w:tcW w:w="981" w:type="dxa"/>
                  <w:vAlign w:val="center"/>
                </w:tcPr>
                <w:p w14:paraId="48B335BE">
                  <w:pPr>
                    <w:adjustRightIn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1</w:t>
                  </w:r>
                  <w:r>
                    <w:rPr>
                      <w:rFonts w:hint="eastAsia" w:cs="Times New Roman"/>
                      <w:bCs/>
                      <w:color w:val="auto"/>
                      <w:sz w:val="21"/>
                      <w:szCs w:val="21"/>
                      <w:lang w:val="en-US" w:eastAsia="zh-CN"/>
                    </w:rPr>
                    <w:t>2</w:t>
                  </w:r>
                  <w:r>
                    <w:rPr>
                      <w:rFonts w:hint="default" w:ascii="Times New Roman" w:hAnsi="Times New Roman" w:cs="Times New Roman"/>
                      <w:bCs/>
                      <w:color w:val="auto"/>
                      <w:sz w:val="21"/>
                      <w:szCs w:val="21"/>
                    </w:rPr>
                    <w:t>（1</w:t>
                  </w:r>
                  <w:r>
                    <w:rPr>
                      <w:rFonts w:hint="eastAsia" w:cs="Times New Roman"/>
                      <w:bCs/>
                      <w:color w:val="auto"/>
                      <w:sz w:val="21"/>
                      <w:szCs w:val="21"/>
                      <w:lang w:val="en-US" w:eastAsia="zh-CN"/>
                    </w:rPr>
                    <w:t>5</w:t>
                  </w:r>
                  <w:r>
                    <w:rPr>
                      <w:rFonts w:hint="default" w:ascii="Times New Roman" w:hAnsi="Times New Roman" w:cs="Times New Roman"/>
                      <w:bCs/>
                      <w:color w:val="auto"/>
                      <w:sz w:val="21"/>
                      <w:szCs w:val="21"/>
                    </w:rPr>
                    <w:t>）</w:t>
                  </w:r>
                </w:p>
              </w:tc>
            </w:tr>
          </w:tbl>
          <w:p w14:paraId="36B7E1CE">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default" w:ascii="Times New Roman" w:hAnsi="Times New Roman" w:cs="Times New Roman"/>
                <w:b/>
                <w:color w:val="auto"/>
                <w:sz w:val="21"/>
                <w:szCs w:val="21"/>
              </w:rPr>
            </w:pPr>
            <w:r>
              <w:rPr>
                <w:rFonts w:hint="default" w:ascii="Times New Roman" w:hAnsi="Times New Roman" w:cs="Times New Roman"/>
                <w:b w:val="0"/>
                <w:bCs/>
                <w:color w:val="auto"/>
                <w:sz w:val="21"/>
                <w:szCs w:val="21"/>
              </w:rPr>
              <w:t>注：</w:t>
            </w:r>
            <w:r>
              <w:rPr>
                <w:rFonts w:hint="eastAsia" w:ascii="Times New Roman" w:hAnsi="Times New Roman" w:eastAsia="宋体" w:cs="Times New Roman"/>
                <w:b w:val="0"/>
                <w:bCs/>
                <w:color w:val="auto"/>
                <w:sz w:val="21"/>
                <w:szCs w:val="21"/>
                <w:lang w:val="en-US" w:eastAsia="zh-CN"/>
              </w:rPr>
              <w:t>每年11月1日至次年3月31日执行括号内排放限值</w:t>
            </w:r>
            <w:r>
              <w:rPr>
                <w:rFonts w:hint="eastAsia" w:ascii="Times New Roman" w:hAnsi="Times New Roman" w:eastAsia="宋体" w:cs="Times New Roman"/>
                <w:b w:val="0"/>
                <w:bCs/>
                <w:color w:val="auto"/>
                <w:kern w:val="0"/>
                <w:sz w:val="21"/>
                <w:szCs w:val="21"/>
                <w:lang w:val="en-US" w:eastAsia="zh-CN" w:bidi="ar-SA"/>
              </w:rPr>
              <w:t>。</w:t>
            </w:r>
          </w:p>
          <w:p w14:paraId="4CC50580">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3、噪声</w:t>
            </w:r>
          </w:p>
          <w:p w14:paraId="0BBBFC4D">
            <w:pPr>
              <w:keepNext w:val="0"/>
              <w:keepLines w:val="0"/>
              <w:pageBreakBefore w:val="0"/>
              <w:widowControl w:val="0"/>
              <w:kinsoku/>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本项目</w:t>
            </w:r>
            <w:r>
              <w:rPr>
                <w:rFonts w:hint="eastAsia" w:cs="Times New Roman"/>
                <w:bCs/>
                <w:color w:val="auto"/>
                <w:sz w:val="21"/>
                <w:szCs w:val="21"/>
                <w:lang w:val="en-US" w:eastAsia="zh-CN"/>
              </w:rPr>
              <w:t>位于</w:t>
            </w:r>
            <w:r>
              <w:rPr>
                <w:rFonts w:hint="eastAsia" w:ascii="宋体" w:hAnsi="宋体" w:eastAsia="宋体" w:cs="宋体"/>
                <w:color w:val="auto"/>
                <w:sz w:val="21"/>
                <w:szCs w:val="21"/>
                <w:lang w:eastAsia="zh-CN"/>
              </w:rPr>
              <w:t>金坛</w:t>
            </w:r>
            <w:r>
              <w:rPr>
                <w:rFonts w:hint="eastAsia" w:ascii="宋体" w:hAnsi="宋体" w:cs="宋体"/>
                <w:color w:val="auto"/>
                <w:sz w:val="21"/>
                <w:szCs w:val="21"/>
                <w:lang w:val="en-US" w:eastAsia="zh-CN"/>
              </w:rPr>
              <w:t>区</w:t>
            </w:r>
            <w:r>
              <w:rPr>
                <w:rFonts w:hint="eastAsia" w:ascii="宋体" w:hAnsi="宋体" w:cs="宋体"/>
                <w:color w:val="auto"/>
                <w:sz w:val="21"/>
                <w:szCs w:val="21"/>
                <w:lang w:eastAsia="zh-CN"/>
              </w:rPr>
              <w:t>朱林现代产业园，</w:t>
            </w:r>
            <w:r>
              <w:rPr>
                <w:rFonts w:hint="eastAsia" w:ascii="宋体" w:hAnsi="宋体" w:cs="宋体"/>
                <w:color w:val="auto"/>
                <w:sz w:val="21"/>
                <w:szCs w:val="21"/>
                <w:lang w:val="en-US" w:eastAsia="zh-CN"/>
              </w:rPr>
              <w:t>根据《常州市市区声环境功能区划》（2017），项目</w:t>
            </w:r>
            <w:r>
              <w:rPr>
                <w:rFonts w:hint="default" w:ascii="Times New Roman" w:hAnsi="Times New Roman" w:cs="Times New Roman"/>
                <w:bCs/>
                <w:color w:val="auto"/>
                <w:sz w:val="21"/>
                <w:szCs w:val="21"/>
              </w:rPr>
              <w:t>营运期厂界噪声执行《工业企业厂界环境噪声排放标准》</w:t>
            </w:r>
            <w:r>
              <w:rPr>
                <w:rFonts w:hint="eastAsia" w:cs="Times New Roman"/>
                <w:bCs/>
                <w:color w:val="auto"/>
                <w:sz w:val="21"/>
                <w:szCs w:val="21"/>
                <w:lang w:eastAsia="zh-CN"/>
              </w:rPr>
              <w:t>（</w:t>
            </w:r>
            <w:r>
              <w:rPr>
                <w:rFonts w:hint="default" w:ascii="Times New Roman" w:hAnsi="Times New Roman" w:cs="Times New Roman"/>
                <w:bCs/>
                <w:color w:val="auto"/>
                <w:sz w:val="21"/>
                <w:szCs w:val="21"/>
              </w:rPr>
              <w:t>GB12348-2008</w:t>
            </w:r>
            <w:r>
              <w:rPr>
                <w:rFonts w:hint="eastAsia" w:cs="Times New Roman"/>
                <w:bCs/>
                <w:color w:val="auto"/>
                <w:sz w:val="21"/>
                <w:szCs w:val="21"/>
                <w:lang w:eastAsia="zh-CN"/>
              </w:rPr>
              <w:t>）</w:t>
            </w:r>
            <w:r>
              <w:rPr>
                <w:rFonts w:hint="default" w:ascii="Times New Roman" w:hAnsi="Times New Roman" w:cs="Times New Roman"/>
                <w:bCs/>
                <w:color w:val="auto"/>
                <w:sz w:val="21"/>
                <w:szCs w:val="21"/>
              </w:rPr>
              <w:t>中</w:t>
            </w:r>
            <w:r>
              <w:rPr>
                <w:rFonts w:hint="default" w:ascii="Times New Roman" w:hAnsi="Times New Roman" w:cs="Times New Roman"/>
                <w:bCs/>
                <w:color w:val="auto"/>
                <w:sz w:val="21"/>
                <w:szCs w:val="21"/>
                <w:lang w:val="en-US" w:eastAsia="zh-CN"/>
              </w:rPr>
              <w:t>3</w:t>
            </w:r>
            <w:r>
              <w:rPr>
                <w:rFonts w:hint="default" w:ascii="Times New Roman" w:hAnsi="Times New Roman" w:cs="Times New Roman"/>
                <w:bCs/>
                <w:color w:val="auto"/>
                <w:sz w:val="21"/>
                <w:szCs w:val="21"/>
              </w:rPr>
              <w:t>类标准</w:t>
            </w:r>
            <w:r>
              <w:rPr>
                <w:rFonts w:hint="default" w:ascii="Times New Roman" w:hAnsi="Times New Roman" w:cs="Times New Roman"/>
                <w:color w:val="auto"/>
                <w:sz w:val="21"/>
                <w:szCs w:val="21"/>
              </w:rPr>
              <w:t>，具体标准值见下表：</w:t>
            </w:r>
          </w:p>
          <w:p w14:paraId="711992F4">
            <w:pPr>
              <w:keepNext w:val="0"/>
              <w:keepLines w:val="0"/>
              <w:pageBreakBefore w:val="0"/>
              <w:widowControl w:val="0"/>
              <w:kinsoku/>
              <w:wordWrap w:val="0"/>
              <w:overflowPunct/>
              <w:topLinePunct w:val="0"/>
              <w:autoSpaceDE/>
              <w:autoSpaceDN/>
              <w:bidi w:val="0"/>
              <w:adjustRightInd w:val="0"/>
              <w:snapToGrid w:val="0"/>
              <w:spacing w:line="50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表3-</w:t>
            </w:r>
            <w:r>
              <w:rPr>
                <w:rFonts w:hint="eastAsia" w:cs="Times New Roman"/>
                <w:b/>
                <w:bCs/>
                <w:color w:val="auto"/>
                <w:sz w:val="21"/>
                <w:szCs w:val="21"/>
                <w:lang w:val="en-US" w:eastAsia="zh-CN"/>
              </w:rPr>
              <w:t>11</w:t>
            </w:r>
            <w:r>
              <w:rPr>
                <w:rFonts w:hint="default" w:ascii="Times New Roman" w:hAnsi="Times New Roman" w:cs="Times New Roman"/>
                <w:b/>
                <w:bCs/>
                <w:color w:val="auto"/>
                <w:sz w:val="21"/>
                <w:szCs w:val="21"/>
              </w:rPr>
              <w:t>营运期噪声排放标准</w:t>
            </w:r>
          </w:p>
          <w:tbl>
            <w:tblPr>
              <w:tblStyle w:val="31"/>
              <w:tblW w:w="5000" w:type="pct"/>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5"/>
              <w:gridCol w:w="2387"/>
              <w:gridCol w:w="1689"/>
              <w:gridCol w:w="1820"/>
            </w:tblGrid>
            <w:tr w14:paraId="7B6F65AD">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83" w:type="pct"/>
                  <w:vAlign w:val="center"/>
                </w:tcPr>
                <w:p w14:paraId="7C4313BC">
                  <w:pPr>
                    <w:adjustRightIn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声环境功能类别</w:t>
                  </w:r>
                </w:p>
              </w:tc>
              <w:tc>
                <w:tcPr>
                  <w:tcW w:w="1505" w:type="pct"/>
                  <w:vAlign w:val="center"/>
                </w:tcPr>
                <w:p w14:paraId="27135F1B">
                  <w:pPr>
                    <w:adjustRightIn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1065" w:type="pct"/>
                  <w:vAlign w:val="center"/>
                </w:tcPr>
                <w:p w14:paraId="64689381">
                  <w:pPr>
                    <w:adjustRightIn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c>
                <w:tcPr>
                  <w:tcW w:w="1147" w:type="pct"/>
                  <w:tcBorders>
                    <w:right w:val="nil"/>
                  </w:tcBorders>
                  <w:vAlign w:val="center"/>
                </w:tcPr>
                <w:p w14:paraId="5CA0F262">
                  <w:pPr>
                    <w:adjustRightIn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执行区域</w:t>
                  </w:r>
                </w:p>
              </w:tc>
            </w:tr>
            <w:tr w14:paraId="2BDB1D36">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83" w:type="pct"/>
                  <w:vAlign w:val="center"/>
                </w:tcPr>
                <w:p w14:paraId="2AA72476">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类</w:t>
                  </w:r>
                </w:p>
              </w:tc>
              <w:tc>
                <w:tcPr>
                  <w:tcW w:w="1505" w:type="pct"/>
                  <w:vAlign w:val="center"/>
                </w:tcPr>
                <w:p w14:paraId="44CD738B">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dB（A）</w:t>
                  </w:r>
                </w:p>
              </w:tc>
              <w:tc>
                <w:tcPr>
                  <w:tcW w:w="1065" w:type="pct"/>
                  <w:vAlign w:val="center"/>
                </w:tcPr>
                <w:p w14:paraId="48610CBE">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dB（A）</w:t>
                  </w:r>
                </w:p>
              </w:tc>
              <w:tc>
                <w:tcPr>
                  <w:tcW w:w="1147" w:type="pct"/>
                  <w:tcBorders>
                    <w:right w:val="nil"/>
                  </w:tcBorders>
                  <w:vAlign w:val="center"/>
                </w:tcPr>
                <w:p w14:paraId="63E16617">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w:t>
                  </w:r>
                </w:p>
              </w:tc>
            </w:tr>
          </w:tbl>
          <w:p w14:paraId="137F2B53">
            <w:pPr>
              <w:adjustRightInd w:val="0"/>
              <w:snapToGrid w:val="0"/>
              <w:spacing w:line="500" w:lineRule="exact"/>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4、固废</w:t>
            </w:r>
          </w:p>
          <w:p w14:paraId="2C2AB13A">
            <w:pPr>
              <w:widowControl/>
              <w:adjustRightInd w:val="0"/>
              <w:snapToGrid w:val="0"/>
              <w:spacing w:line="500" w:lineRule="exact"/>
              <w:ind w:firstLine="420" w:firstLineChars="20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（1）一般固废</w:t>
            </w:r>
            <w:r>
              <w:rPr>
                <w:rFonts w:hint="eastAsia" w:ascii="Times New Roman" w:hAnsi="Times New Roman" w:eastAsia="宋体" w:cs="Times New Roman"/>
                <w:bCs/>
                <w:color w:val="auto"/>
                <w:sz w:val="21"/>
                <w:szCs w:val="21"/>
                <w:lang w:val="en-US" w:eastAsia="zh-CN"/>
              </w:rPr>
              <w:t>满足防渗漏、防雨淋、防扬尘的环境管理要求</w:t>
            </w:r>
            <w:r>
              <w:rPr>
                <w:rFonts w:hint="default" w:ascii="Times New Roman" w:hAnsi="Times New Roman" w:eastAsia="宋体" w:cs="Times New Roman"/>
                <w:bCs/>
                <w:color w:val="auto"/>
                <w:sz w:val="21"/>
                <w:szCs w:val="21"/>
                <w:lang w:val="en-US" w:eastAsia="zh-CN"/>
              </w:rPr>
              <w:t>；</w:t>
            </w:r>
          </w:p>
          <w:p w14:paraId="059D6F3E">
            <w:pPr>
              <w:widowControl/>
              <w:adjustRightInd w:val="0"/>
              <w:snapToGrid w:val="0"/>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eastAsia="宋体" w:cs="Times New Roman"/>
                <w:bCs/>
                <w:color w:val="auto"/>
                <w:sz w:val="21"/>
                <w:szCs w:val="21"/>
                <w:lang w:val="en-US" w:eastAsia="zh-CN"/>
              </w:rPr>
              <w:t>（2）危险废物执行《危险废物贮存污染控制标准》（GB18597-20</w:t>
            </w:r>
            <w:r>
              <w:rPr>
                <w:rFonts w:hint="eastAsia" w:ascii="Times New Roman" w:hAnsi="Times New Roman" w:eastAsia="宋体" w:cs="Times New Roman"/>
                <w:bCs/>
                <w:color w:val="auto"/>
                <w:sz w:val="21"/>
                <w:szCs w:val="21"/>
                <w:lang w:val="en-US" w:eastAsia="zh-CN"/>
              </w:rPr>
              <w:t>23</w:t>
            </w:r>
            <w:r>
              <w:rPr>
                <w:rFonts w:hint="default" w:ascii="Times New Roman" w:hAnsi="Times New Roman" w:eastAsia="宋体" w:cs="Times New Roman"/>
                <w:bCs/>
                <w:color w:val="auto"/>
                <w:sz w:val="21"/>
                <w:szCs w:val="21"/>
                <w:lang w:val="en-US" w:eastAsia="zh-CN"/>
              </w:rPr>
              <w:t>），同时执行</w:t>
            </w:r>
            <w:r>
              <w:rPr>
                <w:rFonts w:hint="eastAsia" w:ascii="Times New Roman" w:hAnsi="Times New Roman" w:eastAsia="宋体" w:cs="Times New Roman"/>
                <w:bCs/>
                <w:color w:val="auto"/>
                <w:sz w:val="21"/>
                <w:szCs w:val="21"/>
                <w:lang w:val="en-US" w:eastAsia="zh-CN"/>
              </w:rPr>
              <w:t>《关于印发</w:t>
            </w:r>
            <w:r>
              <w:rPr>
                <w:rFonts w:hint="default" w:ascii="Times New Roman" w:hAnsi="Times New Roman" w:eastAsia="宋体" w:cs="Times New Roman"/>
                <w:bCs/>
                <w:color w:val="auto"/>
                <w:sz w:val="21"/>
                <w:szCs w:val="21"/>
                <w:lang w:val="en-US" w:eastAsia="zh-CN"/>
              </w:rPr>
              <w:t>&lt;</w:t>
            </w:r>
            <w:r>
              <w:rPr>
                <w:rFonts w:hint="eastAsia" w:ascii="Times New Roman" w:hAnsi="Times New Roman" w:eastAsia="宋体" w:cs="Times New Roman"/>
                <w:bCs/>
                <w:color w:val="auto"/>
                <w:sz w:val="21"/>
                <w:szCs w:val="21"/>
                <w:lang w:val="en-US" w:eastAsia="zh-CN"/>
              </w:rPr>
              <w:t>江苏省固体废物全过程环境监管工作意见</w:t>
            </w:r>
            <w:r>
              <w:rPr>
                <w:rFonts w:hint="default" w:ascii="Times New Roman" w:hAnsi="Times New Roman" w:eastAsia="宋体" w:cs="Times New Roman"/>
                <w:bCs/>
                <w:color w:val="auto"/>
                <w:sz w:val="21"/>
                <w:szCs w:val="21"/>
                <w:lang w:val="en-US" w:eastAsia="zh-CN"/>
              </w:rPr>
              <w:t>&gt;</w:t>
            </w:r>
            <w:r>
              <w:rPr>
                <w:rFonts w:hint="eastAsia" w:ascii="Times New Roman" w:hAnsi="Times New Roman" w:eastAsia="宋体" w:cs="Times New Roman"/>
                <w:bCs/>
                <w:color w:val="auto"/>
                <w:sz w:val="21"/>
                <w:szCs w:val="21"/>
                <w:lang w:val="en-US" w:eastAsia="zh-CN"/>
              </w:rPr>
              <w:t>的通知》（苏环办〔2024〕16号）</w:t>
            </w:r>
            <w:r>
              <w:rPr>
                <w:rFonts w:hint="default" w:ascii="Times New Roman" w:hAnsi="Times New Roman" w:eastAsia="宋体" w:cs="Times New Roman"/>
                <w:bCs/>
                <w:color w:val="auto"/>
                <w:sz w:val="21"/>
                <w:szCs w:val="21"/>
                <w:lang w:val="en-US" w:eastAsia="zh-CN"/>
              </w:rPr>
              <w:t>的要求。</w:t>
            </w:r>
          </w:p>
        </w:tc>
      </w:tr>
      <w:tr w14:paraId="66813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4" w:hRule="atLeast"/>
          <w:jc w:val="center"/>
        </w:trPr>
        <w:tc>
          <w:tcPr>
            <w:tcW w:w="832" w:type="dxa"/>
            <w:tcMar>
              <w:left w:w="28" w:type="dxa"/>
              <w:right w:w="28" w:type="dxa"/>
            </w:tcMar>
            <w:vAlign w:val="center"/>
          </w:tcPr>
          <w:p w14:paraId="4716CD76">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总量</w:t>
            </w:r>
          </w:p>
          <w:p w14:paraId="36164D00">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控制</w:t>
            </w:r>
          </w:p>
          <w:p w14:paraId="1A5C076B">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指标</w:t>
            </w:r>
          </w:p>
        </w:tc>
        <w:tc>
          <w:tcPr>
            <w:tcW w:w="8152" w:type="dxa"/>
            <w:vAlign w:val="center"/>
          </w:tcPr>
          <w:p w14:paraId="34E3293C">
            <w:pPr>
              <w:keepNext w:val="0"/>
              <w:keepLines w:val="0"/>
              <w:pageBreakBefore w:val="0"/>
              <w:kinsoku/>
              <w:wordWrap/>
              <w:overflowPunct w:val="0"/>
              <w:topLinePunct w:val="0"/>
              <w:autoSpaceDE/>
              <w:autoSpaceDN/>
              <w:bidi w:val="0"/>
              <w:adjustRightInd w:val="0"/>
              <w:snapToGrid w:val="0"/>
              <w:spacing w:line="500" w:lineRule="exact"/>
              <w:ind w:firstLine="422" w:firstLineChars="200"/>
              <w:textAlignment w:val="auto"/>
              <w:rPr>
                <w:rFonts w:hint="default" w:ascii="Times New Roman" w:hAnsi="Times New Roman" w:cs="Times New Roman"/>
                <w:b/>
                <w:bCs/>
                <w:color w:val="auto"/>
                <w:sz w:val="21"/>
                <w:szCs w:val="21"/>
              </w:rPr>
            </w:pPr>
            <w:r>
              <w:rPr>
                <w:rFonts w:hint="eastAsia" w:cs="Times New Roman"/>
                <w:b/>
                <w:bCs/>
                <w:color w:val="auto"/>
                <w:sz w:val="21"/>
                <w:szCs w:val="21"/>
                <w:lang w:val="en-US" w:eastAsia="zh-CN"/>
              </w:rPr>
              <w:t>1</w:t>
            </w:r>
            <w:r>
              <w:rPr>
                <w:rFonts w:hint="default" w:ascii="Times New Roman" w:hAnsi="Times New Roman" w:cs="Times New Roman"/>
                <w:b/>
                <w:bCs/>
                <w:color w:val="auto"/>
                <w:sz w:val="21"/>
                <w:szCs w:val="21"/>
              </w:rPr>
              <w:t>、总量控制指标</w:t>
            </w:r>
          </w:p>
          <w:p w14:paraId="4B8F6758">
            <w:pPr>
              <w:keepNext w:val="0"/>
              <w:keepLines w:val="0"/>
              <w:pageBreakBefore w:val="0"/>
              <w:kinsoku/>
              <w:wordWrap/>
              <w:topLinePunct w:val="0"/>
              <w:autoSpaceDE/>
              <w:autoSpaceDN/>
              <w:bidi w:val="0"/>
              <w:adjustRightInd w:val="0"/>
              <w:snapToGrid w:val="0"/>
              <w:spacing w:line="500" w:lineRule="exact"/>
              <w:ind w:firstLine="457" w:firstLineChars="218"/>
              <w:jc w:val="left"/>
              <w:textAlignment w:val="auto"/>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本项目</w:t>
            </w:r>
            <w:r>
              <w:rPr>
                <w:rFonts w:hint="default" w:ascii="Times New Roman" w:hAnsi="Times New Roman" w:cs="Times New Roman"/>
                <w:color w:val="auto"/>
                <w:sz w:val="21"/>
                <w:szCs w:val="21"/>
              </w:rPr>
              <w:t>污染物总量控制指标及来源途径见</w:t>
            </w:r>
            <w:r>
              <w:rPr>
                <w:rFonts w:hint="default" w:ascii="Times New Roman" w:hAnsi="Times New Roman" w:cs="Times New Roman"/>
                <w:color w:val="auto"/>
                <w:sz w:val="21"/>
                <w:szCs w:val="21"/>
                <w:lang w:val="en-US" w:eastAsia="zh-CN"/>
              </w:rPr>
              <w:t>下</w:t>
            </w:r>
            <w:r>
              <w:rPr>
                <w:rFonts w:hint="default" w:ascii="Times New Roman" w:hAnsi="Times New Roman" w:cs="Times New Roman"/>
                <w:color w:val="auto"/>
                <w:sz w:val="21"/>
                <w:szCs w:val="21"/>
              </w:rPr>
              <w:t>表</w:t>
            </w:r>
            <w:r>
              <w:rPr>
                <w:rFonts w:hint="default" w:ascii="Times New Roman" w:hAnsi="Times New Roman" w:cs="Times New Roman"/>
                <w:color w:val="auto"/>
                <w:sz w:val="21"/>
                <w:szCs w:val="21"/>
                <w:lang w:eastAsia="zh-CN"/>
              </w:rPr>
              <w:t>。</w:t>
            </w:r>
          </w:p>
          <w:p w14:paraId="53061C32">
            <w:pPr>
              <w:adjustRightInd w:val="0"/>
              <w:snapToGrid w:val="0"/>
              <w:spacing w:line="500" w:lineRule="exact"/>
              <w:ind w:left="0" w:lef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12 本项目</w:t>
            </w:r>
            <w:r>
              <w:rPr>
                <w:rFonts w:hint="default" w:ascii="Times New Roman" w:hAnsi="Times New Roman" w:cs="Times New Roman"/>
                <w:b/>
                <w:bCs/>
                <w:color w:val="auto"/>
                <w:sz w:val="21"/>
                <w:szCs w:val="21"/>
                <w:lang w:val="en-US" w:eastAsia="zh-CN"/>
              </w:rPr>
              <w:t>污染物排放情况一览表(t/a)</w:t>
            </w:r>
          </w:p>
          <w:tbl>
            <w:tblPr>
              <w:tblStyle w:val="3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27"/>
              <w:gridCol w:w="1183"/>
              <w:gridCol w:w="829"/>
              <w:gridCol w:w="753"/>
              <w:gridCol w:w="664"/>
              <w:gridCol w:w="807"/>
              <w:gridCol w:w="843"/>
              <w:gridCol w:w="780"/>
              <w:gridCol w:w="731"/>
              <w:gridCol w:w="719"/>
            </w:tblGrid>
            <w:tr w14:paraId="47A264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5" w:type="pct"/>
                  <w:vMerge w:val="restart"/>
                  <w:noWrap w:val="0"/>
                  <w:vAlign w:val="center"/>
                </w:tcPr>
                <w:p w14:paraId="6561BC11">
                  <w:pPr>
                    <w:pStyle w:val="114"/>
                    <w:spacing w:line="240" w:lineRule="auto"/>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种类</w:t>
                  </w:r>
                </w:p>
              </w:tc>
              <w:tc>
                <w:tcPr>
                  <w:tcW w:w="745" w:type="pct"/>
                  <w:vMerge w:val="restart"/>
                  <w:noWrap w:val="0"/>
                  <w:vAlign w:val="center"/>
                </w:tcPr>
                <w:p w14:paraId="00E2F75A">
                  <w:pPr>
                    <w:pStyle w:val="114"/>
                    <w:spacing w:line="240" w:lineRule="auto"/>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rPr>
                    <w:t>污染物名称</w:t>
                  </w:r>
                </w:p>
              </w:tc>
              <w:tc>
                <w:tcPr>
                  <w:tcW w:w="522" w:type="pct"/>
                  <w:vMerge w:val="restart"/>
                  <w:noWrap w:val="0"/>
                  <w:vAlign w:val="center"/>
                </w:tcPr>
                <w:p w14:paraId="6D5BF7C8">
                  <w:pPr>
                    <w:pStyle w:val="114"/>
                    <w:spacing w:line="240" w:lineRule="auto"/>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lang w:val="en-US" w:eastAsia="zh-CN"/>
                    </w:rPr>
                    <w:t>原有项目批复量</w:t>
                  </w:r>
                </w:p>
              </w:tc>
              <w:tc>
                <w:tcPr>
                  <w:tcW w:w="1400" w:type="pct"/>
                  <w:gridSpan w:val="3"/>
                  <w:noWrap w:val="0"/>
                  <w:vAlign w:val="center"/>
                </w:tcPr>
                <w:p w14:paraId="2E5EF641">
                  <w:pPr>
                    <w:pStyle w:val="114"/>
                    <w:spacing w:line="240" w:lineRule="auto"/>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lang w:val="en-US" w:eastAsia="zh-CN"/>
                    </w:rPr>
                    <w:t>本项目</w:t>
                  </w:r>
                </w:p>
              </w:tc>
              <w:tc>
                <w:tcPr>
                  <w:tcW w:w="1482" w:type="pct"/>
                  <w:gridSpan w:val="3"/>
                  <w:noWrap w:val="0"/>
                  <w:vAlign w:val="center"/>
                </w:tcPr>
                <w:p w14:paraId="53C11753">
                  <w:pPr>
                    <w:pStyle w:val="114"/>
                    <w:spacing w:line="240" w:lineRule="auto"/>
                    <w:jc w:val="center"/>
                    <w:rPr>
                      <w:rFonts w:hint="default" w:ascii="Times New Roman" w:hAnsi="Times New Roman" w:eastAsia="宋体" w:cs="Times New Roman"/>
                      <w:b/>
                      <w:bCs w:val="0"/>
                      <w:color w:val="auto"/>
                      <w:sz w:val="21"/>
                      <w:szCs w:val="21"/>
                      <w:highlight w:val="none"/>
                      <w:lang w:val="en-US" w:eastAsia="zh-CN"/>
                    </w:rPr>
                  </w:pPr>
                  <w:r>
                    <w:rPr>
                      <w:rFonts w:hint="eastAsia" w:eastAsia="宋体" w:cs="Times New Roman"/>
                      <w:b/>
                      <w:bCs w:val="0"/>
                      <w:color w:val="auto"/>
                      <w:sz w:val="21"/>
                      <w:szCs w:val="21"/>
                      <w:highlight w:val="none"/>
                      <w:lang w:val="en-US" w:eastAsia="zh-CN"/>
                    </w:rPr>
                    <w:t>迁建后</w:t>
                  </w:r>
                  <w:r>
                    <w:rPr>
                      <w:rFonts w:hint="default" w:ascii="Times New Roman" w:hAnsi="Times New Roman" w:eastAsia="宋体" w:cs="Times New Roman"/>
                      <w:b/>
                      <w:bCs w:val="0"/>
                      <w:color w:val="auto"/>
                      <w:sz w:val="21"/>
                      <w:szCs w:val="21"/>
                      <w:highlight w:val="none"/>
                      <w:lang w:val="en-US" w:eastAsia="zh-CN"/>
                    </w:rPr>
                    <w:t>全厂</w:t>
                  </w:r>
                </w:p>
              </w:tc>
              <w:tc>
                <w:tcPr>
                  <w:tcW w:w="452" w:type="pct"/>
                  <w:vMerge w:val="restart"/>
                  <w:noWrap w:val="0"/>
                  <w:vAlign w:val="center"/>
                </w:tcPr>
                <w:p w14:paraId="27E8884B">
                  <w:pPr>
                    <w:pStyle w:val="114"/>
                    <w:spacing w:line="240" w:lineRule="auto"/>
                    <w:jc w:val="center"/>
                    <w:rPr>
                      <w:rFonts w:hint="default" w:ascii="Times New Roman" w:hAnsi="Times New Roman" w:eastAsia="宋体" w:cs="Times New Roman"/>
                      <w:b/>
                      <w:bCs w:val="0"/>
                      <w:color w:val="auto"/>
                      <w:sz w:val="21"/>
                      <w:szCs w:val="21"/>
                      <w:highlight w:val="none"/>
                      <w:lang w:val="en-US" w:eastAsia="zh-CN"/>
                    </w:rPr>
                  </w:pPr>
                  <w:r>
                    <w:rPr>
                      <w:rFonts w:hint="eastAsia" w:eastAsia="宋体" w:cs="Times New Roman"/>
                      <w:b/>
                      <w:bCs w:val="0"/>
                      <w:color w:val="auto"/>
                      <w:sz w:val="21"/>
                      <w:szCs w:val="21"/>
                      <w:highlight w:val="none"/>
                      <w:lang w:val="en-US" w:eastAsia="zh-CN"/>
                    </w:rPr>
                    <w:t>迁建后</w:t>
                  </w:r>
                  <w:r>
                    <w:rPr>
                      <w:rFonts w:hint="default" w:ascii="Times New Roman" w:hAnsi="Times New Roman" w:eastAsia="宋体" w:cs="Times New Roman"/>
                      <w:b/>
                      <w:bCs w:val="0"/>
                      <w:color w:val="auto"/>
                      <w:sz w:val="21"/>
                      <w:szCs w:val="21"/>
                      <w:highlight w:val="none"/>
                      <w:lang w:val="en-US" w:eastAsia="zh-CN"/>
                    </w:rPr>
                    <w:t>全厂</w:t>
                  </w:r>
                  <w:r>
                    <w:rPr>
                      <w:rFonts w:hint="eastAsia" w:eastAsia="宋体" w:cs="Times New Roman"/>
                      <w:b/>
                      <w:bCs w:val="0"/>
                      <w:color w:val="auto"/>
                      <w:sz w:val="21"/>
                      <w:szCs w:val="21"/>
                      <w:highlight w:val="none"/>
                      <w:lang w:val="en-US" w:eastAsia="zh-CN"/>
                    </w:rPr>
                    <w:t>排入外环境量</w:t>
                  </w:r>
                </w:p>
              </w:tc>
            </w:tr>
            <w:tr w14:paraId="2AFD80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5" w:type="pct"/>
                  <w:vMerge w:val="continue"/>
                  <w:noWrap w:val="0"/>
                  <w:vAlign w:val="center"/>
                </w:tcPr>
                <w:p w14:paraId="4CE45F30">
                  <w:pPr>
                    <w:pStyle w:val="114"/>
                    <w:spacing w:line="240" w:lineRule="auto"/>
                    <w:jc w:val="center"/>
                    <w:rPr>
                      <w:rFonts w:hint="default" w:ascii="Times New Roman" w:hAnsi="Times New Roman" w:eastAsia="宋体" w:cs="Times New Roman"/>
                      <w:b/>
                      <w:bCs w:val="0"/>
                      <w:color w:val="auto"/>
                      <w:sz w:val="21"/>
                      <w:szCs w:val="21"/>
                      <w:highlight w:val="none"/>
                    </w:rPr>
                  </w:pPr>
                </w:p>
              </w:tc>
              <w:tc>
                <w:tcPr>
                  <w:tcW w:w="745" w:type="pct"/>
                  <w:vMerge w:val="continue"/>
                  <w:noWrap w:val="0"/>
                  <w:vAlign w:val="center"/>
                </w:tcPr>
                <w:p w14:paraId="5314C8F4">
                  <w:pPr>
                    <w:pStyle w:val="114"/>
                    <w:spacing w:line="240" w:lineRule="auto"/>
                    <w:jc w:val="center"/>
                    <w:rPr>
                      <w:rFonts w:hint="default" w:ascii="Times New Roman" w:hAnsi="Times New Roman" w:eastAsia="宋体" w:cs="Times New Roman"/>
                      <w:b/>
                      <w:bCs w:val="0"/>
                      <w:color w:val="auto"/>
                      <w:sz w:val="21"/>
                      <w:szCs w:val="21"/>
                      <w:highlight w:val="none"/>
                      <w:lang w:val="en-US" w:eastAsia="zh-CN"/>
                    </w:rPr>
                  </w:pPr>
                </w:p>
              </w:tc>
              <w:tc>
                <w:tcPr>
                  <w:tcW w:w="522" w:type="pct"/>
                  <w:vMerge w:val="continue"/>
                  <w:noWrap w:val="0"/>
                  <w:vAlign w:val="center"/>
                </w:tcPr>
                <w:p w14:paraId="662E6F52">
                  <w:pPr>
                    <w:pStyle w:val="114"/>
                    <w:spacing w:line="240" w:lineRule="auto"/>
                    <w:jc w:val="center"/>
                    <w:rPr>
                      <w:rFonts w:hint="default" w:ascii="Times New Roman" w:hAnsi="Times New Roman" w:eastAsia="宋体" w:cs="Times New Roman"/>
                      <w:b/>
                      <w:bCs w:val="0"/>
                      <w:color w:val="auto"/>
                      <w:sz w:val="21"/>
                      <w:szCs w:val="21"/>
                      <w:highlight w:val="none"/>
                    </w:rPr>
                  </w:pPr>
                </w:p>
              </w:tc>
              <w:tc>
                <w:tcPr>
                  <w:tcW w:w="474" w:type="pct"/>
                  <w:noWrap w:val="0"/>
                  <w:vAlign w:val="center"/>
                </w:tcPr>
                <w:p w14:paraId="4CA59C22">
                  <w:pPr>
                    <w:pStyle w:val="114"/>
                    <w:spacing w:line="240" w:lineRule="auto"/>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rPr>
                    <w:t>产生量</w:t>
                  </w:r>
                </w:p>
              </w:tc>
              <w:tc>
                <w:tcPr>
                  <w:tcW w:w="418" w:type="pct"/>
                  <w:noWrap w:val="0"/>
                  <w:vAlign w:val="center"/>
                </w:tcPr>
                <w:p w14:paraId="5A0BD005">
                  <w:pPr>
                    <w:pStyle w:val="114"/>
                    <w:spacing w:line="240" w:lineRule="auto"/>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rPr>
                    <w:t>削减量</w:t>
                  </w:r>
                </w:p>
              </w:tc>
              <w:tc>
                <w:tcPr>
                  <w:tcW w:w="507" w:type="pct"/>
                  <w:noWrap w:val="0"/>
                  <w:vAlign w:val="center"/>
                </w:tcPr>
                <w:p w14:paraId="5A9AFE1F">
                  <w:pPr>
                    <w:pStyle w:val="114"/>
                    <w:spacing w:line="240" w:lineRule="auto"/>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排放量</w:t>
                  </w:r>
                </w:p>
              </w:tc>
              <w:tc>
                <w:tcPr>
                  <w:tcW w:w="531" w:type="pct"/>
                  <w:noWrap w:val="0"/>
                  <w:vAlign w:val="center"/>
                </w:tcPr>
                <w:p w14:paraId="4293006A">
                  <w:pPr>
                    <w:pStyle w:val="114"/>
                    <w:spacing w:line="240" w:lineRule="auto"/>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color w:val="auto"/>
                      <w:sz w:val="21"/>
                      <w:szCs w:val="21"/>
                      <w:highlight w:val="none"/>
                    </w:rPr>
                    <w:t>以新带老削减量</w:t>
                  </w:r>
                </w:p>
              </w:tc>
              <w:tc>
                <w:tcPr>
                  <w:tcW w:w="491" w:type="pct"/>
                  <w:noWrap w:val="0"/>
                  <w:vAlign w:val="center"/>
                </w:tcPr>
                <w:p w14:paraId="7B4BF9FF">
                  <w:pPr>
                    <w:pStyle w:val="114"/>
                    <w:spacing w:line="240" w:lineRule="auto"/>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全厂排放总量</w:t>
                  </w:r>
                </w:p>
              </w:tc>
              <w:tc>
                <w:tcPr>
                  <w:tcW w:w="459" w:type="pct"/>
                  <w:noWrap w:val="0"/>
                  <w:vAlign w:val="center"/>
                </w:tcPr>
                <w:p w14:paraId="1561F787">
                  <w:pPr>
                    <w:pStyle w:val="114"/>
                    <w:spacing w:line="240" w:lineRule="auto"/>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排放增减量</w:t>
                  </w:r>
                </w:p>
              </w:tc>
              <w:tc>
                <w:tcPr>
                  <w:tcW w:w="452" w:type="pct"/>
                  <w:vMerge w:val="continue"/>
                  <w:noWrap w:val="0"/>
                  <w:vAlign w:val="center"/>
                </w:tcPr>
                <w:p w14:paraId="097F3DE3">
                  <w:pPr>
                    <w:pStyle w:val="114"/>
                    <w:spacing w:line="240" w:lineRule="auto"/>
                    <w:jc w:val="center"/>
                    <w:rPr>
                      <w:rFonts w:hint="default" w:ascii="Times New Roman" w:hAnsi="Times New Roman" w:eastAsia="宋体" w:cs="Times New Roman"/>
                      <w:b/>
                      <w:bCs w:val="0"/>
                      <w:color w:val="auto"/>
                      <w:sz w:val="21"/>
                      <w:szCs w:val="21"/>
                      <w:highlight w:val="none"/>
                      <w:lang w:val="en-US" w:eastAsia="zh-CN"/>
                    </w:rPr>
                  </w:pPr>
                </w:p>
              </w:tc>
            </w:tr>
            <w:tr w14:paraId="04E489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5" w:type="pct"/>
                  <w:vMerge w:val="restart"/>
                  <w:noWrap w:val="0"/>
                  <w:vAlign w:val="center"/>
                </w:tcPr>
                <w:p w14:paraId="0EF05A32">
                  <w:pPr>
                    <w:pStyle w:val="115"/>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生活污水</w:t>
                  </w:r>
                </w:p>
              </w:tc>
              <w:tc>
                <w:tcPr>
                  <w:tcW w:w="745" w:type="pct"/>
                  <w:noWrap w:val="0"/>
                  <w:vAlign w:val="center"/>
                </w:tcPr>
                <w:p w14:paraId="04E98808">
                  <w:pPr>
                    <w:pStyle w:val="115"/>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废水量</w:t>
                  </w:r>
                </w:p>
              </w:tc>
              <w:tc>
                <w:tcPr>
                  <w:tcW w:w="522" w:type="pct"/>
                  <w:noWrap w:val="0"/>
                  <w:vAlign w:val="center"/>
                </w:tcPr>
                <w:p w14:paraId="5E5A6A6A">
                  <w:pPr>
                    <w:widowControl w:val="0"/>
                    <w:bidi w:val="0"/>
                    <w:spacing w:line="240" w:lineRule="exact"/>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360</w:t>
                  </w:r>
                </w:p>
              </w:tc>
              <w:tc>
                <w:tcPr>
                  <w:tcW w:w="474" w:type="pct"/>
                  <w:noWrap w:val="0"/>
                  <w:vAlign w:val="center"/>
                </w:tcPr>
                <w:p w14:paraId="4C1F1F4D">
                  <w:pPr>
                    <w:widowControl/>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olor w:val="auto"/>
                      <w:sz w:val="21"/>
                      <w:szCs w:val="21"/>
                      <w:lang w:val="en-US" w:eastAsia="zh-CN"/>
                    </w:rPr>
                    <w:t>480</w:t>
                  </w:r>
                </w:p>
              </w:tc>
              <w:tc>
                <w:tcPr>
                  <w:tcW w:w="418" w:type="pct"/>
                  <w:noWrap w:val="0"/>
                  <w:vAlign w:val="center"/>
                </w:tcPr>
                <w:p w14:paraId="4781F5F3">
                  <w:pPr>
                    <w:widowControl/>
                    <w:jc w:val="center"/>
                    <w:textAlignment w:val="center"/>
                    <w:rPr>
                      <w:rFonts w:hint="eastAsia" w:ascii="Times New Roman" w:hAnsi="Times New Roman" w:eastAsia="宋体" w:cs="Times New Roman"/>
                      <w:b w:val="0"/>
                      <w:bCs/>
                      <w:color w:val="auto"/>
                      <w:sz w:val="21"/>
                      <w:szCs w:val="21"/>
                      <w:highlight w:val="none"/>
                      <w:lang w:val="en-US" w:eastAsia="zh-CN"/>
                    </w:rPr>
                  </w:pPr>
                  <w:r>
                    <w:rPr>
                      <w:rFonts w:hint="eastAsia" w:eastAsia="宋体"/>
                      <w:color w:val="auto"/>
                      <w:kern w:val="0"/>
                      <w:sz w:val="21"/>
                      <w:szCs w:val="21"/>
                      <w:highlight w:val="none"/>
                      <w:lang w:val="en-US" w:eastAsia="zh-CN" w:bidi="ar"/>
                    </w:rPr>
                    <w:t>0</w:t>
                  </w:r>
                </w:p>
              </w:tc>
              <w:tc>
                <w:tcPr>
                  <w:tcW w:w="507" w:type="pct"/>
                  <w:noWrap w:val="0"/>
                  <w:vAlign w:val="center"/>
                </w:tcPr>
                <w:p w14:paraId="0BB5A1FF">
                  <w:pPr>
                    <w:widowControl/>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olor w:val="auto"/>
                      <w:sz w:val="21"/>
                      <w:szCs w:val="21"/>
                      <w:lang w:val="en-US" w:eastAsia="zh-CN"/>
                    </w:rPr>
                    <w:t>480</w:t>
                  </w:r>
                </w:p>
              </w:tc>
              <w:tc>
                <w:tcPr>
                  <w:tcW w:w="531" w:type="pct"/>
                  <w:noWrap w:val="0"/>
                  <w:vAlign w:val="center"/>
                </w:tcPr>
                <w:p w14:paraId="6DBC76E6">
                  <w:pPr>
                    <w:widowControl w:val="0"/>
                    <w:bidi w:val="0"/>
                    <w:spacing w:line="240" w:lineRule="exact"/>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360</w:t>
                  </w:r>
                </w:p>
              </w:tc>
              <w:tc>
                <w:tcPr>
                  <w:tcW w:w="491" w:type="pct"/>
                  <w:noWrap w:val="0"/>
                  <w:vAlign w:val="center"/>
                </w:tcPr>
                <w:p w14:paraId="2E5D9BB6">
                  <w:pPr>
                    <w:widowControl/>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color w:val="auto"/>
                      <w:sz w:val="21"/>
                      <w:szCs w:val="21"/>
                      <w:lang w:val="en-US" w:eastAsia="zh-CN"/>
                    </w:rPr>
                    <w:t>480</w:t>
                  </w:r>
                </w:p>
              </w:tc>
              <w:tc>
                <w:tcPr>
                  <w:tcW w:w="459" w:type="pct"/>
                  <w:noWrap w:val="0"/>
                  <w:vAlign w:val="center"/>
                </w:tcPr>
                <w:p w14:paraId="71760AF7">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+120</w:t>
                  </w:r>
                </w:p>
              </w:tc>
              <w:tc>
                <w:tcPr>
                  <w:tcW w:w="452" w:type="pct"/>
                  <w:noWrap w:val="0"/>
                  <w:vAlign w:val="center"/>
                </w:tcPr>
                <w:p w14:paraId="1AACED80">
                  <w:pPr>
                    <w:tabs>
                      <w:tab w:val="left" w:pos="6840"/>
                    </w:tabs>
                    <w:spacing w:line="27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480</w:t>
                  </w:r>
                </w:p>
              </w:tc>
            </w:tr>
            <w:tr w14:paraId="09B35F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5" w:type="pct"/>
                  <w:vMerge w:val="continue"/>
                  <w:noWrap w:val="0"/>
                  <w:vAlign w:val="center"/>
                </w:tcPr>
                <w:p w14:paraId="28CAA5A7">
                  <w:pPr>
                    <w:pStyle w:val="115"/>
                    <w:spacing w:line="240" w:lineRule="auto"/>
                    <w:jc w:val="center"/>
                    <w:rPr>
                      <w:rFonts w:hint="default" w:ascii="Times New Roman" w:hAnsi="Times New Roman" w:eastAsia="宋体" w:cs="Times New Roman"/>
                      <w:b w:val="0"/>
                      <w:bCs/>
                      <w:color w:val="auto"/>
                      <w:sz w:val="21"/>
                      <w:szCs w:val="21"/>
                      <w:highlight w:val="none"/>
                    </w:rPr>
                  </w:pPr>
                </w:p>
              </w:tc>
              <w:tc>
                <w:tcPr>
                  <w:tcW w:w="745" w:type="pct"/>
                  <w:noWrap w:val="0"/>
                  <w:vAlign w:val="center"/>
                </w:tcPr>
                <w:p w14:paraId="347EF5E6">
                  <w:pPr>
                    <w:tabs>
                      <w:tab w:val="left" w:pos="6840"/>
                    </w:tabs>
                    <w:spacing w:line="270" w:lineRule="exact"/>
                    <w:jc w:val="center"/>
                    <w:rPr>
                      <w:rFonts w:hint="default" w:ascii="Times New Roman" w:hAnsi="Times New Roman" w:eastAsia="宋体" w:cs="Times New Roman"/>
                      <w:b w:val="0"/>
                      <w:bCs/>
                      <w:color w:val="auto"/>
                      <w:kern w:val="2"/>
                      <w:sz w:val="21"/>
                      <w:szCs w:val="21"/>
                      <w:highlight w:val="none"/>
                      <w:lang w:val="en-US" w:eastAsia="zh-CN" w:bidi="ar-SA"/>
                    </w:rPr>
                  </w:pPr>
                  <w:r>
                    <w:rPr>
                      <w:color w:val="auto"/>
                      <w:sz w:val="21"/>
                      <w:szCs w:val="21"/>
                    </w:rPr>
                    <w:t>COD</w:t>
                  </w:r>
                </w:p>
              </w:tc>
              <w:tc>
                <w:tcPr>
                  <w:tcW w:w="522" w:type="pct"/>
                  <w:noWrap w:val="0"/>
                  <w:vAlign w:val="center"/>
                </w:tcPr>
                <w:p w14:paraId="554A9F0F">
                  <w:pPr>
                    <w:widowControl w:val="0"/>
                    <w:bidi w:val="0"/>
                    <w:spacing w:line="240" w:lineRule="exact"/>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0.09</w:t>
                  </w:r>
                </w:p>
              </w:tc>
              <w:tc>
                <w:tcPr>
                  <w:tcW w:w="474" w:type="pct"/>
                  <w:noWrap w:val="0"/>
                  <w:vAlign w:val="center"/>
                </w:tcPr>
                <w:p w14:paraId="5C093A42">
                  <w:pPr>
                    <w:tabs>
                      <w:tab w:val="left" w:pos="6840"/>
                    </w:tabs>
                    <w:spacing w:line="270" w:lineRule="exact"/>
                    <w:jc w:val="center"/>
                    <w:rPr>
                      <w:rFonts w:hint="default" w:ascii="Times New Roman" w:hAnsi="Times New Roman" w:eastAsia="宋体" w:cs="Times New Roman"/>
                      <w:b w:val="0"/>
                      <w:bCs/>
                      <w:color w:val="auto"/>
                      <w:sz w:val="21"/>
                      <w:szCs w:val="21"/>
                      <w:highlight w:val="none"/>
                    </w:rPr>
                  </w:pPr>
                  <w:r>
                    <w:rPr>
                      <w:rFonts w:hint="eastAsia" w:ascii="Times New Roman" w:hAnsi="Times New Roman" w:cs="Times New Roman"/>
                      <w:color w:val="auto"/>
                      <w:sz w:val="21"/>
                      <w:szCs w:val="21"/>
                      <w:lang w:val="en-US" w:eastAsia="zh-CN"/>
                    </w:rPr>
                    <w:t xml:space="preserve">0.1440 </w:t>
                  </w:r>
                </w:p>
              </w:tc>
              <w:tc>
                <w:tcPr>
                  <w:tcW w:w="418" w:type="pct"/>
                  <w:noWrap w:val="0"/>
                  <w:vAlign w:val="center"/>
                </w:tcPr>
                <w:p w14:paraId="64FF48E2">
                  <w:pPr>
                    <w:widowControl/>
                    <w:jc w:val="center"/>
                    <w:textAlignment w:val="center"/>
                    <w:rPr>
                      <w:rFonts w:hint="default" w:ascii="Times New Roman" w:hAnsi="Times New Roman" w:eastAsia="宋体" w:cs="Times New Roman"/>
                      <w:b w:val="0"/>
                      <w:bCs/>
                      <w:color w:val="auto"/>
                      <w:sz w:val="21"/>
                      <w:szCs w:val="21"/>
                      <w:highlight w:val="none"/>
                      <w:lang w:val="en-US" w:eastAsia="zh-CN"/>
                    </w:rPr>
                  </w:pPr>
                  <w:r>
                    <w:rPr>
                      <w:color w:val="auto"/>
                      <w:kern w:val="0"/>
                      <w:sz w:val="21"/>
                      <w:szCs w:val="21"/>
                      <w:highlight w:val="none"/>
                      <w:lang w:bidi="ar"/>
                    </w:rPr>
                    <w:t>0</w:t>
                  </w:r>
                </w:p>
              </w:tc>
              <w:tc>
                <w:tcPr>
                  <w:tcW w:w="507" w:type="pct"/>
                  <w:noWrap w:val="0"/>
                  <w:vAlign w:val="center"/>
                </w:tcPr>
                <w:p w14:paraId="417104BF">
                  <w:pPr>
                    <w:tabs>
                      <w:tab w:val="left" w:pos="6840"/>
                    </w:tabs>
                    <w:spacing w:line="270" w:lineRule="exact"/>
                    <w:jc w:val="center"/>
                    <w:rPr>
                      <w:rFonts w:hint="default" w:ascii="Times New Roman" w:hAnsi="Times New Roman" w:eastAsia="宋体" w:cs="Times New Roman"/>
                      <w:b w:val="0"/>
                      <w:bCs/>
                      <w:color w:val="auto"/>
                      <w:sz w:val="21"/>
                      <w:szCs w:val="21"/>
                      <w:highlight w:val="none"/>
                    </w:rPr>
                  </w:pPr>
                  <w:r>
                    <w:rPr>
                      <w:rFonts w:hint="eastAsia" w:ascii="Times New Roman" w:hAnsi="Times New Roman" w:cs="Times New Roman"/>
                      <w:color w:val="auto"/>
                      <w:sz w:val="21"/>
                      <w:szCs w:val="21"/>
                      <w:lang w:val="en-US" w:eastAsia="zh-CN"/>
                    </w:rPr>
                    <w:t xml:space="preserve">0.1440 </w:t>
                  </w:r>
                </w:p>
              </w:tc>
              <w:tc>
                <w:tcPr>
                  <w:tcW w:w="531" w:type="pct"/>
                  <w:noWrap w:val="0"/>
                  <w:vAlign w:val="center"/>
                </w:tcPr>
                <w:p w14:paraId="389EB9E7">
                  <w:pPr>
                    <w:widowControl w:val="0"/>
                    <w:bidi w:val="0"/>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0.09</w:t>
                  </w:r>
                </w:p>
              </w:tc>
              <w:tc>
                <w:tcPr>
                  <w:tcW w:w="491" w:type="pct"/>
                  <w:noWrap w:val="0"/>
                  <w:vAlign w:val="center"/>
                </w:tcPr>
                <w:p w14:paraId="6BAE8617">
                  <w:pPr>
                    <w:tabs>
                      <w:tab w:val="left" w:pos="6840"/>
                    </w:tabs>
                    <w:spacing w:line="270" w:lineRule="exact"/>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color w:val="auto"/>
                      <w:sz w:val="21"/>
                      <w:szCs w:val="21"/>
                      <w:lang w:val="en-US" w:eastAsia="zh-CN"/>
                    </w:rPr>
                    <w:t xml:space="preserve">0.1440 </w:t>
                  </w:r>
                </w:p>
              </w:tc>
              <w:tc>
                <w:tcPr>
                  <w:tcW w:w="459" w:type="pct"/>
                  <w:noWrap w:val="0"/>
                  <w:vAlign w:val="center"/>
                </w:tcPr>
                <w:p w14:paraId="5E29DE02">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+0.054</w:t>
                  </w:r>
                </w:p>
              </w:tc>
              <w:tc>
                <w:tcPr>
                  <w:tcW w:w="452" w:type="pct"/>
                  <w:noWrap w:val="0"/>
                  <w:vAlign w:val="center"/>
                </w:tcPr>
                <w:p w14:paraId="33FE8B80">
                  <w:pPr>
                    <w:tabs>
                      <w:tab w:val="left" w:pos="6840"/>
                    </w:tabs>
                    <w:spacing w:line="27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0.0240 </w:t>
                  </w:r>
                </w:p>
              </w:tc>
            </w:tr>
            <w:tr w14:paraId="449490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5" w:type="pct"/>
                  <w:vMerge w:val="continue"/>
                  <w:noWrap w:val="0"/>
                  <w:vAlign w:val="center"/>
                </w:tcPr>
                <w:p w14:paraId="29D646EB">
                  <w:pPr>
                    <w:pStyle w:val="115"/>
                    <w:spacing w:line="240" w:lineRule="auto"/>
                    <w:jc w:val="center"/>
                    <w:rPr>
                      <w:rFonts w:hint="default" w:ascii="Times New Roman" w:hAnsi="Times New Roman" w:eastAsia="宋体" w:cs="Times New Roman"/>
                      <w:b w:val="0"/>
                      <w:bCs/>
                      <w:color w:val="auto"/>
                      <w:sz w:val="21"/>
                      <w:szCs w:val="21"/>
                      <w:highlight w:val="none"/>
                    </w:rPr>
                  </w:pPr>
                </w:p>
              </w:tc>
              <w:tc>
                <w:tcPr>
                  <w:tcW w:w="745" w:type="pct"/>
                  <w:noWrap w:val="0"/>
                  <w:vAlign w:val="center"/>
                </w:tcPr>
                <w:p w14:paraId="67DCBF68">
                  <w:pPr>
                    <w:tabs>
                      <w:tab w:val="left" w:pos="6840"/>
                    </w:tabs>
                    <w:spacing w:line="270" w:lineRule="exact"/>
                    <w:jc w:val="center"/>
                    <w:rPr>
                      <w:rFonts w:hint="default" w:ascii="Times New Roman" w:hAnsi="Times New Roman" w:eastAsia="宋体" w:cs="Times New Roman"/>
                      <w:b w:val="0"/>
                      <w:bCs/>
                      <w:color w:val="auto"/>
                      <w:kern w:val="2"/>
                      <w:sz w:val="21"/>
                      <w:szCs w:val="21"/>
                      <w:highlight w:val="none"/>
                      <w:lang w:val="en-US" w:eastAsia="zh-CN" w:bidi="ar-SA"/>
                    </w:rPr>
                  </w:pPr>
                  <w:r>
                    <w:rPr>
                      <w:color w:val="auto"/>
                      <w:sz w:val="21"/>
                      <w:szCs w:val="21"/>
                    </w:rPr>
                    <w:t>SS</w:t>
                  </w:r>
                </w:p>
              </w:tc>
              <w:tc>
                <w:tcPr>
                  <w:tcW w:w="522" w:type="pct"/>
                  <w:noWrap w:val="0"/>
                  <w:vAlign w:val="center"/>
                </w:tcPr>
                <w:p w14:paraId="249B8E90">
                  <w:pPr>
                    <w:widowControl w:val="0"/>
                    <w:bidi w:val="0"/>
                    <w:spacing w:line="240" w:lineRule="exact"/>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0.0288</w:t>
                  </w:r>
                </w:p>
              </w:tc>
              <w:tc>
                <w:tcPr>
                  <w:tcW w:w="474" w:type="pct"/>
                  <w:noWrap w:val="0"/>
                  <w:vAlign w:val="center"/>
                </w:tcPr>
                <w:p w14:paraId="42CBF60E">
                  <w:pPr>
                    <w:tabs>
                      <w:tab w:val="left" w:pos="6840"/>
                    </w:tabs>
                    <w:spacing w:line="270" w:lineRule="exact"/>
                    <w:jc w:val="center"/>
                    <w:rPr>
                      <w:rFonts w:hint="default" w:ascii="Times New Roman" w:hAnsi="Times New Roman" w:eastAsia="宋体" w:cs="Times New Roman"/>
                      <w:b w:val="0"/>
                      <w:bCs/>
                      <w:color w:val="auto"/>
                      <w:sz w:val="21"/>
                      <w:szCs w:val="21"/>
                      <w:highlight w:val="none"/>
                    </w:rPr>
                  </w:pPr>
                  <w:r>
                    <w:rPr>
                      <w:rFonts w:hint="eastAsia" w:ascii="Times New Roman" w:hAnsi="Times New Roman" w:cs="Times New Roman"/>
                      <w:color w:val="auto"/>
                      <w:sz w:val="21"/>
                      <w:szCs w:val="21"/>
                      <w:lang w:val="en-US" w:eastAsia="zh-CN"/>
                    </w:rPr>
                    <w:t xml:space="preserve">0.0960 </w:t>
                  </w:r>
                </w:p>
              </w:tc>
              <w:tc>
                <w:tcPr>
                  <w:tcW w:w="418" w:type="pct"/>
                  <w:noWrap w:val="0"/>
                  <w:vAlign w:val="center"/>
                </w:tcPr>
                <w:p w14:paraId="0B8BBA52">
                  <w:pPr>
                    <w:widowControl/>
                    <w:jc w:val="center"/>
                    <w:textAlignment w:val="center"/>
                    <w:rPr>
                      <w:rFonts w:hint="default" w:ascii="Times New Roman" w:hAnsi="Times New Roman" w:eastAsia="宋体" w:cs="Times New Roman"/>
                      <w:b w:val="0"/>
                      <w:bCs/>
                      <w:color w:val="auto"/>
                      <w:sz w:val="21"/>
                      <w:szCs w:val="21"/>
                      <w:highlight w:val="none"/>
                      <w:lang w:val="en-US" w:eastAsia="zh-CN"/>
                    </w:rPr>
                  </w:pPr>
                  <w:r>
                    <w:rPr>
                      <w:color w:val="auto"/>
                      <w:kern w:val="0"/>
                      <w:sz w:val="21"/>
                      <w:szCs w:val="21"/>
                      <w:highlight w:val="none"/>
                      <w:lang w:bidi="ar"/>
                    </w:rPr>
                    <w:t>0</w:t>
                  </w:r>
                </w:p>
              </w:tc>
              <w:tc>
                <w:tcPr>
                  <w:tcW w:w="507" w:type="pct"/>
                  <w:noWrap w:val="0"/>
                  <w:vAlign w:val="center"/>
                </w:tcPr>
                <w:p w14:paraId="1190EE7E">
                  <w:pPr>
                    <w:tabs>
                      <w:tab w:val="left" w:pos="6840"/>
                    </w:tabs>
                    <w:spacing w:line="270" w:lineRule="exact"/>
                    <w:jc w:val="center"/>
                    <w:rPr>
                      <w:rFonts w:hint="default" w:ascii="Times New Roman" w:hAnsi="Times New Roman" w:eastAsia="宋体" w:cs="Times New Roman"/>
                      <w:b w:val="0"/>
                      <w:bCs/>
                      <w:color w:val="auto"/>
                      <w:sz w:val="21"/>
                      <w:szCs w:val="21"/>
                      <w:highlight w:val="none"/>
                    </w:rPr>
                  </w:pPr>
                  <w:r>
                    <w:rPr>
                      <w:rFonts w:hint="eastAsia" w:ascii="Times New Roman" w:hAnsi="Times New Roman" w:cs="Times New Roman"/>
                      <w:color w:val="auto"/>
                      <w:sz w:val="21"/>
                      <w:szCs w:val="21"/>
                      <w:lang w:val="en-US" w:eastAsia="zh-CN"/>
                    </w:rPr>
                    <w:t xml:space="preserve">0.0960 </w:t>
                  </w:r>
                </w:p>
              </w:tc>
              <w:tc>
                <w:tcPr>
                  <w:tcW w:w="531" w:type="pct"/>
                  <w:noWrap w:val="0"/>
                  <w:vAlign w:val="center"/>
                </w:tcPr>
                <w:p w14:paraId="6070172F">
                  <w:pPr>
                    <w:widowControl w:val="0"/>
                    <w:bidi w:val="0"/>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0.0288</w:t>
                  </w:r>
                </w:p>
              </w:tc>
              <w:tc>
                <w:tcPr>
                  <w:tcW w:w="491" w:type="pct"/>
                  <w:noWrap w:val="0"/>
                  <w:vAlign w:val="center"/>
                </w:tcPr>
                <w:p w14:paraId="74B60CC2">
                  <w:pPr>
                    <w:tabs>
                      <w:tab w:val="left" w:pos="6840"/>
                    </w:tabs>
                    <w:spacing w:line="270" w:lineRule="exact"/>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color w:val="auto"/>
                      <w:sz w:val="21"/>
                      <w:szCs w:val="21"/>
                      <w:lang w:val="en-US" w:eastAsia="zh-CN"/>
                    </w:rPr>
                    <w:t xml:space="preserve">0.0960 </w:t>
                  </w:r>
                </w:p>
              </w:tc>
              <w:tc>
                <w:tcPr>
                  <w:tcW w:w="459" w:type="pct"/>
                  <w:noWrap w:val="0"/>
                  <w:vAlign w:val="center"/>
                </w:tcPr>
                <w:p w14:paraId="2007EE4C">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+0.0672</w:t>
                  </w:r>
                </w:p>
              </w:tc>
              <w:tc>
                <w:tcPr>
                  <w:tcW w:w="452" w:type="pct"/>
                  <w:noWrap w:val="0"/>
                  <w:vAlign w:val="center"/>
                </w:tcPr>
                <w:p w14:paraId="5982CC3C">
                  <w:pPr>
                    <w:tabs>
                      <w:tab w:val="left" w:pos="6840"/>
                    </w:tabs>
                    <w:spacing w:line="27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0.0048 </w:t>
                  </w:r>
                </w:p>
              </w:tc>
            </w:tr>
            <w:tr w14:paraId="53B186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5" w:type="pct"/>
                  <w:vMerge w:val="continue"/>
                  <w:noWrap w:val="0"/>
                  <w:vAlign w:val="center"/>
                </w:tcPr>
                <w:p w14:paraId="7EBED8B9">
                  <w:pPr>
                    <w:pStyle w:val="115"/>
                    <w:spacing w:line="240" w:lineRule="auto"/>
                    <w:jc w:val="center"/>
                    <w:rPr>
                      <w:rFonts w:hint="default" w:ascii="Times New Roman" w:hAnsi="Times New Roman" w:eastAsia="宋体" w:cs="Times New Roman"/>
                      <w:b w:val="0"/>
                      <w:bCs/>
                      <w:color w:val="auto"/>
                      <w:sz w:val="21"/>
                      <w:szCs w:val="21"/>
                      <w:highlight w:val="none"/>
                    </w:rPr>
                  </w:pPr>
                </w:p>
              </w:tc>
              <w:tc>
                <w:tcPr>
                  <w:tcW w:w="745" w:type="pct"/>
                  <w:noWrap w:val="0"/>
                  <w:vAlign w:val="center"/>
                </w:tcPr>
                <w:p w14:paraId="7642F6D0">
                  <w:pPr>
                    <w:tabs>
                      <w:tab w:val="left" w:pos="6840"/>
                    </w:tabs>
                    <w:spacing w:line="270" w:lineRule="exact"/>
                    <w:jc w:val="center"/>
                    <w:rPr>
                      <w:rFonts w:hint="default" w:ascii="Times New Roman" w:hAnsi="Times New Roman" w:eastAsia="宋体" w:cs="Times New Roman"/>
                      <w:b w:val="0"/>
                      <w:bCs/>
                      <w:color w:val="auto"/>
                      <w:kern w:val="2"/>
                      <w:sz w:val="21"/>
                      <w:szCs w:val="21"/>
                      <w:highlight w:val="none"/>
                      <w:lang w:val="en-US" w:eastAsia="zh-CN" w:bidi="ar-SA"/>
                    </w:rPr>
                  </w:pPr>
                  <w:r>
                    <w:rPr>
                      <w:color w:val="auto"/>
                      <w:sz w:val="21"/>
                      <w:szCs w:val="21"/>
                    </w:rPr>
                    <w:t>NH</w:t>
                  </w:r>
                  <w:r>
                    <w:rPr>
                      <w:color w:val="auto"/>
                      <w:sz w:val="21"/>
                      <w:szCs w:val="21"/>
                      <w:vertAlign w:val="subscript"/>
                    </w:rPr>
                    <w:t>3</w:t>
                  </w:r>
                  <w:r>
                    <w:rPr>
                      <w:color w:val="auto"/>
                      <w:sz w:val="21"/>
                      <w:szCs w:val="21"/>
                    </w:rPr>
                    <w:t>-N</w:t>
                  </w:r>
                </w:p>
              </w:tc>
              <w:tc>
                <w:tcPr>
                  <w:tcW w:w="522" w:type="pct"/>
                  <w:noWrap w:val="0"/>
                  <w:vAlign w:val="center"/>
                </w:tcPr>
                <w:p w14:paraId="5266F192">
                  <w:pPr>
                    <w:widowControl w:val="0"/>
                    <w:bidi w:val="0"/>
                    <w:spacing w:line="240" w:lineRule="exact"/>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0.0036</w:t>
                  </w:r>
                </w:p>
              </w:tc>
              <w:tc>
                <w:tcPr>
                  <w:tcW w:w="474" w:type="pct"/>
                  <w:noWrap w:val="0"/>
                  <w:vAlign w:val="center"/>
                </w:tcPr>
                <w:p w14:paraId="1BADCBB6">
                  <w:pPr>
                    <w:tabs>
                      <w:tab w:val="left" w:pos="6840"/>
                    </w:tabs>
                    <w:spacing w:line="270" w:lineRule="exact"/>
                    <w:jc w:val="center"/>
                    <w:rPr>
                      <w:rFonts w:hint="default" w:ascii="Times New Roman" w:hAnsi="Times New Roman" w:eastAsia="宋体" w:cs="Times New Roman"/>
                      <w:b w:val="0"/>
                      <w:bCs/>
                      <w:color w:val="auto"/>
                      <w:sz w:val="21"/>
                      <w:szCs w:val="21"/>
                      <w:highlight w:val="none"/>
                    </w:rPr>
                  </w:pPr>
                  <w:r>
                    <w:rPr>
                      <w:rFonts w:hint="eastAsia" w:ascii="Times New Roman" w:hAnsi="Times New Roman" w:cs="Times New Roman"/>
                      <w:color w:val="auto"/>
                      <w:sz w:val="21"/>
                      <w:szCs w:val="21"/>
                      <w:lang w:val="en-US" w:eastAsia="zh-CN"/>
                    </w:rPr>
                    <w:t xml:space="preserve">0.0096 </w:t>
                  </w:r>
                </w:p>
              </w:tc>
              <w:tc>
                <w:tcPr>
                  <w:tcW w:w="418" w:type="pct"/>
                  <w:noWrap w:val="0"/>
                  <w:vAlign w:val="center"/>
                </w:tcPr>
                <w:p w14:paraId="409CB40B">
                  <w:pPr>
                    <w:widowControl/>
                    <w:jc w:val="center"/>
                    <w:textAlignment w:val="center"/>
                    <w:rPr>
                      <w:rFonts w:hint="default" w:ascii="Times New Roman" w:hAnsi="Times New Roman" w:eastAsia="宋体" w:cs="Times New Roman"/>
                      <w:b w:val="0"/>
                      <w:bCs/>
                      <w:color w:val="auto"/>
                      <w:sz w:val="21"/>
                      <w:szCs w:val="21"/>
                      <w:highlight w:val="none"/>
                      <w:lang w:val="en-US" w:eastAsia="zh-CN"/>
                    </w:rPr>
                  </w:pPr>
                  <w:r>
                    <w:rPr>
                      <w:color w:val="auto"/>
                      <w:kern w:val="0"/>
                      <w:sz w:val="21"/>
                      <w:szCs w:val="21"/>
                      <w:highlight w:val="none"/>
                      <w:lang w:bidi="ar"/>
                    </w:rPr>
                    <w:t>0</w:t>
                  </w:r>
                </w:p>
              </w:tc>
              <w:tc>
                <w:tcPr>
                  <w:tcW w:w="507" w:type="pct"/>
                  <w:noWrap w:val="0"/>
                  <w:vAlign w:val="center"/>
                </w:tcPr>
                <w:p w14:paraId="7053A21C">
                  <w:pPr>
                    <w:tabs>
                      <w:tab w:val="left" w:pos="6840"/>
                    </w:tabs>
                    <w:spacing w:line="270" w:lineRule="exact"/>
                    <w:jc w:val="center"/>
                    <w:rPr>
                      <w:rFonts w:hint="default" w:ascii="Times New Roman" w:hAnsi="Times New Roman" w:eastAsia="宋体" w:cs="Times New Roman"/>
                      <w:b w:val="0"/>
                      <w:bCs/>
                      <w:color w:val="auto"/>
                      <w:sz w:val="21"/>
                      <w:szCs w:val="21"/>
                      <w:highlight w:val="none"/>
                    </w:rPr>
                  </w:pPr>
                  <w:r>
                    <w:rPr>
                      <w:rFonts w:hint="eastAsia" w:ascii="Times New Roman" w:hAnsi="Times New Roman" w:cs="Times New Roman"/>
                      <w:color w:val="auto"/>
                      <w:sz w:val="21"/>
                      <w:szCs w:val="21"/>
                      <w:lang w:val="en-US" w:eastAsia="zh-CN"/>
                    </w:rPr>
                    <w:t xml:space="preserve">0.0096 </w:t>
                  </w:r>
                </w:p>
              </w:tc>
              <w:tc>
                <w:tcPr>
                  <w:tcW w:w="531" w:type="pct"/>
                  <w:noWrap w:val="0"/>
                  <w:vAlign w:val="center"/>
                </w:tcPr>
                <w:p w14:paraId="6F4D4A65">
                  <w:pPr>
                    <w:widowControl w:val="0"/>
                    <w:bidi w:val="0"/>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0.0036</w:t>
                  </w:r>
                </w:p>
              </w:tc>
              <w:tc>
                <w:tcPr>
                  <w:tcW w:w="491" w:type="pct"/>
                  <w:noWrap w:val="0"/>
                  <w:vAlign w:val="center"/>
                </w:tcPr>
                <w:p w14:paraId="28F722D9">
                  <w:pPr>
                    <w:tabs>
                      <w:tab w:val="left" w:pos="6840"/>
                    </w:tabs>
                    <w:spacing w:line="270" w:lineRule="exact"/>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color w:val="auto"/>
                      <w:sz w:val="21"/>
                      <w:szCs w:val="21"/>
                      <w:lang w:val="en-US" w:eastAsia="zh-CN"/>
                    </w:rPr>
                    <w:t xml:space="preserve">0.0096 </w:t>
                  </w:r>
                </w:p>
              </w:tc>
              <w:tc>
                <w:tcPr>
                  <w:tcW w:w="459" w:type="pct"/>
                  <w:noWrap w:val="0"/>
                  <w:vAlign w:val="center"/>
                </w:tcPr>
                <w:p w14:paraId="336A3254">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+0.006</w:t>
                  </w:r>
                </w:p>
              </w:tc>
              <w:tc>
                <w:tcPr>
                  <w:tcW w:w="452" w:type="pct"/>
                  <w:noWrap w:val="0"/>
                  <w:vAlign w:val="center"/>
                </w:tcPr>
                <w:p w14:paraId="22FE65A1">
                  <w:pPr>
                    <w:tabs>
                      <w:tab w:val="left" w:pos="6840"/>
                    </w:tabs>
                    <w:spacing w:line="27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0.0019 </w:t>
                  </w:r>
                </w:p>
              </w:tc>
            </w:tr>
            <w:tr w14:paraId="0760E6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5" w:type="pct"/>
                  <w:vMerge w:val="continue"/>
                  <w:noWrap w:val="0"/>
                  <w:vAlign w:val="center"/>
                </w:tcPr>
                <w:p w14:paraId="102E9758">
                  <w:pPr>
                    <w:pStyle w:val="115"/>
                    <w:spacing w:line="240" w:lineRule="auto"/>
                    <w:jc w:val="center"/>
                    <w:rPr>
                      <w:rFonts w:hint="default" w:ascii="Times New Roman" w:hAnsi="Times New Roman" w:eastAsia="宋体" w:cs="Times New Roman"/>
                      <w:b w:val="0"/>
                      <w:bCs/>
                      <w:color w:val="auto"/>
                      <w:sz w:val="21"/>
                      <w:szCs w:val="21"/>
                      <w:highlight w:val="none"/>
                    </w:rPr>
                  </w:pPr>
                </w:p>
              </w:tc>
              <w:tc>
                <w:tcPr>
                  <w:tcW w:w="745" w:type="pct"/>
                  <w:noWrap w:val="0"/>
                  <w:vAlign w:val="center"/>
                </w:tcPr>
                <w:p w14:paraId="2F79286E">
                  <w:pPr>
                    <w:tabs>
                      <w:tab w:val="left" w:pos="6840"/>
                    </w:tabs>
                    <w:spacing w:line="270" w:lineRule="exact"/>
                    <w:jc w:val="center"/>
                    <w:rPr>
                      <w:rFonts w:hint="default" w:ascii="Times New Roman" w:hAnsi="Times New Roman" w:eastAsia="宋体" w:cs="Times New Roman"/>
                      <w:b w:val="0"/>
                      <w:bCs/>
                      <w:color w:val="auto"/>
                      <w:kern w:val="2"/>
                      <w:sz w:val="21"/>
                      <w:szCs w:val="21"/>
                      <w:highlight w:val="none"/>
                      <w:lang w:val="en-US" w:eastAsia="zh-CN" w:bidi="ar-SA"/>
                    </w:rPr>
                  </w:pPr>
                  <w:r>
                    <w:rPr>
                      <w:color w:val="auto"/>
                      <w:sz w:val="21"/>
                      <w:szCs w:val="21"/>
                    </w:rPr>
                    <w:t>TP</w:t>
                  </w:r>
                </w:p>
              </w:tc>
              <w:tc>
                <w:tcPr>
                  <w:tcW w:w="522" w:type="pct"/>
                  <w:noWrap w:val="0"/>
                  <w:vAlign w:val="center"/>
                </w:tcPr>
                <w:p w14:paraId="10D66EBE">
                  <w:pPr>
                    <w:widowControl w:val="0"/>
                    <w:bidi w:val="0"/>
                    <w:spacing w:line="240" w:lineRule="exact"/>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0.0007</w:t>
                  </w:r>
                </w:p>
              </w:tc>
              <w:tc>
                <w:tcPr>
                  <w:tcW w:w="474" w:type="pct"/>
                  <w:noWrap w:val="0"/>
                  <w:vAlign w:val="center"/>
                </w:tcPr>
                <w:p w14:paraId="277738D6">
                  <w:pPr>
                    <w:tabs>
                      <w:tab w:val="left" w:pos="6840"/>
                    </w:tabs>
                    <w:spacing w:line="270" w:lineRule="exact"/>
                    <w:jc w:val="center"/>
                    <w:rPr>
                      <w:rFonts w:hint="default" w:ascii="Times New Roman" w:hAnsi="Times New Roman" w:eastAsia="宋体" w:cs="Times New Roman"/>
                      <w:b w:val="0"/>
                      <w:bCs/>
                      <w:color w:val="auto"/>
                      <w:sz w:val="21"/>
                      <w:szCs w:val="21"/>
                      <w:highlight w:val="none"/>
                    </w:rPr>
                  </w:pPr>
                  <w:r>
                    <w:rPr>
                      <w:rFonts w:hint="eastAsia" w:ascii="Times New Roman" w:hAnsi="Times New Roman" w:cs="Times New Roman"/>
                      <w:color w:val="auto"/>
                      <w:sz w:val="21"/>
                      <w:szCs w:val="21"/>
                      <w:lang w:val="en-US" w:eastAsia="zh-CN"/>
                    </w:rPr>
                    <w:t xml:space="preserve">0.0014 </w:t>
                  </w:r>
                </w:p>
              </w:tc>
              <w:tc>
                <w:tcPr>
                  <w:tcW w:w="418" w:type="pct"/>
                  <w:noWrap w:val="0"/>
                  <w:vAlign w:val="center"/>
                </w:tcPr>
                <w:p w14:paraId="21FC9599">
                  <w:pPr>
                    <w:widowControl/>
                    <w:jc w:val="center"/>
                    <w:textAlignment w:val="center"/>
                    <w:rPr>
                      <w:rFonts w:hint="default" w:ascii="Times New Roman" w:hAnsi="Times New Roman" w:eastAsia="宋体" w:cs="Times New Roman"/>
                      <w:b w:val="0"/>
                      <w:bCs/>
                      <w:color w:val="auto"/>
                      <w:sz w:val="21"/>
                      <w:szCs w:val="21"/>
                      <w:highlight w:val="none"/>
                      <w:lang w:val="en-US" w:eastAsia="zh-CN"/>
                    </w:rPr>
                  </w:pPr>
                  <w:r>
                    <w:rPr>
                      <w:color w:val="auto"/>
                      <w:kern w:val="0"/>
                      <w:sz w:val="21"/>
                      <w:szCs w:val="21"/>
                      <w:highlight w:val="none"/>
                      <w:lang w:bidi="ar"/>
                    </w:rPr>
                    <w:t>0</w:t>
                  </w:r>
                </w:p>
              </w:tc>
              <w:tc>
                <w:tcPr>
                  <w:tcW w:w="507" w:type="pct"/>
                  <w:noWrap w:val="0"/>
                  <w:vAlign w:val="center"/>
                </w:tcPr>
                <w:p w14:paraId="2C0C5C49">
                  <w:pPr>
                    <w:tabs>
                      <w:tab w:val="left" w:pos="6840"/>
                    </w:tabs>
                    <w:spacing w:line="270" w:lineRule="exact"/>
                    <w:jc w:val="center"/>
                    <w:rPr>
                      <w:rFonts w:hint="default" w:ascii="Times New Roman" w:hAnsi="Times New Roman" w:eastAsia="宋体" w:cs="Times New Roman"/>
                      <w:b w:val="0"/>
                      <w:bCs/>
                      <w:color w:val="auto"/>
                      <w:sz w:val="21"/>
                      <w:szCs w:val="21"/>
                      <w:highlight w:val="none"/>
                    </w:rPr>
                  </w:pPr>
                  <w:r>
                    <w:rPr>
                      <w:rFonts w:hint="eastAsia" w:ascii="Times New Roman" w:hAnsi="Times New Roman" w:cs="Times New Roman"/>
                      <w:color w:val="auto"/>
                      <w:sz w:val="21"/>
                      <w:szCs w:val="21"/>
                      <w:lang w:val="en-US" w:eastAsia="zh-CN"/>
                    </w:rPr>
                    <w:t xml:space="preserve">0.0014 </w:t>
                  </w:r>
                </w:p>
              </w:tc>
              <w:tc>
                <w:tcPr>
                  <w:tcW w:w="531" w:type="pct"/>
                  <w:noWrap w:val="0"/>
                  <w:vAlign w:val="center"/>
                </w:tcPr>
                <w:p w14:paraId="7BF99D30">
                  <w:pPr>
                    <w:widowControl w:val="0"/>
                    <w:bidi w:val="0"/>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0.0007</w:t>
                  </w:r>
                </w:p>
              </w:tc>
              <w:tc>
                <w:tcPr>
                  <w:tcW w:w="491" w:type="pct"/>
                  <w:noWrap w:val="0"/>
                  <w:vAlign w:val="center"/>
                </w:tcPr>
                <w:p w14:paraId="51079F51">
                  <w:pPr>
                    <w:tabs>
                      <w:tab w:val="left" w:pos="6840"/>
                    </w:tabs>
                    <w:spacing w:line="270" w:lineRule="exact"/>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color w:val="auto"/>
                      <w:sz w:val="21"/>
                      <w:szCs w:val="21"/>
                      <w:lang w:val="en-US" w:eastAsia="zh-CN"/>
                    </w:rPr>
                    <w:t xml:space="preserve">0.0014 </w:t>
                  </w:r>
                </w:p>
              </w:tc>
              <w:tc>
                <w:tcPr>
                  <w:tcW w:w="459" w:type="pct"/>
                  <w:noWrap w:val="0"/>
                  <w:vAlign w:val="center"/>
                </w:tcPr>
                <w:p w14:paraId="252FEEA0">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+0.0007</w:t>
                  </w:r>
                </w:p>
              </w:tc>
              <w:tc>
                <w:tcPr>
                  <w:tcW w:w="452" w:type="pct"/>
                  <w:noWrap w:val="0"/>
                  <w:vAlign w:val="center"/>
                </w:tcPr>
                <w:p w14:paraId="294A9D2F">
                  <w:pPr>
                    <w:tabs>
                      <w:tab w:val="left" w:pos="6840"/>
                    </w:tabs>
                    <w:spacing w:line="27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0.0002 </w:t>
                  </w:r>
                </w:p>
              </w:tc>
            </w:tr>
            <w:tr w14:paraId="63B851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5" w:type="pct"/>
                  <w:vMerge w:val="continue"/>
                  <w:noWrap w:val="0"/>
                  <w:vAlign w:val="center"/>
                </w:tcPr>
                <w:p w14:paraId="2466875E">
                  <w:pPr>
                    <w:pStyle w:val="115"/>
                    <w:spacing w:line="240" w:lineRule="auto"/>
                    <w:jc w:val="center"/>
                    <w:rPr>
                      <w:rFonts w:hint="default" w:ascii="Times New Roman" w:hAnsi="Times New Roman" w:eastAsia="宋体" w:cs="Times New Roman"/>
                      <w:b w:val="0"/>
                      <w:bCs/>
                      <w:color w:val="auto"/>
                      <w:sz w:val="21"/>
                      <w:szCs w:val="21"/>
                      <w:highlight w:val="none"/>
                    </w:rPr>
                  </w:pPr>
                </w:p>
              </w:tc>
              <w:tc>
                <w:tcPr>
                  <w:tcW w:w="745" w:type="pct"/>
                  <w:noWrap w:val="0"/>
                  <w:vAlign w:val="center"/>
                </w:tcPr>
                <w:p w14:paraId="2CF906C6">
                  <w:pPr>
                    <w:tabs>
                      <w:tab w:val="left" w:pos="6840"/>
                    </w:tabs>
                    <w:spacing w:line="270" w:lineRule="exact"/>
                    <w:jc w:val="center"/>
                    <w:rPr>
                      <w:rFonts w:hint="default" w:ascii="Times New Roman" w:hAnsi="Times New Roman" w:eastAsia="宋体" w:cs="Times New Roman"/>
                      <w:b w:val="0"/>
                      <w:bCs/>
                      <w:color w:val="auto"/>
                      <w:kern w:val="2"/>
                      <w:sz w:val="21"/>
                      <w:szCs w:val="21"/>
                      <w:highlight w:val="none"/>
                      <w:lang w:val="en-US" w:eastAsia="zh-CN" w:bidi="ar-SA"/>
                    </w:rPr>
                  </w:pPr>
                  <w:r>
                    <w:rPr>
                      <w:color w:val="auto"/>
                      <w:sz w:val="21"/>
                      <w:szCs w:val="21"/>
                    </w:rPr>
                    <w:t>TN</w:t>
                  </w:r>
                </w:p>
              </w:tc>
              <w:tc>
                <w:tcPr>
                  <w:tcW w:w="522" w:type="pct"/>
                  <w:noWrap w:val="0"/>
                  <w:vAlign w:val="center"/>
                </w:tcPr>
                <w:p w14:paraId="373942CC">
                  <w:pPr>
                    <w:widowControl w:val="0"/>
                    <w:bidi w:val="0"/>
                    <w:spacing w:line="240" w:lineRule="exact"/>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0.0072</w:t>
                  </w:r>
                </w:p>
              </w:tc>
              <w:tc>
                <w:tcPr>
                  <w:tcW w:w="474" w:type="pct"/>
                  <w:noWrap w:val="0"/>
                  <w:vAlign w:val="center"/>
                </w:tcPr>
                <w:p w14:paraId="718E3886">
                  <w:pPr>
                    <w:tabs>
                      <w:tab w:val="left" w:pos="6840"/>
                    </w:tabs>
                    <w:spacing w:line="270" w:lineRule="exact"/>
                    <w:jc w:val="center"/>
                    <w:rPr>
                      <w:rFonts w:hint="default" w:ascii="Times New Roman" w:hAnsi="Times New Roman" w:eastAsia="宋体" w:cs="Times New Roman"/>
                      <w:b w:val="0"/>
                      <w:bCs/>
                      <w:color w:val="auto"/>
                      <w:sz w:val="21"/>
                      <w:szCs w:val="21"/>
                      <w:highlight w:val="none"/>
                    </w:rPr>
                  </w:pPr>
                  <w:r>
                    <w:rPr>
                      <w:rFonts w:hint="eastAsia" w:ascii="Times New Roman" w:hAnsi="Times New Roman" w:cs="Times New Roman"/>
                      <w:color w:val="auto"/>
                      <w:sz w:val="21"/>
                      <w:szCs w:val="21"/>
                      <w:lang w:val="en-US" w:eastAsia="zh-CN"/>
                    </w:rPr>
                    <w:t xml:space="preserve">0.0192 </w:t>
                  </w:r>
                </w:p>
              </w:tc>
              <w:tc>
                <w:tcPr>
                  <w:tcW w:w="418" w:type="pct"/>
                  <w:noWrap w:val="0"/>
                  <w:vAlign w:val="center"/>
                </w:tcPr>
                <w:p w14:paraId="5394C057">
                  <w:pPr>
                    <w:widowControl/>
                    <w:jc w:val="center"/>
                    <w:textAlignment w:val="center"/>
                    <w:rPr>
                      <w:rFonts w:hint="default" w:ascii="Times New Roman" w:hAnsi="Times New Roman" w:eastAsia="宋体" w:cs="Times New Roman"/>
                      <w:b w:val="0"/>
                      <w:bCs/>
                      <w:color w:val="auto"/>
                      <w:sz w:val="21"/>
                      <w:szCs w:val="21"/>
                      <w:highlight w:val="none"/>
                      <w:lang w:val="en-US" w:eastAsia="zh-CN"/>
                    </w:rPr>
                  </w:pPr>
                  <w:r>
                    <w:rPr>
                      <w:color w:val="auto"/>
                      <w:kern w:val="0"/>
                      <w:sz w:val="21"/>
                      <w:szCs w:val="21"/>
                      <w:highlight w:val="none"/>
                      <w:lang w:bidi="ar"/>
                    </w:rPr>
                    <w:t>0</w:t>
                  </w:r>
                </w:p>
              </w:tc>
              <w:tc>
                <w:tcPr>
                  <w:tcW w:w="507" w:type="pct"/>
                  <w:noWrap w:val="0"/>
                  <w:vAlign w:val="center"/>
                </w:tcPr>
                <w:p w14:paraId="2D2D3C61">
                  <w:pPr>
                    <w:tabs>
                      <w:tab w:val="left" w:pos="6840"/>
                    </w:tabs>
                    <w:spacing w:line="270" w:lineRule="exact"/>
                    <w:jc w:val="center"/>
                    <w:rPr>
                      <w:rFonts w:hint="default" w:ascii="Times New Roman" w:hAnsi="Times New Roman" w:eastAsia="宋体" w:cs="Times New Roman"/>
                      <w:b w:val="0"/>
                      <w:bCs/>
                      <w:color w:val="auto"/>
                      <w:sz w:val="21"/>
                      <w:szCs w:val="21"/>
                      <w:highlight w:val="none"/>
                    </w:rPr>
                  </w:pPr>
                  <w:r>
                    <w:rPr>
                      <w:rFonts w:hint="eastAsia" w:ascii="Times New Roman" w:hAnsi="Times New Roman" w:cs="Times New Roman"/>
                      <w:color w:val="auto"/>
                      <w:sz w:val="21"/>
                      <w:szCs w:val="21"/>
                      <w:lang w:val="en-US" w:eastAsia="zh-CN"/>
                    </w:rPr>
                    <w:t xml:space="preserve">0.0192 </w:t>
                  </w:r>
                </w:p>
              </w:tc>
              <w:tc>
                <w:tcPr>
                  <w:tcW w:w="531" w:type="pct"/>
                  <w:noWrap w:val="0"/>
                  <w:vAlign w:val="center"/>
                </w:tcPr>
                <w:p w14:paraId="4A279939">
                  <w:pPr>
                    <w:widowControl w:val="0"/>
                    <w:bidi w:val="0"/>
                    <w:spacing w:line="2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0.0072</w:t>
                  </w:r>
                </w:p>
              </w:tc>
              <w:tc>
                <w:tcPr>
                  <w:tcW w:w="491" w:type="pct"/>
                  <w:noWrap w:val="0"/>
                  <w:vAlign w:val="center"/>
                </w:tcPr>
                <w:p w14:paraId="679F2138">
                  <w:pPr>
                    <w:tabs>
                      <w:tab w:val="left" w:pos="6840"/>
                    </w:tabs>
                    <w:spacing w:line="270" w:lineRule="exact"/>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color w:val="auto"/>
                      <w:sz w:val="21"/>
                      <w:szCs w:val="21"/>
                      <w:lang w:val="en-US" w:eastAsia="zh-CN"/>
                    </w:rPr>
                    <w:t xml:space="preserve">0.0192 </w:t>
                  </w:r>
                </w:p>
              </w:tc>
              <w:tc>
                <w:tcPr>
                  <w:tcW w:w="459" w:type="pct"/>
                  <w:noWrap w:val="0"/>
                  <w:vAlign w:val="center"/>
                </w:tcPr>
                <w:p w14:paraId="7AF41975">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+0.012</w:t>
                  </w:r>
                </w:p>
              </w:tc>
              <w:tc>
                <w:tcPr>
                  <w:tcW w:w="452" w:type="pct"/>
                  <w:noWrap w:val="0"/>
                  <w:vAlign w:val="center"/>
                </w:tcPr>
                <w:p w14:paraId="504E6ADE">
                  <w:pPr>
                    <w:tabs>
                      <w:tab w:val="left" w:pos="6840"/>
                    </w:tabs>
                    <w:spacing w:line="27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0.0058 </w:t>
                  </w:r>
                </w:p>
              </w:tc>
            </w:tr>
            <w:tr w14:paraId="4A6F1A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5" w:type="pct"/>
                  <w:vMerge w:val="restart"/>
                  <w:noWrap w:val="0"/>
                  <w:vAlign w:val="center"/>
                </w:tcPr>
                <w:p w14:paraId="3F82DA8F">
                  <w:pPr>
                    <w:pStyle w:val="115"/>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废气</w:t>
                  </w:r>
                </w:p>
              </w:tc>
              <w:tc>
                <w:tcPr>
                  <w:tcW w:w="745" w:type="pct"/>
                  <w:noWrap w:val="0"/>
                  <w:vAlign w:val="center"/>
                </w:tcPr>
                <w:p w14:paraId="706C3922">
                  <w:pPr>
                    <w:pStyle w:val="115"/>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非甲烷总烃</w:t>
                  </w:r>
                  <w:r>
                    <w:rPr>
                      <w:rFonts w:hint="eastAsia" w:ascii="Times New Roman" w:hAnsi="Times New Roman" w:eastAsia="宋体" w:cs="Times New Roman"/>
                      <w:b w:val="0"/>
                      <w:bCs/>
                      <w:color w:val="auto"/>
                      <w:sz w:val="21"/>
                      <w:szCs w:val="21"/>
                      <w:highlight w:val="none"/>
                      <w:lang w:val="en-US" w:eastAsia="zh-CN"/>
                    </w:rPr>
                    <w:t>（有组织）</w:t>
                  </w:r>
                </w:p>
              </w:tc>
              <w:tc>
                <w:tcPr>
                  <w:tcW w:w="522" w:type="pct"/>
                  <w:noWrap w:val="0"/>
                  <w:vAlign w:val="center"/>
                </w:tcPr>
                <w:p w14:paraId="700F2AEB">
                  <w:pPr>
                    <w:spacing w:before="48" w:beforeLines="20" w:after="48" w:afterLines="20"/>
                    <w:jc w:val="center"/>
                    <w:rPr>
                      <w:rFonts w:hint="default" w:eastAsia="Times New Roman"/>
                      <w:b w:val="0"/>
                      <w:bCs w:val="0"/>
                      <w:color w:val="auto"/>
                      <w:spacing w:val="-1"/>
                      <w:kern w:val="2"/>
                      <w:sz w:val="21"/>
                      <w:szCs w:val="21"/>
                      <w:highlight w:val="none"/>
                      <w:lang w:val="en-US" w:eastAsia="zh-CN" w:bidi="ar-SA"/>
                    </w:rPr>
                  </w:pPr>
                  <w:r>
                    <w:rPr>
                      <w:rFonts w:hint="default" w:ascii="Times New Roman" w:hAnsi="Times New Roman" w:cs="Times New Roman"/>
                      <w:color w:val="auto"/>
                      <w:sz w:val="21"/>
                      <w:szCs w:val="21"/>
                      <w:lang w:val="en-US" w:eastAsia="zh-CN"/>
                    </w:rPr>
                    <w:t>0.221</w:t>
                  </w:r>
                </w:p>
              </w:tc>
              <w:tc>
                <w:tcPr>
                  <w:tcW w:w="474" w:type="pct"/>
                  <w:noWrap w:val="0"/>
                  <w:vAlign w:val="center"/>
                </w:tcPr>
                <w:p w14:paraId="7D85CE59">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eastAsiaTheme="minorEastAsia"/>
                      <w:bCs/>
                      <w:color w:val="auto"/>
                      <w:kern w:val="2"/>
                      <w:sz w:val="21"/>
                      <w:szCs w:val="21"/>
                      <w:lang w:val="en-US" w:eastAsia="zh-CN" w:bidi="ar-SA"/>
                    </w:rPr>
                    <w:t>1.944</w:t>
                  </w:r>
                </w:p>
              </w:tc>
              <w:tc>
                <w:tcPr>
                  <w:tcW w:w="418" w:type="pct"/>
                  <w:noWrap w:val="0"/>
                  <w:vAlign w:val="center"/>
                </w:tcPr>
                <w:p w14:paraId="054BB91D">
                  <w:pPr>
                    <w:pStyle w:val="115"/>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w:t>
                  </w:r>
                  <w:r>
                    <w:rPr>
                      <w:rFonts w:hint="eastAsia" w:eastAsia="宋体" w:cs="Times New Roman"/>
                      <w:b w:val="0"/>
                      <w:bCs/>
                      <w:color w:val="auto"/>
                      <w:sz w:val="21"/>
                      <w:szCs w:val="21"/>
                      <w:highlight w:val="none"/>
                      <w:lang w:val="en-US" w:eastAsia="zh-CN"/>
                    </w:rPr>
                    <w:t>75</w:t>
                  </w:r>
                </w:p>
              </w:tc>
              <w:tc>
                <w:tcPr>
                  <w:tcW w:w="507" w:type="pct"/>
                  <w:noWrap w:val="0"/>
                  <w:vAlign w:val="center"/>
                </w:tcPr>
                <w:p w14:paraId="203ACE5F">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eastAsiaTheme="minorEastAsia"/>
                      <w:bCs/>
                      <w:color w:val="auto"/>
                      <w:kern w:val="2"/>
                      <w:sz w:val="21"/>
                      <w:szCs w:val="21"/>
                      <w:lang w:val="en-US" w:eastAsia="zh-CN" w:bidi="ar-SA"/>
                    </w:rPr>
                    <w:t>0.194</w:t>
                  </w:r>
                </w:p>
              </w:tc>
              <w:tc>
                <w:tcPr>
                  <w:tcW w:w="531" w:type="pct"/>
                  <w:noWrap w:val="0"/>
                  <w:vAlign w:val="center"/>
                </w:tcPr>
                <w:p w14:paraId="728FC0B0">
                  <w:pPr>
                    <w:spacing w:before="48" w:beforeLines="20" w:after="48" w:afterLines="2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0.221</w:t>
                  </w:r>
                </w:p>
              </w:tc>
              <w:tc>
                <w:tcPr>
                  <w:tcW w:w="491" w:type="pct"/>
                  <w:noWrap w:val="0"/>
                  <w:vAlign w:val="center"/>
                </w:tcPr>
                <w:p w14:paraId="33D6798E">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eastAsiaTheme="minorEastAsia"/>
                      <w:bCs/>
                      <w:color w:val="auto"/>
                      <w:kern w:val="2"/>
                      <w:sz w:val="21"/>
                      <w:szCs w:val="21"/>
                      <w:lang w:val="en-US" w:eastAsia="zh-CN" w:bidi="ar-SA"/>
                    </w:rPr>
                    <w:t>0.194</w:t>
                  </w:r>
                </w:p>
              </w:tc>
              <w:tc>
                <w:tcPr>
                  <w:tcW w:w="459" w:type="pct"/>
                  <w:noWrap w:val="0"/>
                  <w:vAlign w:val="center"/>
                </w:tcPr>
                <w:p w14:paraId="083C2AEB">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-0.0</w:t>
                  </w:r>
                  <w:r>
                    <w:rPr>
                      <w:rFonts w:hint="eastAsia" w:cs="Times New Roman" w:eastAsiaTheme="minorEastAsia"/>
                      <w:bCs/>
                      <w:color w:val="auto"/>
                      <w:kern w:val="2"/>
                      <w:sz w:val="21"/>
                      <w:szCs w:val="21"/>
                      <w:lang w:val="en-US" w:eastAsia="zh-CN" w:bidi="ar-SA"/>
                    </w:rPr>
                    <w:t>27</w:t>
                  </w:r>
                </w:p>
              </w:tc>
              <w:tc>
                <w:tcPr>
                  <w:tcW w:w="452" w:type="pct"/>
                  <w:noWrap w:val="0"/>
                  <w:vAlign w:val="center"/>
                </w:tcPr>
                <w:p w14:paraId="4FBB081D">
                  <w:pPr>
                    <w:tabs>
                      <w:tab w:val="left" w:pos="6840"/>
                    </w:tabs>
                    <w:spacing w:line="270" w:lineRule="exact"/>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0.194</w:t>
                  </w:r>
                </w:p>
              </w:tc>
            </w:tr>
            <w:tr w14:paraId="16FFDA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5" w:type="pct"/>
                  <w:vMerge w:val="continue"/>
                  <w:noWrap w:val="0"/>
                  <w:vAlign w:val="center"/>
                </w:tcPr>
                <w:p w14:paraId="1A389A0F">
                  <w:pPr>
                    <w:pStyle w:val="115"/>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745" w:type="pct"/>
                  <w:noWrap w:val="0"/>
                  <w:vAlign w:val="center"/>
                </w:tcPr>
                <w:p w14:paraId="5A0E78A0">
                  <w:pPr>
                    <w:pStyle w:val="115"/>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非甲烷总烃</w:t>
                  </w:r>
                  <w:r>
                    <w:rPr>
                      <w:rFonts w:hint="eastAsia" w:ascii="Times New Roman" w:hAnsi="Times New Roman" w:eastAsia="宋体" w:cs="Times New Roman"/>
                      <w:b w:val="0"/>
                      <w:bCs/>
                      <w:color w:val="auto"/>
                      <w:sz w:val="21"/>
                      <w:szCs w:val="21"/>
                      <w:highlight w:val="none"/>
                      <w:lang w:val="en-US" w:eastAsia="zh-CN"/>
                    </w:rPr>
                    <w:t>（无组织）</w:t>
                  </w:r>
                </w:p>
              </w:tc>
              <w:tc>
                <w:tcPr>
                  <w:tcW w:w="522" w:type="pct"/>
                  <w:noWrap w:val="0"/>
                  <w:vAlign w:val="center"/>
                </w:tcPr>
                <w:p w14:paraId="473737BB">
                  <w:pPr>
                    <w:spacing w:before="48" w:beforeLines="20" w:after="48" w:afterLines="20"/>
                    <w:jc w:val="center"/>
                    <w:rPr>
                      <w:rFonts w:hint="default" w:eastAsia="Times New Roman"/>
                      <w:b w:val="0"/>
                      <w:bCs w:val="0"/>
                      <w:color w:val="auto"/>
                      <w:spacing w:val="-1"/>
                      <w:kern w:val="2"/>
                      <w:sz w:val="21"/>
                      <w:szCs w:val="21"/>
                      <w:highlight w:val="none"/>
                      <w:lang w:val="en-US" w:eastAsia="zh-CN" w:bidi="ar-SA"/>
                    </w:rPr>
                  </w:pPr>
                  <w:r>
                    <w:rPr>
                      <w:rFonts w:hint="eastAsia"/>
                      <w:color w:val="auto"/>
                      <w:sz w:val="21"/>
                      <w:szCs w:val="21"/>
                    </w:rPr>
                    <w:t>0.117</w:t>
                  </w:r>
                </w:p>
              </w:tc>
              <w:tc>
                <w:tcPr>
                  <w:tcW w:w="474" w:type="pct"/>
                  <w:noWrap w:val="0"/>
                  <w:vAlign w:val="center"/>
                </w:tcPr>
                <w:p w14:paraId="4755AC7A">
                  <w:pPr>
                    <w:pStyle w:val="115"/>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eastAsiaTheme="minorEastAsia"/>
                      <w:bCs/>
                      <w:color w:val="auto"/>
                      <w:sz w:val="21"/>
                      <w:szCs w:val="21"/>
                      <w:lang w:val="en-US" w:eastAsia="zh-CN"/>
                    </w:rPr>
                    <w:t>0.102</w:t>
                  </w:r>
                </w:p>
              </w:tc>
              <w:tc>
                <w:tcPr>
                  <w:tcW w:w="418" w:type="pct"/>
                  <w:noWrap w:val="0"/>
                  <w:vAlign w:val="center"/>
                </w:tcPr>
                <w:p w14:paraId="6811A7C7">
                  <w:pPr>
                    <w:pStyle w:val="115"/>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507" w:type="pct"/>
                  <w:noWrap w:val="0"/>
                  <w:vAlign w:val="center"/>
                </w:tcPr>
                <w:p w14:paraId="3031580C">
                  <w:pPr>
                    <w:pStyle w:val="115"/>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eastAsiaTheme="minorEastAsia"/>
                      <w:bCs/>
                      <w:color w:val="auto"/>
                      <w:sz w:val="21"/>
                      <w:szCs w:val="21"/>
                      <w:lang w:val="en-US" w:eastAsia="zh-CN"/>
                    </w:rPr>
                    <w:t>0.102</w:t>
                  </w:r>
                </w:p>
              </w:tc>
              <w:tc>
                <w:tcPr>
                  <w:tcW w:w="531" w:type="pct"/>
                  <w:noWrap w:val="0"/>
                  <w:vAlign w:val="center"/>
                </w:tcPr>
                <w:p w14:paraId="395F02DE">
                  <w:pPr>
                    <w:spacing w:before="48" w:beforeLines="20" w:after="48" w:afterLines="2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color w:val="auto"/>
                      <w:sz w:val="21"/>
                      <w:szCs w:val="21"/>
                    </w:rPr>
                    <w:t>0.117</w:t>
                  </w:r>
                </w:p>
              </w:tc>
              <w:tc>
                <w:tcPr>
                  <w:tcW w:w="491" w:type="pct"/>
                  <w:noWrap w:val="0"/>
                  <w:vAlign w:val="center"/>
                </w:tcPr>
                <w:p w14:paraId="03712A5D">
                  <w:pPr>
                    <w:pStyle w:val="115"/>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eastAsiaTheme="minorEastAsia"/>
                      <w:bCs/>
                      <w:color w:val="auto"/>
                      <w:sz w:val="21"/>
                      <w:szCs w:val="21"/>
                      <w:lang w:val="en-US" w:eastAsia="zh-CN"/>
                    </w:rPr>
                    <w:t>0.102</w:t>
                  </w:r>
                </w:p>
              </w:tc>
              <w:tc>
                <w:tcPr>
                  <w:tcW w:w="459" w:type="pct"/>
                  <w:noWrap w:val="0"/>
                  <w:vAlign w:val="center"/>
                </w:tcPr>
                <w:p w14:paraId="275DC0D5">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-0.01</w:t>
                  </w:r>
                  <w:r>
                    <w:rPr>
                      <w:rFonts w:hint="eastAsia" w:cs="Times New Roman" w:eastAsiaTheme="minorEastAsia"/>
                      <w:bCs/>
                      <w:color w:val="auto"/>
                      <w:kern w:val="2"/>
                      <w:sz w:val="21"/>
                      <w:szCs w:val="21"/>
                      <w:lang w:val="en-US" w:eastAsia="zh-CN" w:bidi="ar-SA"/>
                    </w:rPr>
                    <w:t>5</w:t>
                  </w:r>
                </w:p>
              </w:tc>
              <w:tc>
                <w:tcPr>
                  <w:tcW w:w="452" w:type="pct"/>
                  <w:noWrap w:val="0"/>
                  <w:vAlign w:val="center"/>
                </w:tcPr>
                <w:p w14:paraId="3CD1D7B1">
                  <w:pPr>
                    <w:pStyle w:val="115"/>
                    <w:spacing w:line="240" w:lineRule="auto"/>
                    <w:jc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sz w:val="21"/>
                      <w:szCs w:val="21"/>
                      <w:lang w:val="en-US" w:eastAsia="zh-CN"/>
                    </w:rPr>
                    <w:t>0.102</w:t>
                  </w:r>
                </w:p>
              </w:tc>
            </w:tr>
            <w:tr w14:paraId="6994AC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5" w:type="pct"/>
                  <w:vMerge w:val="restart"/>
                  <w:noWrap w:val="0"/>
                  <w:vAlign w:val="center"/>
                </w:tcPr>
                <w:p w14:paraId="255C16EA">
                  <w:pPr>
                    <w:pStyle w:val="115"/>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固废</w:t>
                  </w:r>
                </w:p>
              </w:tc>
              <w:tc>
                <w:tcPr>
                  <w:tcW w:w="745" w:type="pct"/>
                  <w:noWrap w:val="0"/>
                  <w:vAlign w:val="center"/>
                </w:tcPr>
                <w:p w14:paraId="29EA8A68">
                  <w:pPr>
                    <w:pStyle w:val="115"/>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一般固废</w:t>
                  </w:r>
                </w:p>
              </w:tc>
              <w:tc>
                <w:tcPr>
                  <w:tcW w:w="522" w:type="pct"/>
                  <w:noWrap w:val="0"/>
                  <w:vAlign w:val="center"/>
                </w:tcPr>
                <w:p w14:paraId="2C6B52FA">
                  <w:pPr>
                    <w:pStyle w:val="115"/>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w:t>
                  </w:r>
                </w:p>
              </w:tc>
              <w:tc>
                <w:tcPr>
                  <w:tcW w:w="474" w:type="pct"/>
                  <w:noWrap w:val="0"/>
                  <w:vAlign w:val="center"/>
                </w:tcPr>
                <w:p w14:paraId="2FB81FC8">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9</w:t>
                  </w:r>
                </w:p>
              </w:tc>
              <w:tc>
                <w:tcPr>
                  <w:tcW w:w="664" w:type="dxa"/>
                  <w:noWrap w:val="0"/>
                  <w:vAlign w:val="center"/>
                </w:tcPr>
                <w:p w14:paraId="5022BADF">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9</w:t>
                  </w:r>
                </w:p>
              </w:tc>
              <w:tc>
                <w:tcPr>
                  <w:tcW w:w="507" w:type="pct"/>
                  <w:noWrap w:val="0"/>
                  <w:vAlign w:val="center"/>
                </w:tcPr>
                <w:p w14:paraId="1658CF47">
                  <w:pPr>
                    <w:pStyle w:val="115"/>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w:t>
                  </w:r>
                </w:p>
              </w:tc>
              <w:tc>
                <w:tcPr>
                  <w:tcW w:w="531" w:type="pct"/>
                  <w:noWrap w:val="0"/>
                  <w:vAlign w:val="center"/>
                </w:tcPr>
                <w:p w14:paraId="73A66E6C">
                  <w:pPr>
                    <w:pStyle w:val="115"/>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w:t>
                  </w:r>
                </w:p>
              </w:tc>
              <w:tc>
                <w:tcPr>
                  <w:tcW w:w="491" w:type="pct"/>
                  <w:noWrap w:val="0"/>
                  <w:vAlign w:val="center"/>
                </w:tcPr>
                <w:p w14:paraId="1C9C4707">
                  <w:pPr>
                    <w:pStyle w:val="115"/>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0</w:t>
                  </w:r>
                </w:p>
              </w:tc>
              <w:tc>
                <w:tcPr>
                  <w:tcW w:w="459" w:type="pct"/>
                  <w:noWrap w:val="0"/>
                  <w:vAlign w:val="center"/>
                </w:tcPr>
                <w:p w14:paraId="430092FF">
                  <w:pPr>
                    <w:pStyle w:val="115"/>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0</w:t>
                  </w:r>
                </w:p>
              </w:tc>
              <w:tc>
                <w:tcPr>
                  <w:tcW w:w="452" w:type="pct"/>
                  <w:noWrap w:val="0"/>
                  <w:vAlign w:val="center"/>
                </w:tcPr>
                <w:p w14:paraId="79B2DA6E">
                  <w:pPr>
                    <w:pStyle w:val="115"/>
                    <w:spacing w:line="240" w:lineRule="auto"/>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0</w:t>
                  </w:r>
                </w:p>
              </w:tc>
            </w:tr>
            <w:tr w14:paraId="158157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5" w:type="pct"/>
                  <w:vMerge w:val="continue"/>
                  <w:noWrap w:val="0"/>
                  <w:vAlign w:val="center"/>
                </w:tcPr>
                <w:p w14:paraId="1B40A5A1">
                  <w:pPr>
                    <w:pStyle w:val="115"/>
                    <w:spacing w:line="240" w:lineRule="auto"/>
                    <w:jc w:val="center"/>
                    <w:rPr>
                      <w:rFonts w:hint="default" w:ascii="Times New Roman" w:hAnsi="Times New Roman" w:eastAsia="宋体" w:cs="Times New Roman"/>
                      <w:b w:val="0"/>
                      <w:bCs/>
                      <w:color w:val="auto"/>
                      <w:sz w:val="21"/>
                      <w:szCs w:val="21"/>
                      <w:highlight w:val="none"/>
                    </w:rPr>
                  </w:pPr>
                </w:p>
              </w:tc>
              <w:tc>
                <w:tcPr>
                  <w:tcW w:w="745" w:type="pct"/>
                  <w:noWrap w:val="0"/>
                  <w:vAlign w:val="center"/>
                </w:tcPr>
                <w:p w14:paraId="43876C0D">
                  <w:pPr>
                    <w:pStyle w:val="115"/>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危险固废</w:t>
                  </w:r>
                </w:p>
              </w:tc>
              <w:tc>
                <w:tcPr>
                  <w:tcW w:w="522" w:type="pct"/>
                  <w:noWrap w:val="0"/>
                  <w:vAlign w:val="center"/>
                </w:tcPr>
                <w:p w14:paraId="48DC47E5">
                  <w:pPr>
                    <w:pStyle w:val="115"/>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w:t>
                  </w:r>
                </w:p>
              </w:tc>
              <w:tc>
                <w:tcPr>
                  <w:tcW w:w="474" w:type="pct"/>
                  <w:noWrap w:val="0"/>
                  <w:vAlign w:val="center"/>
                </w:tcPr>
                <w:p w14:paraId="44D4FC90">
                  <w:pPr>
                    <w:widowControl/>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11.6</w:t>
                  </w:r>
                </w:p>
              </w:tc>
              <w:tc>
                <w:tcPr>
                  <w:tcW w:w="664" w:type="dxa"/>
                  <w:noWrap w:val="0"/>
                  <w:vAlign w:val="center"/>
                </w:tcPr>
                <w:p w14:paraId="44177A16">
                  <w:pPr>
                    <w:widowControl/>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11.6</w:t>
                  </w:r>
                </w:p>
              </w:tc>
              <w:tc>
                <w:tcPr>
                  <w:tcW w:w="507" w:type="pct"/>
                  <w:noWrap w:val="0"/>
                  <w:vAlign w:val="center"/>
                </w:tcPr>
                <w:p w14:paraId="16D937F5">
                  <w:pPr>
                    <w:pStyle w:val="115"/>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w:t>
                  </w:r>
                </w:p>
              </w:tc>
              <w:tc>
                <w:tcPr>
                  <w:tcW w:w="531" w:type="pct"/>
                  <w:noWrap w:val="0"/>
                  <w:vAlign w:val="center"/>
                </w:tcPr>
                <w:p w14:paraId="29122C0E">
                  <w:pPr>
                    <w:pStyle w:val="115"/>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w:t>
                  </w:r>
                </w:p>
              </w:tc>
              <w:tc>
                <w:tcPr>
                  <w:tcW w:w="491" w:type="pct"/>
                  <w:noWrap w:val="0"/>
                  <w:vAlign w:val="center"/>
                </w:tcPr>
                <w:p w14:paraId="1AB4A7CF">
                  <w:pPr>
                    <w:pStyle w:val="115"/>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0</w:t>
                  </w:r>
                </w:p>
              </w:tc>
              <w:tc>
                <w:tcPr>
                  <w:tcW w:w="459" w:type="pct"/>
                  <w:noWrap w:val="0"/>
                  <w:vAlign w:val="center"/>
                </w:tcPr>
                <w:p w14:paraId="00DDC135">
                  <w:pPr>
                    <w:pStyle w:val="115"/>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0</w:t>
                  </w:r>
                </w:p>
              </w:tc>
              <w:tc>
                <w:tcPr>
                  <w:tcW w:w="452" w:type="pct"/>
                  <w:noWrap w:val="0"/>
                  <w:vAlign w:val="center"/>
                </w:tcPr>
                <w:p w14:paraId="5BF39795">
                  <w:pPr>
                    <w:pStyle w:val="115"/>
                    <w:spacing w:line="240" w:lineRule="auto"/>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0</w:t>
                  </w:r>
                </w:p>
              </w:tc>
            </w:tr>
          </w:tbl>
          <w:p w14:paraId="77B0A3F4">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left"/>
              <w:textAlignment w:val="auto"/>
              <w:rPr>
                <w:b/>
                <w:bCs/>
                <w:color w:val="auto"/>
                <w:sz w:val="21"/>
                <w:szCs w:val="21"/>
              </w:rPr>
            </w:pPr>
            <w:r>
              <w:rPr>
                <w:b/>
                <w:bCs/>
                <w:color w:val="auto"/>
                <w:sz w:val="21"/>
                <w:szCs w:val="21"/>
              </w:rPr>
              <w:t>注：</w:t>
            </w:r>
            <w:r>
              <w:rPr>
                <w:rFonts w:hint="eastAsia"/>
                <w:b/>
                <w:bCs/>
                <w:color w:val="auto"/>
                <w:sz w:val="21"/>
                <w:szCs w:val="21"/>
                <w:lang w:val="en-US" w:eastAsia="zh-CN"/>
              </w:rPr>
              <w:t>项目</w:t>
            </w:r>
            <w:r>
              <w:rPr>
                <w:b/>
                <w:bCs/>
                <w:color w:val="auto"/>
                <w:sz w:val="21"/>
                <w:szCs w:val="21"/>
              </w:rPr>
              <w:t>VOCs以非甲烷总烃表征</w:t>
            </w:r>
          </w:p>
          <w:p w14:paraId="7425CF2D">
            <w:pPr>
              <w:keepNext w:val="0"/>
              <w:keepLines w:val="0"/>
              <w:pageBreakBefore w:val="0"/>
              <w:widowControl w:val="0"/>
              <w:kinsoku/>
              <w:wordWrap/>
              <w:overflowPunct/>
              <w:topLinePunct w:val="0"/>
              <w:autoSpaceDE/>
              <w:autoSpaceDN/>
              <w:bidi w:val="0"/>
              <w:adjustRightInd w:val="0"/>
              <w:snapToGrid w:val="0"/>
              <w:spacing w:line="500" w:lineRule="exact"/>
              <w:ind w:firstLine="422" w:firstLineChars="200"/>
              <w:jc w:val="left"/>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2、总量平衡方案</w:t>
            </w:r>
          </w:p>
          <w:p w14:paraId="2CDF292D">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left"/>
              <w:textAlignment w:val="auto"/>
              <w:rPr>
                <w:rFonts w:hint="default" w:ascii="Times New Roman" w:hAnsi="Times New Roman" w:cs="Times New Roman"/>
                <w:bCs/>
                <w:color w:val="auto"/>
                <w:sz w:val="21"/>
                <w:szCs w:val="21"/>
                <w:lang w:eastAsia="zh-CN"/>
              </w:rPr>
            </w:pPr>
            <w:r>
              <w:rPr>
                <w:rFonts w:hint="default" w:cs="Times New Roman"/>
                <w:bCs/>
                <w:color w:val="auto"/>
                <w:sz w:val="21"/>
                <w:szCs w:val="21"/>
                <w:lang w:val="en-US" w:eastAsia="zh-CN"/>
              </w:rPr>
              <w:t>废气：</w:t>
            </w:r>
            <w:r>
              <w:rPr>
                <w:rFonts w:hint="eastAsia" w:cs="Times New Roman"/>
                <w:bCs/>
                <w:color w:val="auto"/>
                <w:sz w:val="21"/>
                <w:szCs w:val="21"/>
                <w:lang w:val="en-US" w:eastAsia="zh-CN"/>
              </w:rPr>
              <w:t xml:space="preserve">本项目建成后全厂排放 </w:t>
            </w:r>
            <w:r>
              <w:rPr>
                <w:rFonts w:hint="default" w:cs="Times New Roman"/>
                <w:bCs/>
                <w:color w:val="auto"/>
                <w:sz w:val="21"/>
                <w:szCs w:val="21"/>
                <w:lang w:val="en-US" w:eastAsia="zh-CN"/>
              </w:rPr>
              <w:t xml:space="preserve">VOCs </w:t>
            </w:r>
            <w:r>
              <w:rPr>
                <w:rFonts w:hint="eastAsia" w:cs="Times New Roman"/>
                <w:bCs/>
                <w:color w:val="auto"/>
                <w:sz w:val="21"/>
                <w:szCs w:val="21"/>
                <w:lang w:val="en-US" w:eastAsia="zh-CN"/>
              </w:rPr>
              <w:t>0.296</w:t>
            </w:r>
            <w:r>
              <w:rPr>
                <w:rFonts w:hint="default" w:cs="Times New Roman"/>
                <w:bCs/>
                <w:color w:val="auto"/>
                <w:sz w:val="21"/>
                <w:szCs w:val="21"/>
                <w:lang w:val="en-US" w:eastAsia="zh-CN"/>
              </w:rPr>
              <w:t>t/a</w:t>
            </w:r>
            <w:r>
              <w:rPr>
                <w:rFonts w:hint="eastAsia" w:cs="Times New Roman"/>
                <w:bCs/>
                <w:color w:val="auto"/>
                <w:sz w:val="21"/>
                <w:szCs w:val="21"/>
                <w:lang w:val="en-US" w:eastAsia="zh-CN"/>
              </w:rPr>
              <w:t>，在原有项目中平衡，无需申请总量。</w:t>
            </w:r>
          </w:p>
          <w:p w14:paraId="2FA7D075">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left"/>
              <w:textAlignment w:val="auto"/>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废水：</w:t>
            </w:r>
            <w:r>
              <w:rPr>
                <w:rFonts w:hint="default" w:ascii="Times New Roman" w:hAnsi="Times New Roman" w:cs="Times New Roman"/>
                <w:bCs/>
                <w:color w:val="auto"/>
                <w:sz w:val="21"/>
                <w:szCs w:val="21"/>
                <w:lang w:val="en-US" w:eastAsia="zh-CN"/>
              </w:rPr>
              <w:t>本项目</w:t>
            </w:r>
            <w:r>
              <w:rPr>
                <w:rFonts w:hint="eastAsia" w:cs="Times New Roman"/>
                <w:bCs/>
                <w:color w:val="auto"/>
                <w:sz w:val="21"/>
                <w:szCs w:val="21"/>
                <w:lang w:val="en-US" w:eastAsia="zh-CN"/>
              </w:rPr>
              <w:t>迁建后</w:t>
            </w:r>
            <w:r>
              <w:rPr>
                <w:rFonts w:hint="default" w:ascii="Times New Roman" w:hAnsi="Times New Roman" w:cs="Times New Roman"/>
                <w:bCs/>
                <w:color w:val="auto"/>
                <w:sz w:val="21"/>
                <w:szCs w:val="21"/>
                <w:lang w:val="en-US" w:eastAsia="zh-CN"/>
              </w:rPr>
              <w:t>生活污水</w:t>
            </w:r>
            <w:r>
              <w:rPr>
                <w:rFonts w:hint="eastAsia" w:cs="Times New Roman"/>
                <w:bCs/>
                <w:color w:val="auto"/>
                <w:sz w:val="21"/>
                <w:szCs w:val="21"/>
                <w:lang w:val="en-US" w:eastAsia="zh-CN"/>
              </w:rPr>
              <w:t>新增</w:t>
            </w:r>
            <w:r>
              <w:rPr>
                <w:rFonts w:hint="default" w:ascii="Times New Roman" w:hAnsi="Times New Roman" w:cs="Times New Roman"/>
                <w:bCs/>
                <w:color w:val="auto"/>
                <w:sz w:val="21"/>
                <w:szCs w:val="21"/>
                <w:lang w:val="en-US" w:eastAsia="zh-CN"/>
              </w:rPr>
              <w:t>接管</w:t>
            </w:r>
            <w:r>
              <w:rPr>
                <w:rFonts w:hint="default" w:ascii="Times New Roman" w:hAnsi="Times New Roman" w:cs="Times New Roman"/>
                <w:bCs/>
                <w:color w:val="auto"/>
                <w:sz w:val="21"/>
                <w:szCs w:val="21"/>
                <w:lang w:eastAsia="zh-CN"/>
              </w:rPr>
              <w:t>量为</w:t>
            </w:r>
            <w:r>
              <w:rPr>
                <w:rFonts w:hint="eastAsia" w:cs="Times New Roman"/>
                <w:bCs/>
                <w:color w:val="auto"/>
                <w:sz w:val="21"/>
                <w:szCs w:val="21"/>
                <w:lang w:val="en-US" w:eastAsia="zh-CN"/>
              </w:rPr>
              <w:t>120</w:t>
            </w:r>
            <w:r>
              <w:rPr>
                <w:rFonts w:hint="default" w:ascii="Times New Roman" w:hAnsi="Times New Roman" w:cs="Times New Roman"/>
                <w:bCs/>
                <w:color w:val="auto"/>
                <w:sz w:val="21"/>
                <w:szCs w:val="21"/>
                <w:lang w:eastAsia="zh-CN"/>
              </w:rPr>
              <w:t>t/a，排入</w:t>
            </w:r>
            <w:r>
              <w:rPr>
                <w:rFonts w:hint="eastAsia" w:cs="Times New Roman"/>
                <w:bCs/>
                <w:color w:val="auto"/>
                <w:sz w:val="21"/>
                <w:szCs w:val="21"/>
                <w:lang w:eastAsia="zh-CN"/>
              </w:rPr>
              <w:t>常州市金坛区溪城污水处理有限公司</w:t>
            </w:r>
            <w:r>
              <w:rPr>
                <w:rFonts w:hint="default" w:ascii="Times New Roman" w:hAnsi="Times New Roman" w:cs="Times New Roman"/>
                <w:bCs/>
                <w:color w:val="auto"/>
                <w:sz w:val="21"/>
                <w:szCs w:val="21"/>
                <w:lang w:eastAsia="zh-CN"/>
              </w:rPr>
              <w:t>集中处理，污染物总量在污水处理厂内平衡。</w:t>
            </w:r>
          </w:p>
          <w:p w14:paraId="2F233928">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固体废物：</w:t>
            </w:r>
            <w:r>
              <w:rPr>
                <w:rFonts w:hint="default" w:ascii="Times New Roman" w:hAnsi="Times New Roman" w:eastAsia="宋体" w:cs="Times New Roman"/>
                <w:bCs/>
                <w:color w:val="auto"/>
                <w:sz w:val="21"/>
                <w:szCs w:val="21"/>
              </w:rPr>
              <w:t>本项目产生的固体废物均进行合理处置，实现固体废物100%处置，无需申请总</w:t>
            </w:r>
            <w:r>
              <w:rPr>
                <w:rFonts w:hint="eastAsia" w:ascii="Times New Roman" w:hAnsi="Times New Roman" w:eastAsia="宋体" w:cs="Times New Roman"/>
                <w:bCs/>
                <w:color w:val="auto"/>
                <w:sz w:val="21"/>
                <w:szCs w:val="21"/>
                <w:lang w:val="en-US" w:eastAsia="zh-CN"/>
              </w:rPr>
              <w:t>量。</w:t>
            </w:r>
          </w:p>
          <w:p w14:paraId="05F01846">
            <w:pPr>
              <w:pStyle w:val="2"/>
              <w:rPr>
                <w:rFonts w:hint="eastAsia" w:ascii="Times New Roman" w:hAnsi="Times New Roman" w:eastAsia="宋体" w:cs="Times New Roman"/>
                <w:bCs/>
                <w:color w:val="auto"/>
                <w:sz w:val="21"/>
                <w:szCs w:val="21"/>
                <w:lang w:val="en-US" w:eastAsia="zh-CN"/>
              </w:rPr>
            </w:pPr>
          </w:p>
          <w:p w14:paraId="39EC7E92">
            <w:pPr>
              <w:pStyle w:val="14"/>
              <w:widowControl w:val="0"/>
              <w:numPr>
                <w:ilvl w:val="0"/>
                <w:numId w:val="0"/>
              </w:numPr>
              <w:jc w:val="both"/>
              <w:rPr>
                <w:rFonts w:hint="eastAsia" w:ascii="Times New Roman" w:hAnsi="Times New Roman" w:eastAsia="宋体" w:cs="Times New Roman"/>
                <w:bCs/>
                <w:color w:val="auto"/>
                <w:sz w:val="21"/>
                <w:szCs w:val="21"/>
                <w:lang w:val="en-US" w:eastAsia="zh-CN"/>
              </w:rPr>
            </w:pPr>
          </w:p>
          <w:p w14:paraId="78EBEAD5">
            <w:pPr>
              <w:pStyle w:val="14"/>
              <w:widowControl w:val="0"/>
              <w:numPr>
                <w:ilvl w:val="0"/>
                <w:numId w:val="0"/>
              </w:numPr>
              <w:jc w:val="both"/>
              <w:rPr>
                <w:rFonts w:hint="eastAsia" w:ascii="Times New Roman" w:hAnsi="Times New Roman" w:eastAsia="宋体" w:cs="Times New Roman"/>
                <w:bCs/>
                <w:color w:val="auto"/>
                <w:sz w:val="21"/>
                <w:szCs w:val="21"/>
                <w:lang w:val="en-US" w:eastAsia="zh-CN"/>
              </w:rPr>
            </w:pPr>
          </w:p>
          <w:p w14:paraId="5409B508">
            <w:pPr>
              <w:pStyle w:val="14"/>
              <w:widowControl w:val="0"/>
              <w:numPr>
                <w:ilvl w:val="0"/>
                <w:numId w:val="0"/>
              </w:numPr>
              <w:jc w:val="both"/>
              <w:rPr>
                <w:rFonts w:hint="eastAsia" w:ascii="Times New Roman" w:hAnsi="Times New Roman" w:eastAsia="宋体" w:cs="Times New Roman"/>
                <w:bCs/>
                <w:color w:val="auto"/>
                <w:sz w:val="21"/>
                <w:szCs w:val="21"/>
                <w:lang w:val="en-US" w:eastAsia="zh-CN"/>
              </w:rPr>
            </w:pPr>
          </w:p>
          <w:p w14:paraId="68683B74">
            <w:pPr>
              <w:pStyle w:val="14"/>
              <w:widowControl w:val="0"/>
              <w:numPr>
                <w:ilvl w:val="0"/>
                <w:numId w:val="0"/>
              </w:numPr>
              <w:jc w:val="both"/>
              <w:rPr>
                <w:rFonts w:hint="eastAsia" w:ascii="Times New Roman" w:hAnsi="Times New Roman" w:eastAsia="宋体" w:cs="Times New Roman"/>
                <w:bCs/>
                <w:color w:val="auto"/>
                <w:sz w:val="21"/>
                <w:szCs w:val="21"/>
                <w:lang w:val="en-US" w:eastAsia="zh-CN"/>
              </w:rPr>
            </w:pPr>
          </w:p>
          <w:p w14:paraId="4F8091D7">
            <w:pPr>
              <w:pStyle w:val="14"/>
              <w:widowControl w:val="0"/>
              <w:numPr>
                <w:ilvl w:val="0"/>
                <w:numId w:val="0"/>
              </w:numPr>
              <w:jc w:val="both"/>
              <w:rPr>
                <w:rFonts w:hint="eastAsia" w:ascii="Times New Roman" w:hAnsi="Times New Roman" w:eastAsia="宋体" w:cs="Times New Roman"/>
                <w:bCs/>
                <w:color w:val="auto"/>
                <w:sz w:val="21"/>
                <w:szCs w:val="21"/>
                <w:lang w:val="en-US" w:eastAsia="zh-CN"/>
              </w:rPr>
            </w:pPr>
          </w:p>
          <w:p w14:paraId="2FE313C3">
            <w:pPr>
              <w:pStyle w:val="14"/>
              <w:widowControl w:val="0"/>
              <w:numPr>
                <w:ilvl w:val="0"/>
                <w:numId w:val="0"/>
              </w:numPr>
              <w:jc w:val="both"/>
              <w:rPr>
                <w:rFonts w:hint="eastAsia" w:ascii="Times New Roman" w:hAnsi="Times New Roman" w:eastAsia="宋体" w:cs="Times New Roman"/>
                <w:bCs/>
                <w:color w:val="auto"/>
                <w:sz w:val="21"/>
                <w:szCs w:val="21"/>
                <w:lang w:val="en-US" w:eastAsia="zh-CN"/>
              </w:rPr>
            </w:pPr>
          </w:p>
          <w:p w14:paraId="5CB3C0F4">
            <w:pPr>
              <w:pStyle w:val="14"/>
              <w:widowControl w:val="0"/>
              <w:numPr>
                <w:ilvl w:val="0"/>
                <w:numId w:val="0"/>
              </w:numPr>
              <w:jc w:val="both"/>
              <w:rPr>
                <w:rFonts w:hint="eastAsia" w:ascii="Times New Roman" w:hAnsi="Times New Roman" w:eastAsia="宋体" w:cs="Times New Roman"/>
                <w:bCs/>
                <w:color w:val="auto"/>
                <w:sz w:val="21"/>
                <w:szCs w:val="21"/>
                <w:lang w:val="en-US" w:eastAsia="zh-CN"/>
              </w:rPr>
            </w:pPr>
          </w:p>
          <w:p w14:paraId="1C9C358F">
            <w:pPr>
              <w:pStyle w:val="14"/>
              <w:widowControl w:val="0"/>
              <w:numPr>
                <w:ilvl w:val="0"/>
                <w:numId w:val="0"/>
              </w:numPr>
              <w:jc w:val="both"/>
              <w:rPr>
                <w:rFonts w:hint="default" w:ascii="Times New Roman" w:hAnsi="Times New Roman" w:eastAsia="宋体" w:cs="Times New Roman"/>
                <w:bCs/>
                <w:color w:val="auto"/>
                <w:sz w:val="21"/>
                <w:szCs w:val="21"/>
                <w:lang w:val="en-US" w:eastAsia="zh-CN"/>
              </w:rPr>
            </w:pPr>
          </w:p>
        </w:tc>
      </w:tr>
    </w:tbl>
    <w:p w14:paraId="49C91B0B">
      <w:pPr>
        <w:pStyle w:val="25"/>
        <w:keepNext w:val="0"/>
        <w:keepLines w:val="0"/>
        <w:pageBreakBefore/>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rPr>
      </w:pPr>
      <w:bookmarkStart w:id="12" w:name="_Toc6576"/>
      <w:r>
        <w:rPr>
          <w:rFonts w:hint="default" w:ascii="Times New Roman" w:hAnsi="Times New Roman" w:eastAsia="黑体" w:cs="Times New Roman"/>
          <w:snapToGrid w:val="0"/>
          <w:color w:val="auto"/>
          <w:sz w:val="30"/>
          <w:szCs w:val="30"/>
        </w:rPr>
        <w:t>四、主要环境影响和保护措施</w:t>
      </w:r>
      <w:bookmarkEnd w:id="11"/>
      <w:bookmarkEnd w:id="12"/>
    </w:p>
    <w:tbl>
      <w:tblPr>
        <w:tblStyle w:val="31"/>
        <w:tblpPr w:leftFromText="180" w:rightFromText="180" w:vertAnchor="text" w:tblpXSpec="center" w:tblpY="1"/>
        <w:tblOverlap w:val="never"/>
        <w:tblW w:w="91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
        <w:gridCol w:w="8943"/>
      </w:tblGrid>
      <w:tr w14:paraId="2175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876" w:type="dxa"/>
            <w:tcMar>
              <w:left w:w="28" w:type="dxa"/>
              <w:right w:w="28" w:type="dxa"/>
            </w:tcMar>
            <w:vAlign w:val="center"/>
          </w:tcPr>
          <w:p w14:paraId="49BF4432">
            <w:pPr>
              <w:pStyle w:val="25"/>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w:t>
            </w:r>
          </w:p>
          <w:p w14:paraId="4B62F8CD">
            <w:pPr>
              <w:pStyle w:val="25"/>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期环</w:t>
            </w:r>
          </w:p>
          <w:p w14:paraId="062DDE30">
            <w:pPr>
              <w:pStyle w:val="25"/>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境保</w:t>
            </w:r>
          </w:p>
          <w:p w14:paraId="40F2E719">
            <w:pPr>
              <w:pStyle w:val="25"/>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护措</w:t>
            </w:r>
          </w:p>
          <w:p w14:paraId="7DDD90A3">
            <w:pPr>
              <w:pStyle w:val="25"/>
              <w:adjustRightInd w:val="0"/>
              <w:snapToGrid w:val="0"/>
              <w:spacing w:before="0" w:beforeAutospacing="0" w:after="0" w:afterAutospacing="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施</w:t>
            </w:r>
          </w:p>
        </w:tc>
        <w:tc>
          <w:tcPr>
            <w:tcW w:w="8273" w:type="dxa"/>
            <w:vAlign w:val="center"/>
          </w:tcPr>
          <w:p w14:paraId="47C9E015">
            <w:pPr>
              <w:pStyle w:val="2"/>
              <w:keepNext w:val="0"/>
              <w:keepLines w:val="0"/>
              <w:pageBreakBefore w:val="0"/>
              <w:widowControl/>
              <w:kinsoku/>
              <w:wordWrap/>
              <w:overflowPunct/>
              <w:topLinePunct w:val="0"/>
              <w:autoSpaceDE/>
              <w:autoSpaceDN/>
              <w:bidi w:val="0"/>
              <w:adjustRightInd/>
              <w:snapToGrid w:val="0"/>
              <w:spacing w:before="0" w:after="0" w:line="500" w:lineRule="exact"/>
              <w:ind w:right="0" w:firstLine="420" w:firstLineChars="200"/>
              <w:textAlignment w:val="auto"/>
              <w:rPr>
                <w:rFonts w:hint="default"/>
                <w:color w:val="auto"/>
                <w:sz w:val="21"/>
                <w:szCs w:val="21"/>
                <w:lang w:val="en-US"/>
              </w:rPr>
            </w:pPr>
            <w:r>
              <w:rPr>
                <w:rFonts w:hint="default" w:ascii="Times New Roman" w:hAnsi="Times New Roman" w:cs="Times New Roman"/>
                <w:color w:val="auto"/>
                <w:sz w:val="21"/>
                <w:szCs w:val="21"/>
              </w:rPr>
              <w:t>本项目</w:t>
            </w:r>
            <w:r>
              <w:rPr>
                <w:rFonts w:hint="eastAsia" w:cs="Times New Roman"/>
                <w:color w:val="auto"/>
                <w:sz w:val="21"/>
                <w:szCs w:val="21"/>
                <w:lang w:val="en-US" w:eastAsia="zh-CN"/>
              </w:rPr>
              <w:t>租用</w:t>
            </w:r>
            <w:r>
              <w:rPr>
                <w:rFonts w:hint="default" w:ascii="Times New Roman" w:hAnsi="Times New Roman" w:cs="Times New Roman"/>
                <w:color w:val="auto"/>
                <w:sz w:val="21"/>
                <w:szCs w:val="21"/>
              </w:rPr>
              <w:t>闲置厂房</w:t>
            </w:r>
            <w:r>
              <w:rPr>
                <w:rFonts w:hint="eastAsia" w:cs="Times New Roman"/>
                <w:color w:val="auto"/>
                <w:sz w:val="21"/>
                <w:szCs w:val="21"/>
                <w:lang w:val="en-US" w:eastAsia="zh-CN"/>
              </w:rPr>
              <w:t>建设</w:t>
            </w:r>
            <w:r>
              <w:rPr>
                <w:rFonts w:hint="default" w:ascii="Times New Roman" w:hAnsi="Times New Roman" w:cs="Times New Roman"/>
                <w:color w:val="auto"/>
                <w:sz w:val="21"/>
                <w:szCs w:val="21"/>
              </w:rPr>
              <w:t>，包括后期设备安装等，不涉及土建，对周围环境影响较小，故本次环评不再对施工期环境影响进行分析</w:t>
            </w:r>
            <w:r>
              <w:rPr>
                <w:rFonts w:hint="eastAsia" w:ascii="Times New Roman" w:hAnsi="Times New Roman" w:eastAsia="宋体" w:cs="Times New Roman"/>
                <w:bCs/>
                <w:color w:val="auto"/>
                <w:kern w:val="2"/>
                <w:sz w:val="21"/>
                <w:szCs w:val="21"/>
                <w:lang w:val="en-US" w:eastAsia="zh-CN" w:bidi="ar-SA"/>
              </w:rPr>
              <w:t>。</w:t>
            </w:r>
          </w:p>
        </w:tc>
      </w:tr>
      <w:tr w14:paraId="16C65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876" w:type="dxa"/>
            <w:tcMar>
              <w:left w:w="28" w:type="dxa"/>
              <w:right w:w="28" w:type="dxa"/>
            </w:tcMar>
            <w:vAlign w:val="center"/>
          </w:tcPr>
          <w:p w14:paraId="1CE89235">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运营</w:t>
            </w:r>
          </w:p>
          <w:p w14:paraId="5F5301B6">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期环</w:t>
            </w:r>
          </w:p>
          <w:p w14:paraId="4E6093EC">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境影</w:t>
            </w:r>
          </w:p>
          <w:p w14:paraId="125FBFB7">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响和</w:t>
            </w:r>
          </w:p>
          <w:p w14:paraId="49DD6DCD">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保护</w:t>
            </w:r>
          </w:p>
          <w:p w14:paraId="69CC6934">
            <w:pPr>
              <w:pStyle w:val="25"/>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bCs/>
                <w:color w:val="auto"/>
                <w:sz w:val="21"/>
                <w:szCs w:val="21"/>
              </w:rPr>
              <w:t>措施</w:t>
            </w:r>
          </w:p>
        </w:tc>
        <w:tc>
          <w:tcPr>
            <w:tcW w:w="8273" w:type="dxa"/>
            <w:vAlign w:val="center"/>
          </w:tcPr>
          <w:p w14:paraId="55E7FA40">
            <w:pPr>
              <w:keepNext w:val="0"/>
              <w:keepLines w:val="0"/>
              <w:pageBreakBefore w:val="0"/>
              <w:kinsoku/>
              <w:wordWrap/>
              <w:overflowPunct/>
              <w:topLinePunct w:val="0"/>
              <w:autoSpaceDE/>
              <w:autoSpaceDN/>
              <w:bidi w:val="0"/>
              <w:adjustRightInd w:val="0"/>
              <w:snapToGrid w:val="0"/>
              <w:spacing w:line="500" w:lineRule="exact"/>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eastAsia="zh-CN"/>
              </w:rPr>
              <w:t>一</w:t>
            </w:r>
            <w:r>
              <w:rPr>
                <w:rFonts w:hint="default" w:ascii="Times New Roman" w:hAnsi="Times New Roman" w:cs="Times New Roman"/>
                <w:b/>
                <w:color w:val="auto"/>
                <w:sz w:val="21"/>
                <w:szCs w:val="21"/>
              </w:rPr>
              <w:t>、废气</w:t>
            </w:r>
          </w:p>
          <w:p w14:paraId="41DB4294">
            <w:pPr>
              <w:keepNext w:val="0"/>
              <w:keepLines w:val="0"/>
              <w:pageBreakBefore w:val="0"/>
              <w:kinsoku/>
              <w:wordWrap/>
              <w:overflowPunct/>
              <w:topLinePunct w:val="0"/>
              <w:autoSpaceDE/>
              <w:autoSpaceDN/>
              <w:bidi w:val="0"/>
              <w:adjustRightInd w:val="0"/>
              <w:snapToGrid w:val="0"/>
              <w:spacing w:line="500" w:lineRule="exact"/>
              <w:ind w:firstLine="422" w:firstLineChars="200"/>
              <w:textAlignment w:val="auto"/>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sz w:val="21"/>
                <w:szCs w:val="21"/>
                <w:lang w:val="en-US" w:eastAsia="zh-CN"/>
              </w:rPr>
              <w:t>1、废气产生情况</w:t>
            </w:r>
          </w:p>
          <w:p w14:paraId="014C2EC2">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（1）印刷废气（G</w:t>
            </w:r>
            <w:r>
              <w:rPr>
                <w:rFonts w:hint="eastAsia" w:cs="Times New Roman"/>
                <w:bCs/>
                <w:color w:val="auto"/>
                <w:kern w:val="2"/>
                <w:sz w:val="21"/>
                <w:szCs w:val="21"/>
                <w:lang w:val="en-US" w:eastAsia="zh-CN" w:bidi="ar-SA"/>
              </w:rPr>
              <w:t>1</w:t>
            </w:r>
            <w:r>
              <w:rPr>
                <w:rFonts w:hint="eastAsia" w:ascii="Times New Roman" w:hAnsi="Times New Roman" w:eastAsia="宋体" w:cs="Times New Roman"/>
                <w:bCs/>
                <w:color w:val="auto"/>
                <w:kern w:val="2"/>
                <w:sz w:val="21"/>
                <w:szCs w:val="21"/>
                <w:lang w:val="en-US" w:eastAsia="zh-CN" w:bidi="ar-SA"/>
              </w:rPr>
              <w:t>）、复合废气（G</w:t>
            </w:r>
            <w:r>
              <w:rPr>
                <w:rFonts w:hint="eastAsia" w:cs="Times New Roman"/>
                <w:bCs/>
                <w:color w:val="auto"/>
                <w:kern w:val="2"/>
                <w:sz w:val="21"/>
                <w:szCs w:val="21"/>
                <w:lang w:val="en-US" w:eastAsia="zh-CN" w:bidi="ar-SA"/>
              </w:rPr>
              <w:t>2</w:t>
            </w:r>
            <w:r>
              <w:rPr>
                <w:rFonts w:hint="eastAsia" w:ascii="Times New Roman" w:hAnsi="Times New Roman" w:eastAsia="宋体" w:cs="Times New Roman"/>
                <w:bCs/>
                <w:color w:val="auto"/>
                <w:kern w:val="2"/>
                <w:sz w:val="21"/>
                <w:szCs w:val="21"/>
                <w:lang w:val="en-US" w:eastAsia="zh-CN" w:bidi="ar-SA"/>
              </w:rPr>
              <w:t>）、熟化废气（G</w:t>
            </w:r>
            <w:r>
              <w:rPr>
                <w:rFonts w:hint="eastAsia" w:cs="Times New Roman"/>
                <w:bCs/>
                <w:color w:val="auto"/>
                <w:kern w:val="2"/>
                <w:sz w:val="21"/>
                <w:szCs w:val="21"/>
                <w:lang w:val="en-US" w:eastAsia="zh-CN" w:bidi="ar-SA"/>
              </w:rPr>
              <w:t>3</w:t>
            </w:r>
            <w:r>
              <w:rPr>
                <w:rFonts w:hint="eastAsia" w:ascii="Times New Roman" w:hAnsi="Times New Roman" w:eastAsia="宋体" w:cs="Times New Roman"/>
                <w:bCs/>
                <w:color w:val="auto"/>
                <w:kern w:val="2"/>
                <w:sz w:val="21"/>
                <w:szCs w:val="21"/>
                <w:lang w:val="en-US" w:eastAsia="zh-CN" w:bidi="ar-SA"/>
              </w:rPr>
              <w:t>）</w:t>
            </w:r>
          </w:p>
          <w:p w14:paraId="6C6FE85F">
            <w:pPr>
              <w:pStyle w:val="25"/>
              <w:keepNext w:val="0"/>
              <w:keepLines w:val="0"/>
              <w:pageBreakBefore w:val="0"/>
              <w:kinsoku/>
              <w:wordWrap/>
              <w:overflowPunct/>
              <w:topLinePunct w:val="0"/>
              <w:autoSpaceDE/>
              <w:autoSpaceDN/>
              <w:bidi w:val="0"/>
              <w:adjustRightInd w:val="0"/>
              <w:snapToGrid w:val="0"/>
              <w:spacing w:before="0" w:beforeAutospacing="0" w:after="0" w:afterAutospacing="0" w:line="500" w:lineRule="exact"/>
              <w:ind w:firstLine="420" w:firstLineChars="200"/>
              <w:jc w:val="both"/>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项目油墨印刷、复合、熟化废气主要来源于油墨、胶水中的挥发性组分，以非甲烷总烃计。根据原料供应商提供的油墨MSDS和胶水MSDS，</w:t>
            </w:r>
            <w:r>
              <w:rPr>
                <w:rFonts w:hint="eastAsia" w:ascii="Times New Roman" w:hAnsi="Times New Roman" w:cs="Times New Roman"/>
                <w:bCs/>
                <w:color w:val="auto"/>
                <w:kern w:val="2"/>
                <w:sz w:val="21"/>
                <w:szCs w:val="21"/>
                <w:lang w:val="en-US" w:eastAsia="zh-CN" w:bidi="ar-SA"/>
              </w:rPr>
              <w:t>水性</w:t>
            </w:r>
            <w:r>
              <w:rPr>
                <w:rFonts w:hint="eastAsia" w:ascii="Times New Roman" w:hAnsi="Times New Roman" w:eastAsia="宋体" w:cs="Times New Roman"/>
                <w:bCs/>
                <w:color w:val="auto"/>
                <w:kern w:val="2"/>
                <w:sz w:val="21"/>
                <w:szCs w:val="21"/>
                <w:lang w:val="en-US" w:eastAsia="zh-CN" w:bidi="ar-SA"/>
              </w:rPr>
              <w:t>油墨中挥发性有机化合物含量</w:t>
            </w:r>
            <w:r>
              <w:rPr>
                <w:rFonts w:hint="eastAsia" w:ascii="Times New Roman" w:hAnsi="Times New Roman" w:cs="Times New Roman"/>
                <w:bCs/>
                <w:color w:val="auto"/>
                <w:kern w:val="2"/>
                <w:sz w:val="21"/>
                <w:szCs w:val="21"/>
                <w:lang w:val="en-US" w:eastAsia="zh-CN" w:bidi="ar-SA"/>
              </w:rPr>
              <w:t>17</w:t>
            </w:r>
            <w:r>
              <w:rPr>
                <w:rFonts w:hint="eastAsia" w:ascii="Times New Roman" w:hAnsi="Times New Roman" w:eastAsia="宋体" w:cs="Times New Roman"/>
                <w:bCs/>
                <w:color w:val="auto"/>
                <w:kern w:val="2"/>
                <w:sz w:val="21"/>
                <w:szCs w:val="21"/>
                <w:lang w:val="en-US" w:eastAsia="zh-CN" w:bidi="ar-SA"/>
              </w:rPr>
              <w:t>%，胶水中挥发性有机化合物含量约为2g/kg，本项目</w:t>
            </w:r>
            <w:r>
              <w:rPr>
                <w:rFonts w:hint="eastAsia" w:ascii="Times New Roman" w:hAnsi="Times New Roman" w:cs="Times New Roman"/>
                <w:bCs/>
                <w:color w:val="auto"/>
                <w:kern w:val="2"/>
                <w:sz w:val="21"/>
                <w:szCs w:val="21"/>
                <w:lang w:val="en-US" w:eastAsia="zh-CN" w:bidi="ar-SA"/>
              </w:rPr>
              <w:t>水性</w:t>
            </w:r>
            <w:r>
              <w:rPr>
                <w:rFonts w:hint="eastAsia" w:ascii="Times New Roman" w:hAnsi="Times New Roman" w:eastAsia="宋体" w:cs="Times New Roman"/>
                <w:bCs/>
                <w:color w:val="auto"/>
                <w:kern w:val="2"/>
                <w:sz w:val="21"/>
                <w:szCs w:val="21"/>
                <w:lang w:val="en-US" w:eastAsia="zh-CN" w:bidi="ar-SA"/>
              </w:rPr>
              <w:t>油墨用量为</w:t>
            </w:r>
            <w:r>
              <w:rPr>
                <w:rFonts w:hint="eastAsia" w:ascii="Times New Roman" w:hAnsi="Times New Roman" w:cs="Times New Roman"/>
                <w:bCs/>
                <w:color w:val="auto"/>
                <w:kern w:val="2"/>
                <w:sz w:val="21"/>
                <w:szCs w:val="21"/>
                <w:lang w:val="en-US" w:eastAsia="zh-CN" w:bidi="ar-SA"/>
              </w:rPr>
              <w:t>12</w:t>
            </w:r>
            <w:r>
              <w:rPr>
                <w:rFonts w:hint="eastAsia" w:ascii="Times New Roman" w:hAnsi="Times New Roman" w:eastAsia="宋体" w:cs="Times New Roman"/>
                <w:bCs/>
                <w:color w:val="auto"/>
                <w:kern w:val="2"/>
                <w:sz w:val="21"/>
                <w:szCs w:val="21"/>
                <w:lang w:val="en-US" w:eastAsia="zh-CN" w:bidi="ar-SA"/>
              </w:rPr>
              <w:t>t/a，胶水用量为</w:t>
            </w:r>
            <w:r>
              <w:rPr>
                <w:rFonts w:hint="eastAsia" w:ascii="Times New Roman" w:hAnsi="Times New Roman" w:cs="Times New Roman"/>
                <w:bCs/>
                <w:color w:val="auto"/>
                <w:kern w:val="2"/>
                <w:sz w:val="21"/>
                <w:szCs w:val="21"/>
                <w:lang w:val="en-US" w:eastAsia="zh-CN" w:bidi="ar-SA"/>
              </w:rPr>
              <w:t>3</w:t>
            </w:r>
            <w:r>
              <w:rPr>
                <w:rFonts w:hint="eastAsia" w:ascii="Times New Roman" w:hAnsi="Times New Roman" w:eastAsia="宋体" w:cs="Times New Roman"/>
                <w:bCs/>
                <w:color w:val="auto"/>
                <w:kern w:val="2"/>
                <w:sz w:val="21"/>
                <w:szCs w:val="21"/>
                <w:lang w:val="en-US" w:eastAsia="zh-CN" w:bidi="ar-SA"/>
              </w:rPr>
              <w:t>t/a，</w:t>
            </w:r>
            <w:r>
              <w:rPr>
                <w:rFonts w:hint="eastAsia" w:ascii="Times New Roman" w:hAnsi="Times New Roman" w:cs="Times New Roman"/>
                <w:bCs/>
                <w:color w:val="auto"/>
                <w:kern w:val="2"/>
                <w:sz w:val="21"/>
                <w:szCs w:val="21"/>
                <w:lang w:val="en-US" w:eastAsia="zh-CN" w:bidi="ar-SA"/>
              </w:rPr>
              <w:t>故</w:t>
            </w:r>
            <w:r>
              <w:rPr>
                <w:rFonts w:hint="eastAsia" w:ascii="Times New Roman" w:hAnsi="Times New Roman" w:eastAsia="宋体" w:cs="Times New Roman"/>
                <w:bCs/>
                <w:color w:val="auto"/>
                <w:kern w:val="2"/>
                <w:sz w:val="21"/>
                <w:szCs w:val="21"/>
                <w:lang w:val="en-US" w:eastAsia="zh-CN" w:bidi="ar-SA"/>
              </w:rPr>
              <w:t>油墨、胶水使用过程挥发的废气非甲烷总烃约</w:t>
            </w:r>
            <w:r>
              <w:rPr>
                <w:rFonts w:hint="eastAsia" w:ascii="Times New Roman" w:hAnsi="Times New Roman" w:cs="Times New Roman"/>
                <w:bCs/>
                <w:color w:val="auto"/>
                <w:kern w:val="2"/>
                <w:sz w:val="21"/>
                <w:szCs w:val="21"/>
                <w:lang w:val="en-US" w:eastAsia="zh-CN" w:bidi="ar-SA"/>
              </w:rPr>
              <w:t>2.046</w:t>
            </w:r>
            <w:r>
              <w:rPr>
                <w:rFonts w:hint="eastAsia" w:ascii="Times New Roman" w:hAnsi="Times New Roman" w:eastAsia="宋体" w:cs="Times New Roman"/>
                <w:bCs/>
                <w:color w:val="auto"/>
                <w:kern w:val="2"/>
                <w:sz w:val="21"/>
                <w:szCs w:val="21"/>
                <w:lang w:val="en-US" w:eastAsia="zh-CN" w:bidi="ar-SA"/>
              </w:rPr>
              <w:t>t/a。</w:t>
            </w:r>
          </w:p>
          <w:p w14:paraId="58777BD3">
            <w:pPr>
              <w:pStyle w:val="25"/>
              <w:keepNext w:val="0"/>
              <w:keepLines w:val="0"/>
              <w:pageBreakBefore w:val="0"/>
              <w:kinsoku/>
              <w:wordWrap/>
              <w:overflowPunct/>
              <w:topLinePunct w:val="0"/>
              <w:autoSpaceDE/>
              <w:autoSpaceDN/>
              <w:bidi w:val="0"/>
              <w:adjustRightInd w:val="0"/>
              <w:snapToGrid w:val="0"/>
              <w:spacing w:before="0" w:beforeAutospacing="0" w:after="0" w:afterAutospacing="0" w:line="500" w:lineRule="exact"/>
              <w:ind w:firstLine="420" w:firstLineChars="200"/>
              <w:jc w:val="both"/>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w:t>
            </w:r>
            <w:r>
              <w:rPr>
                <w:rFonts w:hint="eastAsia" w:ascii="Times New Roman" w:hAnsi="Times New Roman" w:cs="Times New Roman"/>
                <w:bCs/>
                <w:color w:val="auto"/>
                <w:kern w:val="2"/>
                <w:sz w:val="21"/>
                <w:szCs w:val="21"/>
                <w:lang w:val="en-US" w:eastAsia="zh-CN" w:bidi="ar-SA"/>
              </w:rPr>
              <w:t>2</w:t>
            </w:r>
            <w:r>
              <w:rPr>
                <w:rFonts w:hint="eastAsia" w:ascii="Times New Roman" w:hAnsi="Times New Roman" w:eastAsia="宋体" w:cs="Times New Roman"/>
                <w:bCs/>
                <w:color w:val="auto"/>
                <w:kern w:val="2"/>
                <w:sz w:val="21"/>
                <w:szCs w:val="21"/>
                <w:lang w:val="en-US" w:eastAsia="zh-CN" w:bidi="ar-SA"/>
              </w:rPr>
              <w:t>）制袋废气（G</w:t>
            </w:r>
            <w:r>
              <w:rPr>
                <w:rFonts w:hint="eastAsia" w:ascii="Times New Roman" w:hAnsi="Times New Roman" w:cs="Times New Roman"/>
                <w:bCs/>
                <w:color w:val="auto"/>
                <w:kern w:val="2"/>
                <w:sz w:val="21"/>
                <w:szCs w:val="21"/>
                <w:lang w:val="en-US" w:eastAsia="zh-CN" w:bidi="ar-SA"/>
              </w:rPr>
              <w:t>4</w:t>
            </w:r>
            <w:r>
              <w:rPr>
                <w:rFonts w:hint="eastAsia" w:ascii="Times New Roman" w:hAnsi="Times New Roman" w:eastAsia="宋体" w:cs="Times New Roman"/>
                <w:bCs/>
                <w:color w:val="auto"/>
                <w:kern w:val="2"/>
                <w:sz w:val="21"/>
                <w:szCs w:val="21"/>
                <w:lang w:val="en-US" w:eastAsia="zh-CN" w:bidi="ar-SA"/>
              </w:rPr>
              <w:t>）</w:t>
            </w:r>
          </w:p>
          <w:p w14:paraId="59470B58">
            <w:pPr>
              <w:pStyle w:val="2"/>
              <w:keepNext w:val="0"/>
              <w:keepLines w:val="0"/>
              <w:pageBreakBefore w:val="0"/>
              <w:kinsoku/>
              <w:wordWrap/>
              <w:overflowPunct/>
              <w:topLinePunct w:val="0"/>
              <w:autoSpaceDE/>
              <w:autoSpaceDN/>
              <w:bidi w:val="0"/>
              <w:adjustRightInd w:val="0"/>
              <w:snapToGrid w:val="0"/>
              <w:spacing w:before="0" w:after="0" w:line="500" w:lineRule="exact"/>
              <w:ind w:right="0" w:firstLine="420" w:firstLineChars="200"/>
              <w:textAlignment w:val="baseline"/>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项目制袋过程塑料膜仅封口处受热熔融，塑料膜接触面极低，产生的废气极微量，本次</w:t>
            </w:r>
            <w:r>
              <w:rPr>
                <w:rFonts w:hint="default" w:ascii="Times New Roman" w:hAnsi="Times New Roman" w:eastAsia="宋体" w:cs="Times New Roman"/>
                <w:bCs/>
                <w:color w:val="auto"/>
                <w:kern w:val="2"/>
                <w:sz w:val="21"/>
                <w:szCs w:val="21"/>
                <w:lang w:val="en-US" w:eastAsia="zh-CN" w:bidi="ar-SA"/>
              </w:rPr>
              <w:t>不进行</w:t>
            </w:r>
            <w:r>
              <w:rPr>
                <w:rFonts w:hint="eastAsia" w:ascii="Times New Roman" w:hAnsi="Times New Roman" w:eastAsia="宋体" w:cs="Times New Roman"/>
                <w:bCs/>
                <w:color w:val="auto"/>
                <w:kern w:val="2"/>
                <w:sz w:val="21"/>
                <w:szCs w:val="21"/>
                <w:lang w:val="en-US" w:eastAsia="zh-CN" w:bidi="ar-SA"/>
              </w:rPr>
              <w:t>定量分析。</w:t>
            </w:r>
          </w:p>
          <w:p w14:paraId="57845DF9">
            <w:pPr>
              <w:pStyle w:val="25"/>
              <w:keepNext w:val="0"/>
              <w:keepLines w:val="0"/>
              <w:pageBreakBefore w:val="0"/>
              <w:kinsoku/>
              <w:wordWrap/>
              <w:overflowPunct/>
              <w:topLinePunct w:val="0"/>
              <w:autoSpaceDE/>
              <w:autoSpaceDN/>
              <w:bidi w:val="0"/>
              <w:adjustRightInd w:val="0"/>
              <w:snapToGrid w:val="0"/>
              <w:spacing w:before="0" w:beforeAutospacing="0" w:after="0" w:afterAutospacing="0" w:line="500" w:lineRule="exact"/>
              <w:ind w:firstLine="420" w:firstLineChars="200"/>
              <w:jc w:val="both"/>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w:t>
            </w:r>
            <w:r>
              <w:rPr>
                <w:rFonts w:hint="eastAsia" w:ascii="Times New Roman" w:hAnsi="Times New Roman" w:cs="Times New Roman"/>
                <w:bCs/>
                <w:color w:val="auto"/>
                <w:kern w:val="2"/>
                <w:sz w:val="21"/>
                <w:szCs w:val="21"/>
                <w:lang w:val="en-US" w:eastAsia="zh-CN" w:bidi="ar-SA"/>
              </w:rPr>
              <w:t>3</w:t>
            </w:r>
            <w:r>
              <w:rPr>
                <w:rFonts w:hint="eastAsia" w:ascii="Times New Roman" w:hAnsi="Times New Roman" w:eastAsia="宋体" w:cs="Times New Roman"/>
                <w:bCs/>
                <w:color w:val="auto"/>
                <w:kern w:val="2"/>
                <w:sz w:val="21"/>
                <w:szCs w:val="21"/>
                <w:lang w:val="en-US" w:eastAsia="zh-CN" w:bidi="ar-SA"/>
              </w:rPr>
              <w:t>）危废仓废气</w:t>
            </w:r>
          </w:p>
          <w:p w14:paraId="4D3DDA5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20" w:firstLineChars="200"/>
              <w:textAlignment w:val="auto"/>
              <w:rPr>
                <w:rFonts w:hint="eastAsia"/>
                <w:color w:val="auto"/>
                <w:sz w:val="21"/>
                <w:szCs w:val="21"/>
                <w:lang w:val="en-US" w:eastAsia="zh-CN"/>
              </w:rPr>
            </w:pPr>
            <w:r>
              <w:rPr>
                <w:rFonts w:hint="eastAsia" w:ascii="Times New Roman" w:hAnsi="Times New Roman" w:eastAsia="宋体" w:cs="Times New Roman"/>
                <w:bCs/>
                <w:color w:val="auto"/>
                <w:kern w:val="2"/>
                <w:sz w:val="21"/>
                <w:szCs w:val="21"/>
                <w:lang w:val="en-US" w:eastAsia="zh-CN" w:bidi="ar-SA"/>
              </w:rPr>
              <w:t>项目</w:t>
            </w:r>
            <w:r>
              <w:rPr>
                <w:rFonts w:hint="default" w:ascii="Times New Roman" w:hAnsi="Times New Roman" w:eastAsia="宋体" w:cs="Times New Roman"/>
                <w:bCs/>
                <w:color w:val="auto"/>
                <w:kern w:val="2"/>
                <w:sz w:val="21"/>
                <w:szCs w:val="21"/>
                <w:lang w:val="en-US" w:eastAsia="zh-CN" w:bidi="ar-SA"/>
              </w:rPr>
              <w:t>废包装桶等危险废物分类密闭包装后入库分区贮存，贮存过程挥发产生极少量有机废气，</w:t>
            </w:r>
            <w:r>
              <w:rPr>
                <w:rFonts w:hint="eastAsia" w:ascii="Times New Roman" w:hAnsi="Times New Roman" w:eastAsia="宋体" w:cs="Times New Roman"/>
                <w:bCs/>
                <w:color w:val="auto"/>
                <w:kern w:val="2"/>
                <w:sz w:val="21"/>
                <w:szCs w:val="21"/>
                <w:lang w:val="en-US" w:eastAsia="zh-CN" w:bidi="ar-SA"/>
              </w:rPr>
              <w:t>本次</w:t>
            </w:r>
            <w:r>
              <w:rPr>
                <w:rFonts w:hint="default" w:ascii="Times New Roman" w:hAnsi="Times New Roman" w:eastAsia="宋体" w:cs="Times New Roman"/>
                <w:bCs/>
                <w:color w:val="auto"/>
                <w:kern w:val="2"/>
                <w:sz w:val="21"/>
                <w:szCs w:val="21"/>
                <w:lang w:val="en-US" w:eastAsia="zh-CN" w:bidi="ar-SA"/>
              </w:rPr>
              <w:t>不进行定量分析。</w:t>
            </w:r>
          </w:p>
          <w:p w14:paraId="5805EF4D">
            <w:pPr>
              <w:adjustRightInd w:val="0"/>
              <w:snapToGrid w:val="0"/>
              <w:spacing w:line="500" w:lineRule="exact"/>
              <w:ind w:firstLine="422" w:firstLineChars="200"/>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2、</w:t>
            </w:r>
            <w:r>
              <w:rPr>
                <w:rFonts w:hint="default" w:ascii="Times New Roman" w:hAnsi="Times New Roman" w:cs="Times New Roman"/>
                <w:b/>
                <w:bCs/>
                <w:color w:val="auto"/>
                <w:sz w:val="21"/>
                <w:szCs w:val="21"/>
                <w:lang w:val="en-US" w:eastAsia="zh-CN"/>
              </w:rPr>
              <w:t>污染</w:t>
            </w:r>
            <w:r>
              <w:rPr>
                <w:rFonts w:hint="default" w:ascii="Times New Roman" w:hAnsi="Times New Roman" w:cs="Times New Roman"/>
                <w:b/>
                <w:bCs/>
                <w:color w:val="auto"/>
                <w:sz w:val="21"/>
                <w:szCs w:val="21"/>
              </w:rPr>
              <w:t>防治措施</w:t>
            </w:r>
          </w:p>
          <w:p w14:paraId="6AFB01F7">
            <w:pPr>
              <w:adjustRightInd w:val="0"/>
              <w:snapToGrid w:val="0"/>
              <w:spacing w:line="500" w:lineRule="exact"/>
              <w:ind w:firstLine="420" w:firstLineChars="20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1）有组织废气</w:t>
            </w:r>
          </w:p>
          <w:p w14:paraId="7CF617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color w:val="auto"/>
              </w:rPr>
              <w:drawing>
                <wp:inline distT="0" distB="0" distL="114300" distR="114300">
                  <wp:extent cx="5572125" cy="600710"/>
                  <wp:effectExtent l="0" t="0" r="5715" b="889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3"/>
                          <a:stretch>
                            <a:fillRect/>
                          </a:stretch>
                        </pic:blipFill>
                        <pic:spPr>
                          <a:xfrm>
                            <a:off x="0" y="0"/>
                            <a:ext cx="5572125" cy="600710"/>
                          </a:xfrm>
                          <a:prstGeom prst="rect">
                            <a:avLst/>
                          </a:prstGeom>
                          <a:noFill/>
                          <a:ln>
                            <a:noFill/>
                          </a:ln>
                        </pic:spPr>
                      </pic:pic>
                    </a:graphicData>
                  </a:graphic>
                </wp:inline>
              </w:drawing>
            </w:r>
          </w:p>
          <w:p w14:paraId="4308C2A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图4-1项目废气治理措施示意图</w:t>
            </w:r>
          </w:p>
          <w:p w14:paraId="64097824">
            <w:pPr>
              <w:pStyle w:val="2"/>
              <w:keepNext w:val="0"/>
              <w:keepLines w:val="0"/>
              <w:pageBreakBefore w:val="0"/>
              <w:widowControl/>
              <w:kinsoku/>
              <w:wordWrap/>
              <w:overflowPunct/>
              <w:topLinePunct w:val="0"/>
              <w:autoSpaceDE/>
              <w:autoSpaceDN/>
              <w:bidi w:val="0"/>
              <w:adjustRightInd/>
              <w:snapToGrid w:val="0"/>
              <w:spacing w:before="0" w:after="0" w:line="500" w:lineRule="exact"/>
              <w:ind w:right="0" w:firstLine="420" w:firstLineChars="200"/>
              <w:textAlignment w:val="auto"/>
              <w:rPr>
                <w:rFonts w:hint="default" w:ascii="Times New Roman" w:hAnsi="Times New Roman" w:cs="Times New Roman"/>
                <w:color w:val="auto"/>
                <w:sz w:val="21"/>
                <w:szCs w:val="21"/>
              </w:rPr>
            </w:pPr>
          </w:p>
        </w:tc>
      </w:tr>
      <w:tr w14:paraId="2EBD7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6" w:hRule="atLeast"/>
        </w:trPr>
        <w:tc>
          <w:tcPr>
            <w:tcW w:w="876" w:type="dxa"/>
            <w:tcMar>
              <w:left w:w="28" w:type="dxa"/>
              <w:right w:w="28" w:type="dxa"/>
            </w:tcMar>
            <w:vAlign w:val="center"/>
          </w:tcPr>
          <w:p w14:paraId="68A1052F">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运营</w:t>
            </w:r>
          </w:p>
          <w:p w14:paraId="5BFA2353">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期环</w:t>
            </w:r>
          </w:p>
          <w:p w14:paraId="00122FD7">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境影</w:t>
            </w:r>
          </w:p>
          <w:p w14:paraId="0E12B6AD">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响和</w:t>
            </w:r>
          </w:p>
          <w:p w14:paraId="660B52F3">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保护</w:t>
            </w:r>
          </w:p>
          <w:p w14:paraId="2603CE9D">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措施</w:t>
            </w:r>
          </w:p>
        </w:tc>
        <w:tc>
          <w:tcPr>
            <w:tcW w:w="8273" w:type="dxa"/>
            <w:vAlign w:val="center"/>
          </w:tcPr>
          <w:p w14:paraId="12EFAFD1">
            <w:pPr>
              <w:pStyle w:val="25"/>
              <w:keepNext w:val="0"/>
              <w:keepLines w:val="0"/>
              <w:pageBreakBefore w:val="0"/>
              <w:kinsoku/>
              <w:wordWrap/>
              <w:overflowPunct/>
              <w:topLinePunct w:val="0"/>
              <w:autoSpaceDE/>
              <w:autoSpaceDN/>
              <w:bidi w:val="0"/>
              <w:adjustRightInd w:val="0"/>
              <w:snapToGrid w:val="0"/>
              <w:spacing w:before="0" w:beforeAutospacing="0" w:after="0" w:afterAutospacing="0" w:line="500" w:lineRule="exact"/>
              <w:ind w:left="0" w:leftChars="0"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①废气收集系统风量核算</w:t>
            </w:r>
          </w:p>
          <w:p w14:paraId="55EC14EB">
            <w:pPr>
              <w:keepNext w:val="0"/>
              <w:keepLines w:val="0"/>
              <w:pageBreakBefore w:val="0"/>
              <w:kinsoku/>
              <w:wordWrap/>
              <w:overflowPunct/>
              <w:topLinePunct w:val="0"/>
              <w:autoSpaceDE/>
              <w:autoSpaceDN/>
              <w:bidi w:val="0"/>
              <w:adjustRightInd w:val="0"/>
              <w:snapToGrid w:val="0"/>
              <w:spacing w:line="500" w:lineRule="exact"/>
              <w:ind w:firstLine="420" w:firstLineChars="20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结合生产工艺、设备配置情况，</w:t>
            </w:r>
            <w:r>
              <w:rPr>
                <w:rFonts w:hint="eastAsia" w:ascii="Times New Roman" w:hAnsi="Times New Roman" w:eastAsia="宋体" w:cs="Times New Roman"/>
                <w:color w:val="auto"/>
                <w:kern w:val="2"/>
                <w:sz w:val="21"/>
                <w:szCs w:val="21"/>
                <w:lang w:val="en-US" w:eastAsia="zh-CN" w:bidi="ar-SA"/>
              </w:rPr>
              <w:t>项目印刷、复合、熟化废气采取密闭空间收集，废气</w:t>
            </w:r>
            <w:r>
              <w:rPr>
                <w:rFonts w:hint="default" w:ascii="Times New Roman" w:hAnsi="Times New Roman" w:eastAsia="宋体" w:cs="Times New Roman"/>
                <w:color w:val="auto"/>
                <w:kern w:val="2"/>
                <w:sz w:val="21"/>
                <w:szCs w:val="21"/>
                <w:lang w:val="en-US" w:eastAsia="zh-CN" w:bidi="ar-SA"/>
              </w:rPr>
              <w:t>捕集率可达9</w:t>
            </w:r>
            <w:r>
              <w:rPr>
                <w:rFonts w:hint="eastAsia" w:ascii="Times New Roman" w:hAnsi="Times New Roman" w:eastAsia="宋体" w:cs="Times New Roman"/>
                <w:color w:val="auto"/>
                <w:kern w:val="2"/>
                <w:sz w:val="21"/>
                <w:szCs w:val="21"/>
                <w:lang w:val="en-US" w:eastAsia="zh-CN" w:bidi="ar-SA"/>
              </w:rPr>
              <w:t>5</w:t>
            </w:r>
            <w:r>
              <w:rPr>
                <w:rFonts w:hint="default" w:ascii="Times New Roman" w:hAnsi="Times New Roman" w:eastAsia="宋体" w:cs="Times New Roman"/>
                <w:color w:val="auto"/>
                <w:kern w:val="2"/>
                <w:sz w:val="21"/>
                <w:szCs w:val="21"/>
                <w:lang w:val="en-US" w:eastAsia="zh-CN" w:bidi="ar-SA"/>
              </w:rPr>
              <w:t>%。参考《废气处理工程技术手册》（王纯 张殿印主编，化学工业出版社，2013）中P959中“表17-1每小时各种场所换气次数”，</w:t>
            </w:r>
            <w:r>
              <w:rPr>
                <w:rFonts w:hint="eastAsia" w:ascii="Times New Roman" w:hAnsi="Times New Roman" w:eastAsia="宋体" w:cs="Times New Roman"/>
                <w:color w:val="auto"/>
                <w:kern w:val="2"/>
                <w:sz w:val="21"/>
                <w:szCs w:val="21"/>
                <w:lang w:val="en-US" w:eastAsia="zh-CN" w:bidi="ar-SA"/>
              </w:rPr>
              <w:t>涂装室</w:t>
            </w:r>
            <w:r>
              <w:rPr>
                <w:rFonts w:hint="default" w:ascii="Times New Roman" w:hAnsi="Times New Roman" w:eastAsia="宋体" w:cs="Times New Roman"/>
                <w:color w:val="auto"/>
                <w:kern w:val="2"/>
                <w:sz w:val="21"/>
                <w:szCs w:val="21"/>
                <w:lang w:val="en-US" w:eastAsia="zh-CN" w:bidi="ar-SA"/>
              </w:rPr>
              <w:t>换气次数建议为</w:t>
            </w:r>
            <w:r>
              <w:rPr>
                <w:rFonts w:hint="eastAsia" w:ascii="Times New Roman" w:hAnsi="Times New Roman" w:eastAsia="宋体" w:cs="Times New Roman"/>
                <w:color w:val="auto"/>
                <w:kern w:val="2"/>
                <w:sz w:val="21"/>
                <w:szCs w:val="21"/>
                <w:lang w:val="en-US" w:eastAsia="zh-CN" w:bidi="ar-SA"/>
              </w:rPr>
              <w:t>20</w:t>
            </w:r>
            <w:r>
              <w:rPr>
                <w:rFonts w:hint="default" w:ascii="Times New Roman" w:hAnsi="Times New Roman" w:eastAsia="宋体" w:cs="Times New Roman"/>
                <w:color w:val="auto"/>
                <w:kern w:val="2"/>
                <w:sz w:val="21"/>
                <w:szCs w:val="21"/>
                <w:lang w:val="en-US" w:eastAsia="zh-CN" w:bidi="ar-SA"/>
              </w:rPr>
              <w:t>次/h</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空间密闭换风排风量L（m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/h）的计算公式为：</w:t>
            </w:r>
          </w:p>
          <w:p w14:paraId="3C19D3F2">
            <w:pPr>
              <w:keepNext w:val="0"/>
              <w:keepLines w:val="0"/>
              <w:pageBreakBefore w:val="0"/>
              <w:kinsoku/>
              <w:wordWrap/>
              <w:overflowPunct/>
              <w:topLinePunct w:val="0"/>
              <w:autoSpaceDE/>
              <w:autoSpaceDN/>
              <w:bidi w:val="0"/>
              <w:adjustRightInd w:val="0"/>
              <w:snapToGrid w:val="0"/>
              <w:spacing w:line="500" w:lineRule="exact"/>
              <w:ind w:firstLine="420" w:firstLineChars="20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L=n</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Vf</w:t>
            </w:r>
          </w:p>
          <w:p w14:paraId="1B8E33B4">
            <w:pPr>
              <w:keepNext w:val="0"/>
              <w:keepLines w:val="0"/>
              <w:pageBreakBefore w:val="0"/>
              <w:kinsoku/>
              <w:wordWrap/>
              <w:overflowPunct/>
              <w:topLinePunct w:val="0"/>
              <w:autoSpaceDE/>
              <w:autoSpaceDN/>
              <w:bidi w:val="0"/>
              <w:adjustRightInd w:val="0"/>
              <w:snapToGrid w:val="0"/>
              <w:spacing w:line="500" w:lineRule="exact"/>
              <w:ind w:firstLine="420" w:firstLineChars="20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n—换气次数，次/h；</w:t>
            </w:r>
          </w:p>
          <w:p w14:paraId="210DDEE7">
            <w:pPr>
              <w:keepNext w:val="0"/>
              <w:keepLines w:val="0"/>
              <w:pageBreakBefore w:val="0"/>
              <w:kinsoku/>
              <w:wordWrap/>
              <w:overflowPunct/>
              <w:topLinePunct w:val="0"/>
              <w:autoSpaceDE/>
              <w:autoSpaceDN/>
              <w:bidi w:val="0"/>
              <w:adjustRightInd w:val="0"/>
              <w:snapToGrid w:val="0"/>
              <w:spacing w:line="500" w:lineRule="exact"/>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Vf—通风房间体积，m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w:t>
            </w:r>
          </w:p>
          <w:p w14:paraId="45512274">
            <w:pPr>
              <w:keepNext w:val="0"/>
              <w:keepLines w:val="0"/>
              <w:pageBreakBefore w:val="0"/>
              <w:widowControl w:val="0"/>
              <w:kinsoku/>
              <w:wordWrap/>
              <w:topLinePunct w:val="0"/>
              <w:autoSpaceDN/>
              <w:bidi w:val="0"/>
              <w:adjustRightInd w:val="0"/>
              <w:snapToGrid w:val="0"/>
              <w:spacing w:line="500" w:lineRule="exact"/>
              <w:ind w:firstLine="420" w:firstLineChars="200"/>
              <w:textAlignment w:val="auto"/>
              <w:rPr>
                <w:rFonts w:hint="default" w:ascii="Times New Roman" w:hAnsi="Times New Roman" w:cs="Times New Roman"/>
                <w:b/>
                <w:bCs/>
                <w:color w:val="auto"/>
                <w:sz w:val="21"/>
                <w:szCs w:val="21"/>
              </w:rPr>
            </w:pPr>
            <w:r>
              <w:rPr>
                <w:rFonts w:hint="default" w:ascii="Times New Roman" w:hAnsi="Times New Roman" w:eastAsia="宋体" w:cs="Times New Roman"/>
                <w:color w:val="auto"/>
                <w:sz w:val="21"/>
                <w:szCs w:val="21"/>
              </w:rPr>
              <w:t>根据以上内容，计算各废气处理系统处理风量结果如下表所示：</w:t>
            </w:r>
          </w:p>
          <w:p w14:paraId="7BF79A3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表4</w:t>
            </w:r>
            <w:r>
              <w:rPr>
                <w:rFonts w:hint="default" w:ascii="Times New Roman" w:hAnsi="Times New Roman" w:cs="Times New Roman"/>
                <w:b/>
                <w:bCs/>
                <w:color w:val="auto"/>
                <w:sz w:val="21"/>
                <w:szCs w:val="21"/>
                <w:lang w:val="en-US" w:eastAsia="zh-CN"/>
              </w:rPr>
              <w:t xml:space="preserve">-1 </w:t>
            </w:r>
            <w:r>
              <w:rPr>
                <w:rFonts w:hint="eastAsia" w:ascii="Times New Roman" w:hAnsi="Times New Roman" w:cs="Times New Roman"/>
                <w:b/>
                <w:bCs/>
                <w:color w:val="auto"/>
                <w:sz w:val="21"/>
                <w:szCs w:val="21"/>
                <w:lang w:val="en-US" w:eastAsia="zh-CN"/>
              </w:rPr>
              <w:t xml:space="preserve"> </w:t>
            </w:r>
            <w:r>
              <w:rPr>
                <w:rFonts w:hint="eastAsia" w:cs="Times New Roman"/>
                <w:b/>
                <w:bCs/>
                <w:color w:val="auto"/>
                <w:sz w:val="21"/>
                <w:szCs w:val="21"/>
                <w:lang w:val="en-US" w:eastAsia="zh-CN"/>
              </w:rPr>
              <w:t>项目</w:t>
            </w:r>
            <w:r>
              <w:rPr>
                <w:rFonts w:hint="default" w:ascii="Times New Roman" w:hAnsi="Times New Roman" w:cs="Times New Roman"/>
                <w:b/>
                <w:bCs/>
                <w:color w:val="auto"/>
                <w:sz w:val="21"/>
                <w:szCs w:val="21"/>
              </w:rPr>
              <w:t>废气收集系统风量核算表</w:t>
            </w:r>
          </w:p>
          <w:tbl>
            <w:tblPr>
              <w:tblStyle w:val="31"/>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8"/>
              <w:gridCol w:w="1646"/>
              <w:gridCol w:w="1454"/>
              <w:gridCol w:w="1222"/>
              <w:gridCol w:w="1679"/>
              <w:gridCol w:w="1465"/>
            </w:tblGrid>
            <w:tr w14:paraId="729BE9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1" w:type="pct"/>
                  <w:noWrap w:val="0"/>
                  <w:vAlign w:val="center"/>
                </w:tcPr>
                <w:p w14:paraId="110D0C51">
                  <w:pPr>
                    <w:widowControl/>
                    <w:jc w:val="center"/>
                    <w:textAlignment w:val="center"/>
                    <w:rPr>
                      <w:rFonts w:hint="eastAsia"/>
                      <w:b/>
                      <w:bCs/>
                      <w:color w:val="auto"/>
                      <w:sz w:val="21"/>
                      <w:szCs w:val="21"/>
                    </w:rPr>
                  </w:pPr>
                  <w:r>
                    <w:rPr>
                      <w:rFonts w:hint="eastAsia"/>
                      <w:b/>
                      <w:bCs/>
                      <w:color w:val="auto"/>
                      <w:sz w:val="21"/>
                      <w:szCs w:val="21"/>
                    </w:rPr>
                    <w:t>排气筒编号</w:t>
                  </w:r>
                </w:p>
              </w:tc>
              <w:tc>
                <w:tcPr>
                  <w:tcW w:w="943" w:type="pct"/>
                  <w:noWrap w:val="0"/>
                  <w:vAlign w:val="center"/>
                </w:tcPr>
                <w:p w14:paraId="312D3C99">
                  <w:pPr>
                    <w:widowControl/>
                    <w:jc w:val="center"/>
                    <w:textAlignment w:val="center"/>
                    <w:rPr>
                      <w:b/>
                      <w:bCs/>
                      <w:color w:val="auto"/>
                      <w:kern w:val="0"/>
                      <w:sz w:val="21"/>
                      <w:szCs w:val="21"/>
                    </w:rPr>
                  </w:pPr>
                  <w:r>
                    <w:rPr>
                      <w:rFonts w:hint="eastAsia"/>
                      <w:b/>
                      <w:bCs/>
                      <w:color w:val="auto"/>
                      <w:sz w:val="21"/>
                      <w:szCs w:val="21"/>
                    </w:rPr>
                    <w:t>设备</w:t>
                  </w:r>
                </w:p>
              </w:tc>
              <w:tc>
                <w:tcPr>
                  <w:tcW w:w="833" w:type="pct"/>
                  <w:noWrap w:val="0"/>
                  <w:vAlign w:val="center"/>
                </w:tcPr>
                <w:p w14:paraId="49DB1DE5">
                  <w:pPr>
                    <w:widowControl/>
                    <w:jc w:val="center"/>
                    <w:textAlignment w:val="center"/>
                    <w:rPr>
                      <w:b/>
                      <w:bCs/>
                      <w:color w:val="auto"/>
                      <w:kern w:val="0"/>
                      <w:sz w:val="21"/>
                      <w:szCs w:val="21"/>
                    </w:rPr>
                  </w:pPr>
                  <w:r>
                    <w:rPr>
                      <w:rFonts w:hint="eastAsia"/>
                      <w:b/>
                      <w:bCs/>
                      <w:color w:val="auto"/>
                      <w:kern w:val="0"/>
                      <w:sz w:val="21"/>
                      <w:szCs w:val="21"/>
                    </w:rPr>
                    <w:t>体积（</w:t>
                  </w:r>
                  <w:r>
                    <w:rPr>
                      <w:b/>
                      <w:bCs/>
                      <w:color w:val="auto"/>
                      <w:sz w:val="21"/>
                      <w:szCs w:val="21"/>
                    </w:rPr>
                    <w:t>m</w:t>
                  </w:r>
                  <w:r>
                    <w:rPr>
                      <w:b/>
                      <w:bCs/>
                      <w:color w:val="auto"/>
                      <w:sz w:val="21"/>
                      <w:szCs w:val="21"/>
                      <w:vertAlign w:val="superscript"/>
                    </w:rPr>
                    <w:t>3</w:t>
                  </w:r>
                  <w:r>
                    <w:rPr>
                      <w:rFonts w:hint="eastAsia"/>
                      <w:b/>
                      <w:bCs/>
                      <w:color w:val="auto"/>
                      <w:kern w:val="0"/>
                      <w:sz w:val="21"/>
                      <w:szCs w:val="21"/>
                    </w:rPr>
                    <w:t>）</w:t>
                  </w:r>
                </w:p>
              </w:tc>
              <w:tc>
                <w:tcPr>
                  <w:tcW w:w="700" w:type="pct"/>
                  <w:noWrap w:val="0"/>
                  <w:vAlign w:val="center"/>
                </w:tcPr>
                <w:p w14:paraId="41EA808B">
                  <w:pPr>
                    <w:widowControl/>
                    <w:jc w:val="center"/>
                    <w:textAlignment w:val="center"/>
                    <w:rPr>
                      <w:b/>
                      <w:bCs/>
                      <w:color w:val="auto"/>
                      <w:kern w:val="0"/>
                      <w:sz w:val="21"/>
                      <w:szCs w:val="21"/>
                    </w:rPr>
                  </w:pPr>
                  <w:r>
                    <w:rPr>
                      <w:b/>
                      <w:bCs/>
                      <w:color w:val="auto"/>
                      <w:kern w:val="0"/>
                      <w:sz w:val="21"/>
                      <w:szCs w:val="21"/>
                    </w:rPr>
                    <w:t>换风次数（次/h）</w:t>
                  </w:r>
                </w:p>
              </w:tc>
              <w:tc>
                <w:tcPr>
                  <w:tcW w:w="962" w:type="pct"/>
                  <w:noWrap w:val="0"/>
                  <w:vAlign w:val="center"/>
                </w:tcPr>
                <w:p w14:paraId="6CA739A8">
                  <w:pPr>
                    <w:widowControl/>
                    <w:jc w:val="center"/>
                    <w:textAlignment w:val="center"/>
                    <w:rPr>
                      <w:b/>
                      <w:bCs/>
                      <w:color w:val="auto"/>
                      <w:kern w:val="0"/>
                      <w:sz w:val="21"/>
                      <w:szCs w:val="21"/>
                    </w:rPr>
                  </w:pPr>
                  <w:r>
                    <w:rPr>
                      <w:rFonts w:hint="eastAsia"/>
                      <w:b/>
                      <w:bCs/>
                      <w:color w:val="auto"/>
                      <w:kern w:val="0"/>
                      <w:sz w:val="21"/>
                      <w:szCs w:val="21"/>
                    </w:rPr>
                    <w:t>核算</w:t>
                  </w:r>
                  <w:r>
                    <w:rPr>
                      <w:b/>
                      <w:bCs/>
                      <w:color w:val="auto"/>
                      <w:kern w:val="0"/>
                      <w:sz w:val="21"/>
                      <w:szCs w:val="21"/>
                    </w:rPr>
                    <w:t>风量（m</w:t>
                  </w:r>
                  <w:r>
                    <w:rPr>
                      <w:b/>
                      <w:bCs/>
                      <w:color w:val="auto"/>
                      <w:kern w:val="0"/>
                      <w:sz w:val="21"/>
                      <w:szCs w:val="21"/>
                      <w:vertAlign w:val="superscript"/>
                    </w:rPr>
                    <w:t>3</w:t>
                  </w:r>
                  <w:r>
                    <w:rPr>
                      <w:b/>
                      <w:bCs/>
                      <w:color w:val="auto"/>
                      <w:kern w:val="0"/>
                      <w:sz w:val="21"/>
                      <w:szCs w:val="21"/>
                    </w:rPr>
                    <w:t>/h）</w:t>
                  </w:r>
                </w:p>
              </w:tc>
              <w:tc>
                <w:tcPr>
                  <w:tcW w:w="839" w:type="pct"/>
                  <w:noWrap w:val="0"/>
                  <w:vAlign w:val="center"/>
                </w:tcPr>
                <w:p w14:paraId="63001B49">
                  <w:pPr>
                    <w:widowControl/>
                    <w:jc w:val="center"/>
                    <w:textAlignment w:val="center"/>
                    <w:rPr>
                      <w:b/>
                      <w:bCs/>
                      <w:color w:val="auto"/>
                      <w:kern w:val="0"/>
                      <w:sz w:val="21"/>
                      <w:szCs w:val="21"/>
                    </w:rPr>
                  </w:pPr>
                  <w:r>
                    <w:rPr>
                      <w:rFonts w:hint="eastAsia"/>
                      <w:b/>
                      <w:bCs/>
                      <w:color w:val="auto"/>
                      <w:sz w:val="21"/>
                      <w:szCs w:val="21"/>
                    </w:rPr>
                    <w:t>设计</w:t>
                  </w:r>
                  <w:r>
                    <w:rPr>
                      <w:b/>
                      <w:bCs/>
                      <w:color w:val="auto"/>
                      <w:kern w:val="0"/>
                      <w:sz w:val="21"/>
                      <w:szCs w:val="21"/>
                    </w:rPr>
                    <w:t>风量（m</w:t>
                  </w:r>
                  <w:r>
                    <w:rPr>
                      <w:b/>
                      <w:bCs/>
                      <w:color w:val="auto"/>
                      <w:kern w:val="0"/>
                      <w:sz w:val="21"/>
                      <w:szCs w:val="21"/>
                      <w:vertAlign w:val="superscript"/>
                    </w:rPr>
                    <w:t>3</w:t>
                  </w:r>
                  <w:r>
                    <w:rPr>
                      <w:b/>
                      <w:bCs/>
                      <w:color w:val="auto"/>
                      <w:kern w:val="0"/>
                      <w:sz w:val="21"/>
                      <w:szCs w:val="21"/>
                    </w:rPr>
                    <w:t>/h）</w:t>
                  </w:r>
                </w:p>
              </w:tc>
            </w:tr>
            <w:tr w14:paraId="5FFBAA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1" w:type="pct"/>
                  <w:vMerge w:val="restart"/>
                  <w:noWrap w:val="0"/>
                  <w:vAlign w:val="center"/>
                </w:tcPr>
                <w:p w14:paraId="22DE7D9B">
                  <w:pPr>
                    <w:widowControl/>
                    <w:jc w:val="center"/>
                    <w:textAlignment w:val="center"/>
                    <w:rPr>
                      <w:rFonts w:hint="eastAsia"/>
                      <w:color w:val="auto"/>
                      <w:kern w:val="0"/>
                      <w:sz w:val="21"/>
                      <w:szCs w:val="21"/>
                    </w:rPr>
                  </w:pPr>
                  <w:r>
                    <w:rPr>
                      <w:rFonts w:hint="eastAsia"/>
                      <w:color w:val="auto"/>
                      <w:sz w:val="21"/>
                      <w:szCs w:val="21"/>
                    </w:rPr>
                    <w:t>DA001</w:t>
                  </w:r>
                </w:p>
              </w:tc>
              <w:tc>
                <w:tcPr>
                  <w:tcW w:w="943" w:type="pct"/>
                  <w:noWrap w:val="0"/>
                  <w:vAlign w:val="center"/>
                </w:tcPr>
                <w:p w14:paraId="364DD6F9">
                  <w:pPr>
                    <w:widowControl/>
                    <w:jc w:val="center"/>
                    <w:textAlignment w:val="center"/>
                    <w:rPr>
                      <w:color w:val="auto"/>
                      <w:kern w:val="0"/>
                      <w:sz w:val="21"/>
                      <w:szCs w:val="21"/>
                    </w:rPr>
                  </w:pPr>
                  <w:r>
                    <w:rPr>
                      <w:rFonts w:hint="eastAsia"/>
                      <w:color w:val="auto"/>
                      <w:kern w:val="0"/>
                      <w:sz w:val="21"/>
                      <w:szCs w:val="21"/>
                    </w:rPr>
                    <w:t>印刷</w:t>
                  </w:r>
                  <w:r>
                    <w:rPr>
                      <w:rFonts w:hint="eastAsia"/>
                      <w:color w:val="auto"/>
                      <w:kern w:val="0"/>
                      <w:sz w:val="21"/>
                      <w:szCs w:val="21"/>
                      <w:lang w:val="en-US" w:eastAsia="zh-CN"/>
                    </w:rPr>
                    <w:t>复合</w:t>
                  </w:r>
                  <w:r>
                    <w:rPr>
                      <w:rFonts w:hint="eastAsia"/>
                      <w:color w:val="auto"/>
                      <w:kern w:val="0"/>
                      <w:sz w:val="21"/>
                      <w:szCs w:val="21"/>
                    </w:rPr>
                    <w:t>间</w:t>
                  </w:r>
                </w:p>
              </w:tc>
              <w:tc>
                <w:tcPr>
                  <w:tcW w:w="833" w:type="pct"/>
                  <w:noWrap w:val="0"/>
                  <w:vAlign w:val="center"/>
                </w:tcPr>
                <w:p w14:paraId="44CA6554">
                  <w:pPr>
                    <w:widowControl/>
                    <w:jc w:val="center"/>
                    <w:textAlignment w:val="center"/>
                    <w:rPr>
                      <w:rFonts w:hint="default" w:eastAsia="宋体"/>
                      <w:color w:val="auto"/>
                      <w:kern w:val="0"/>
                      <w:sz w:val="21"/>
                      <w:szCs w:val="21"/>
                      <w:lang w:val="en-US" w:eastAsia="zh-CN"/>
                    </w:rPr>
                  </w:pPr>
                  <w:r>
                    <w:rPr>
                      <w:rFonts w:hint="eastAsia"/>
                      <w:color w:val="auto"/>
                      <w:kern w:val="0"/>
                      <w:sz w:val="21"/>
                      <w:szCs w:val="21"/>
                      <w:lang w:val="en-US" w:eastAsia="zh-CN"/>
                    </w:rPr>
                    <w:t>500</w:t>
                  </w:r>
                </w:p>
              </w:tc>
              <w:tc>
                <w:tcPr>
                  <w:tcW w:w="700" w:type="pct"/>
                  <w:noWrap w:val="0"/>
                  <w:vAlign w:val="center"/>
                </w:tcPr>
                <w:p w14:paraId="46E8A803">
                  <w:pPr>
                    <w:widowControl/>
                    <w:jc w:val="center"/>
                    <w:textAlignment w:val="center"/>
                    <w:rPr>
                      <w:color w:val="auto"/>
                      <w:kern w:val="0"/>
                      <w:sz w:val="21"/>
                      <w:szCs w:val="21"/>
                    </w:rPr>
                  </w:pPr>
                  <w:r>
                    <w:rPr>
                      <w:rFonts w:hint="eastAsia"/>
                      <w:color w:val="auto"/>
                      <w:kern w:val="0"/>
                      <w:sz w:val="21"/>
                      <w:szCs w:val="21"/>
                      <w:lang w:val="en-US" w:eastAsia="zh-CN"/>
                    </w:rPr>
                    <w:t>2</w:t>
                  </w:r>
                  <w:r>
                    <w:rPr>
                      <w:rFonts w:hint="eastAsia"/>
                      <w:color w:val="auto"/>
                      <w:kern w:val="0"/>
                      <w:sz w:val="21"/>
                      <w:szCs w:val="21"/>
                    </w:rPr>
                    <w:t>0</w:t>
                  </w:r>
                </w:p>
              </w:tc>
              <w:tc>
                <w:tcPr>
                  <w:tcW w:w="962" w:type="pct"/>
                  <w:noWrap w:val="0"/>
                  <w:vAlign w:val="center"/>
                </w:tcPr>
                <w:p w14:paraId="7A9DBA63">
                  <w:pPr>
                    <w:widowControl/>
                    <w:jc w:val="center"/>
                    <w:textAlignment w:val="center"/>
                    <w:rPr>
                      <w:color w:val="auto"/>
                      <w:kern w:val="0"/>
                      <w:sz w:val="21"/>
                      <w:szCs w:val="21"/>
                    </w:rPr>
                  </w:pPr>
                  <w:r>
                    <w:rPr>
                      <w:rFonts w:hint="eastAsia"/>
                      <w:color w:val="auto"/>
                      <w:kern w:val="0"/>
                      <w:sz w:val="21"/>
                      <w:szCs w:val="21"/>
                      <w:lang w:val="en-US" w:eastAsia="zh-CN"/>
                    </w:rPr>
                    <w:t>10</w:t>
                  </w:r>
                  <w:r>
                    <w:rPr>
                      <w:rFonts w:hint="eastAsia"/>
                      <w:color w:val="auto"/>
                      <w:kern w:val="0"/>
                      <w:sz w:val="21"/>
                      <w:szCs w:val="21"/>
                    </w:rPr>
                    <w:t>000</w:t>
                  </w:r>
                </w:p>
              </w:tc>
              <w:tc>
                <w:tcPr>
                  <w:tcW w:w="839" w:type="pct"/>
                  <w:vMerge w:val="restart"/>
                  <w:noWrap w:val="0"/>
                  <w:vAlign w:val="center"/>
                </w:tcPr>
                <w:p w14:paraId="039DBF87">
                  <w:pPr>
                    <w:widowControl/>
                    <w:jc w:val="center"/>
                    <w:textAlignment w:val="center"/>
                    <w:rPr>
                      <w:color w:val="auto"/>
                      <w:kern w:val="0"/>
                      <w:sz w:val="21"/>
                      <w:szCs w:val="21"/>
                    </w:rPr>
                  </w:pPr>
                  <w:r>
                    <w:rPr>
                      <w:rFonts w:hint="eastAsia"/>
                      <w:color w:val="auto"/>
                      <w:kern w:val="0"/>
                      <w:sz w:val="21"/>
                      <w:szCs w:val="21"/>
                      <w:lang w:val="en-US" w:eastAsia="zh-CN"/>
                    </w:rPr>
                    <w:t>12</w:t>
                  </w:r>
                  <w:r>
                    <w:rPr>
                      <w:rFonts w:hint="eastAsia"/>
                      <w:color w:val="auto"/>
                      <w:kern w:val="0"/>
                      <w:sz w:val="21"/>
                      <w:szCs w:val="21"/>
                    </w:rPr>
                    <w:t>000</w:t>
                  </w:r>
                </w:p>
              </w:tc>
            </w:tr>
            <w:tr w14:paraId="2EC247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1" w:type="pct"/>
                  <w:vMerge w:val="continue"/>
                  <w:noWrap w:val="0"/>
                  <w:vAlign w:val="center"/>
                </w:tcPr>
                <w:p w14:paraId="0E605B32">
                  <w:pPr>
                    <w:widowControl/>
                    <w:jc w:val="center"/>
                    <w:textAlignment w:val="center"/>
                    <w:rPr>
                      <w:rFonts w:hint="eastAsia"/>
                      <w:color w:val="auto"/>
                      <w:sz w:val="21"/>
                      <w:szCs w:val="21"/>
                    </w:rPr>
                  </w:pPr>
                </w:p>
              </w:tc>
              <w:tc>
                <w:tcPr>
                  <w:tcW w:w="943" w:type="pct"/>
                  <w:noWrap w:val="0"/>
                  <w:vAlign w:val="center"/>
                </w:tcPr>
                <w:p w14:paraId="19854A13">
                  <w:pPr>
                    <w:widowControl/>
                    <w:jc w:val="center"/>
                    <w:textAlignment w:val="center"/>
                    <w:rPr>
                      <w:color w:val="auto"/>
                      <w:kern w:val="0"/>
                      <w:sz w:val="21"/>
                      <w:szCs w:val="21"/>
                    </w:rPr>
                  </w:pPr>
                  <w:r>
                    <w:rPr>
                      <w:rFonts w:hint="eastAsia"/>
                      <w:color w:val="auto"/>
                      <w:kern w:val="0"/>
                      <w:sz w:val="21"/>
                      <w:szCs w:val="21"/>
                    </w:rPr>
                    <w:t>熟化室</w:t>
                  </w:r>
                </w:p>
              </w:tc>
              <w:tc>
                <w:tcPr>
                  <w:tcW w:w="833" w:type="pct"/>
                  <w:noWrap w:val="0"/>
                  <w:vAlign w:val="center"/>
                </w:tcPr>
                <w:p w14:paraId="7DB048D6">
                  <w:pPr>
                    <w:widowControl/>
                    <w:jc w:val="center"/>
                    <w:textAlignment w:val="center"/>
                    <w:rPr>
                      <w:rFonts w:hint="default" w:eastAsia="宋体"/>
                      <w:color w:val="auto"/>
                      <w:kern w:val="0"/>
                      <w:sz w:val="21"/>
                      <w:szCs w:val="21"/>
                      <w:lang w:val="en-US" w:eastAsia="zh-CN"/>
                    </w:rPr>
                  </w:pPr>
                  <w:r>
                    <w:rPr>
                      <w:rFonts w:hint="eastAsia"/>
                      <w:color w:val="auto"/>
                      <w:kern w:val="0"/>
                      <w:sz w:val="21"/>
                      <w:szCs w:val="21"/>
                      <w:lang w:val="en-US" w:eastAsia="zh-CN"/>
                    </w:rPr>
                    <w:t>36</w:t>
                  </w:r>
                </w:p>
              </w:tc>
              <w:tc>
                <w:tcPr>
                  <w:tcW w:w="700" w:type="pct"/>
                  <w:noWrap w:val="0"/>
                  <w:vAlign w:val="center"/>
                </w:tcPr>
                <w:p w14:paraId="0EA81CD0">
                  <w:pPr>
                    <w:widowControl/>
                    <w:jc w:val="center"/>
                    <w:textAlignment w:val="center"/>
                    <w:rPr>
                      <w:color w:val="auto"/>
                      <w:kern w:val="0"/>
                      <w:sz w:val="21"/>
                      <w:szCs w:val="21"/>
                    </w:rPr>
                  </w:pPr>
                  <w:r>
                    <w:rPr>
                      <w:rFonts w:hint="eastAsia"/>
                      <w:color w:val="auto"/>
                      <w:kern w:val="0"/>
                      <w:sz w:val="21"/>
                      <w:szCs w:val="21"/>
                      <w:lang w:val="en-US" w:eastAsia="zh-CN"/>
                    </w:rPr>
                    <w:t>2</w:t>
                  </w:r>
                  <w:r>
                    <w:rPr>
                      <w:rFonts w:hint="eastAsia"/>
                      <w:color w:val="auto"/>
                      <w:kern w:val="0"/>
                      <w:sz w:val="21"/>
                      <w:szCs w:val="21"/>
                    </w:rPr>
                    <w:t>0</w:t>
                  </w:r>
                </w:p>
              </w:tc>
              <w:tc>
                <w:tcPr>
                  <w:tcW w:w="962" w:type="pct"/>
                  <w:noWrap w:val="0"/>
                  <w:vAlign w:val="center"/>
                </w:tcPr>
                <w:p w14:paraId="60454E96">
                  <w:pPr>
                    <w:widowControl/>
                    <w:jc w:val="center"/>
                    <w:textAlignment w:val="center"/>
                    <w:rPr>
                      <w:rFonts w:hint="default" w:eastAsia="宋体"/>
                      <w:color w:val="auto"/>
                      <w:kern w:val="0"/>
                      <w:sz w:val="21"/>
                      <w:szCs w:val="21"/>
                      <w:lang w:val="en-US" w:eastAsia="zh-CN"/>
                    </w:rPr>
                  </w:pPr>
                  <w:r>
                    <w:rPr>
                      <w:rFonts w:hint="eastAsia"/>
                      <w:color w:val="auto"/>
                      <w:kern w:val="0"/>
                      <w:sz w:val="21"/>
                      <w:szCs w:val="21"/>
                      <w:lang w:val="en-US" w:eastAsia="zh-CN"/>
                    </w:rPr>
                    <w:t>720</w:t>
                  </w:r>
                </w:p>
              </w:tc>
              <w:tc>
                <w:tcPr>
                  <w:tcW w:w="839" w:type="pct"/>
                  <w:vMerge w:val="continue"/>
                  <w:noWrap w:val="0"/>
                  <w:vAlign w:val="center"/>
                </w:tcPr>
                <w:p w14:paraId="1F8C7C0B">
                  <w:pPr>
                    <w:widowControl/>
                    <w:jc w:val="center"/>
                    <w:textAlignment w:val="center"/>
                    <w:rPr>
                      <w:rFonts w:hint="eastAsia"/>
                      <w:color w:val="auto"/>
                      <w:kern w:val="0"/>
                      <w:sz w:val="21"/>
                      <w:szCs w:val="21"/>
                    </w:rPr>
                  </w:pPr>
                </w:p>
              </w:tc>
            </w:tr>
          </w:tbl>
          <w:p w14:paraId="0D79AE72">
            <w:pPr>
              <w:keepNext w:val="0"/>
              <w:keepLines w:val="0"/>
              <w:pageBreakBefore w:val="0"/>
              <w:widowControl w:val="0"/>
              <w:kinsoku/>
              <w:wordWrap/>
              <w:topLinePunct w:val="0"/>
              <w:autoSpaceDN/>
              <w:bidi w:val="0"/>
              <w:adjustRightInd w:val="0"/>
              <w:snapToGrid w:val="0"/>
              <w:spacing w:line="50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由上表可知，本项目</w:t>
            </w:r>
            <w:r>
              <w:rPr>
                <w:rFonts w:hint="eastAsia" w:cs="Times New Roman"/>
                <w:color w:val="auto"/>
                <w:sz w:val="21"/>
                <w:szCs w:val="21"/>
                <w:highlight w:val="none"/>
                <w:lang w:val="en-US" w:eastAsia="zh-CN"/>
              </w:rPr>
              <w:t>核算排</w:t>
            </w:r>
            <w:r>
              <w:rPr>
                <w:rFonts w:hint="eastAsia" w:ascii="Times New Roman" w:hAnsi="Times New Roman" w:eastAsia="宋体" w:cs="Times New Roman"/>
                <w:color w:val="auto"/>
                <w:sz w:val="21"/>
                <w:szCs w:val="21"/>
                <w:highlight w:val="none"/>
                <w:lang w:val="en-US" w:eastAsia="zh-CN"/>
              </w:rPr>
              <w:t>风量</w:t>
            </w:r>
            <w:r>
              <w:rPr>
                <w:rFonts w:hint="default" w:ascii="Times New Roman" w:hAnsi="Times New Roman" w:eastAsia="宋体" w:cs="Times New Roman"/>
                <w:color w:val="auto"/>
                <w:sz w:val="21"/>
                <w:szCs w:val="21"/>
                <w:highlight w:val="none"/>
                <w:lang w:val="en-US" w:eastAsia="zh-CN"/>
              </w:rPr>
              <w:t>为</w:t>
            </w:r>
            <w:r>
              <w:rPr>
                <w:rFonts w:hint="eastAsia" w:cs="Times New Roman"/>
                <w:color w:val="auto"/>
                <w:sz w:val="21"/>
                <w:szCs w:val="21"/>
                <w:highlight w:val="none"/>
                <w:lang w:val="en-US" w:eastAsia="zh-CN"/>
              </w:rPr>
              <w:t>10720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eastAsia" w:cs="Times New Roman"/>
                <w:color w:val="auto"/>
                <w:sz w:val="21"/>
                <w:szCs w:val="21"/>
                <w:lang w:eastAsia="zh-CN"/>
              </w:rPr>
              <w:t>，</w:t>
            </w:r>
            <w:r>
              <w:rPr>
                <w:rFonts w:hint="eastAsia" w:ascii="Times New Roman" w:hAnsi="Times New Roman" w:eastAsia="宋体" w:cs="Times New Roman"/>
                <w:color w:val="auto"/>
                <w:sz w:val="21"/>
                <w:szCs w:val="21"/>
                <w:highlight w:val="none"/>
                <w:lang w:val="en-US" w:eastAsia="zh-CN"/>
              </w:rPr>
              <w:t>考虑管道风量损耗，本次</w:t>
            </w:r>
            <w:r>
              <w:rPr>
                <w:rFonts w:hint="eastAsia"/>
                <w:color w:val="auto"/>
                <w:sz w:val="21"/>
                <w:szCs w:val="21"/>
                <w:lang w:val="en-US" w:eastAsia="zh-CN"/>
              </w:rPr>
              <w:t>DA001</w:t>
            </w:r>
            <w:r>
              <w:rPr>
                <w:rFonts w:hint="default" w:ascii="Times New Roman" w:hAnsi="Times New Roman" w:eastAsia="宋体" w:cs="Times New Roman"/>
                <w:color w:val="auto"/>
                <w:sz w:val="21"/>
                <w:szCs w:val="21"/>
                <w:highlight w:val="none"/>
                <w:lang w:eastAsia="zh-CN"/>
              </w:rPr>
              <w:t>排气筒</w:t>
            </w:r>
            <w:r>
              <w:rPr>
                <w:rFonts w:hint="default" w:ascii="Times New Roman" w:hAnsi="Times New Roman" w:eastAsia="宋体" w:cs="Times New Roman"/>
                <w:bCs/>
                <w:color w:val="auto"/>
                <w:sz w:val="21"/>
                <w:szCs w:val="21"/>
                <w:highlight w:val="none"/>
              </w:rPr>
              <w:t>拟设计风量为</w:t>
            </w:r>
            <w:r>
              <w:rPr>
                <w:rFonts w:hint="eastAsia" w:cs="Times New Roman"/>
                <w:bCs/>
                <w:color w:val="auto"/>
                <w:sz w:val="21"/>
                <w:szCs w:val="21"/>
                <w:highlight w:val="none"/>
                <w:lang w:val="en-US" w:eastAsia="zh-CN"/>
              </w:rPr>
              <w:t>12000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eastAsia" w:cs="Times New Roman"/>
                <w:color w:val="auto"/>
                <w:sz w:val="21"/>
                <w:szCs w:val="21"/>
                <w:lang w:eastAsia="zh-CN"/>
              </w:rPr>
              <w:t>。</w:t>
            </w:r>
          </w:p>
          <w:p w14:paraId="7AB35A8D">
            <w:pPr>
              <w:adjustRightInd w:val="0"/>
              <w:snapToGrid w:val="0"/>
              <w:spacing w:line="50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②废气污染防治措施概述</w:t>
            </w:r>
          </w:p>
          <w:p w14:paraId="05BF762D">
            <w:pPr>
              <w:adjustRightInd w:val="0"/>
              <w:snapToGrid w:val="0"/>
              <w:spacing w:line="50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w:t>
            </w:r>
            <w:r>
              <w:rPr>
                <w:rFonts w:hint="eastAsia" w:ascii="Times New Roman" w:hAnsi="Times New Roman" w:eastAsia="宋体" w:cs="Times New Roman"/>
                <w:color w:val="auto"/>
                <w:kern w:val="2"/>
                <w:sz w:val="21"/>
                <w:szCs w:val="21"/>
                <w:lang w:val="en-US" w:eastAsia="zh-CN" w:bidi="ar-SA"/>
              </w:rPr>
              <w:t>印刷、复合、熟化废气</w:t>
            </w:r>
            <w:r>
              <w:rPr>
                <w:rFonts w:hint="default" w:ascii="Times New Roman" w:hAnsi="Times New Roman" w:eastAsia="宋体" w:cs="Times New Roman"/>
                <w:color w:val="auto"/>
                <w:sz w:val="21"/>
                <w:szCs w:val="21"/>
                <w:highlight w:val="none"/>
                <w:lang w:val="en-US" w:eastAsia="zh-CN"/>
              </w:rPr>
              <w:t>采用</w:t>
            </w:r>
            <w:r>
              <w:rPr>
                <w:rFonts w:hint="eastAsia" w:cs="Times New Roman"/>
                <w:color w:val="auto"/>
                <w:sz w:val="21"/>
                <w:szCs w:val="21"/>
                <w:highlight w:val="none"/>
                <w:lang w:val="en-US" w:eastAsia="zh-CN"/>
              </w:rPr>
              <w:t>密闭空间</w:t>
            </w:r>
            <w:r>
              <w:rPr>
                <w:rFonts w:hint="default" w:ascii="Times New Roman" w:hAnsi="Times New Roman" w:eastAsia="宋体" w:cs="Times New Roman"/>
                <w:color w:val="auto"/>
                <w:sz w:val="21"/>
                <w:szCs w:val="21"/>
                <w:highlight w:val="none"/>
                <w:lang w:val="en-US" w:eastAsia="zh-CN"/>
              </w:rPr>
              <w:t>收集后</w:t>
            </w:r>
            <w:r>
              <w:rPr>
                <w:rFonts w:hint="eastAsia" w:ascii="Times New Roman" w:hAnsi="Times New Roman" w:eastAsia="宋体" w:cs="Times New Roman"/>
                <w:color w:val="auto"/>
                <w:sz w:val="21"/>
                <w:szCs w:val="21"/>
                <w:highlight w:val="none"/>
                <w:lang w:val="en-US" w:eastAsia="zh-CN"/>
              </w:rPr>
              <w:t>进入</w:t>
            </w:r>
            <w:r>
              <w:rPr>
                <w:rFonts w:hint="eastAsia" w:cs="Times New Roman"/>
                <w:color w:val="auto"/>
                <w:sz w:val="21"/>
                <w:szCs w:val="21"/>
                <w:highlight w:val="none"/>
                <w:lang w:val="en-US" w:eastAsia="zh-CN"/>
              </w:rPr>
              <w:t>二级活性炭吸附装置</w:t>
            </w:r>
            <w:r>
              <w:rPr>
                <w:rFonts w:hint="eastAsia" w:ascii="Times New Roman" w:hAnsi="Times New Roman" w:eastAsia="宋体" w:cs="Times New Roman"/>
                <w:color w:val="auto"/>
                <w:sz w:val="21"/>
                <w:szCs w:val="21"/>
                <w:highlight w:val="none"/>
                <w:lang w:val="en-US" w:eastAsia="zh-CN"/>
              </w:rPr>
              <w:t>（TA001）处理，尾气通过1根</w:t>
            </w:r>
            <w:r>
              <w:rPr>
                <w:rFonts w:hint="eastAsia" w:cs="Times New Roman"/>
                <w:color w:val="auto"/>
                <w:sz w:val="21"/>
                <w:szCs w:val="21"/>
                <w:highlight w:val="none"/>
                <w:lang w:val="en-US" w:eastAsia="zh-CN"/>
              </w:rPr>
              <w:t>15m</w:t>
            </w:r>
            <w:r>
              <w:rPr>
                <w:rFonts w:hint="eastAsia" w:ascii="Times New Roman" w:hAnsi="Times New Roman" w:eastAsia="宋体" w:cs="Times New Roman"/>
                <w:color w:val="auto"/>
                <w:sz w:val="21"/>
                <w:szCs w:val="21"/>
                <w:highlight w:val="none"/>
                <w:lang w:val="en-US" w:eastAsia="zh-CN"/>
              </w:rPr>
              <w:t>高的排气筒</w:t>
            </w:r>
            <w:r>
              <w:rPr>
                <w:rFonts w:hint="eastAsia" w:cs="Times New Roman"/>
                <w:color w:val="auto"/>
                <w:sz w:val="21"/>
                <w:szCs w:val="21"/>
                <w:highlight w:val="none"/>
                <w:lang w:val="en-US" w:eastAsia="zh-CN"/>
              </w:rPr>
              <w:t>(</w:t>
            </w:r>
            <w:r>
              <w:rPr>
                <w:rFonts w:hint="eastAsia"/>
                <w:color w:val="auto"/>
                <w:sz w:val="21"/>
                <w:szCs w:val="21"/>
                <w:lang w:val="en-US" w:eastAsia="zh-CN"/>
              </w:rPr>
              <w:t>DA001</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排放。</w:t>
            </w:r>
            <w:r>
              <w:rPr>
                <w:rFonts w:hint="eastAsia" w:cs="Times New Roman"/>
                <w:color w:val="auto"/>
                <w:sz w:val="21"/>
                <w:szCs w:val="21"/>
                <w:highlight w:val="none"/>
                <w:lang w:val="en-US" w:eastAsia="zh-CN"/>
              </w:rPr>
              <w:t>二级活性炭吸附装置</w:t>
            </w:r>
            <w:r>
              <w:rPr>
                <w:rFonts w:hint="default" w:ascii="Times New Roman" w:hAnsi="Times New Roman" w:eastAsia="宋体" w:cs="Times New Roman"/>
                <w:color w:val="auto"/>
                <w:sz w:val="21"/>
                <w:szCs w:val="21"/>
                <w:highlight w:val="none"/>
                <w:lang w:val="en-US" w:eastAsia="zh-CN"/>
              </w:rPr>
              <w:t>处理效率以</w:t>
            </w:r>
            <w:r>
              <w:rPr>
                <w:rFonts w:hint="eastAsia" w:ascii="Times New Roman" w:hAnsi="Times New Roman" w:eastAsia="宋体" w:cs="Times New Roman"/>
                <w:color w:val="auto"/>
                <w:sz w:val="21"/>
                <w:szCs w:val="21"/>
                <w:highlight w:val="none"/>
                <w:lang w:val="en-US" w:eastAsia="zh-CN"/>
              </w:rPr>
              <w:t>9</w:t>
            </w:r>
            <w:r>
              <w:rPr>
                <w:rFonts w:hint="eastAsia"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%计。</w:t>
            </w:r>
          </w:p>
          <w:p w14:paraId="7D6BD8F7">
            <w:pPr>
              <w:keepNext w:val="0"/>
              <w:keepLines w:val="0"/>
              <w:pageBreakBefore w:val="0"/>
              <w:kinsoku/>
              <w:wordWrap/>
              <w:overflowPunct/>
              <w:topLinePunct w:val="0"/>
              <w:autoSpaceDE/>
              <w:autoSpaceDN/>
              <w:bidi w:val="0"/>
              <w:snapToGrid w:val="0"/>
              <w:spacing w:line="500" w:lineRule="exact"/>
              <w:ind w:firstLine="422" w:firstLineChars="20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rPr>
              <w:t>活性炭吸附装置工作原理：</w:t>
            </w:r>
          </w:p>
          <w:p w14:paraId="63075422">
            <w:pPr>
              <w:keepNext w:val="0"/>
              <w:keepLines w:val="0"/>
              <w:pageBreakBefore w:val="0"/>
              <w:kinsoku/>
              <w:wordWrap/>
              <w:overflowPunct/>
              <w:topLinePunct w:val="0"/>
              <w:autoSpaceDE/>
              <w:autoSpaceDN/>
              <w:bidi w:val="0"/>
              <w:snapToGrid w:val="0"/>
              <w:spacing w:line="500" w:lineRule="exact"/>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活性炭是一种多孔性质的含炭物质，它具有高度发达的孔隙结构，活性炭的多孔结构为其提供了大量的表面积，能与气体（杂质）充分接触，从而赋予了活性炭所特有的吸附功能，使其非常容易达到吸收收集杂质的目的，就像磁力一样，所有的分子间都具有相互引力。正因为如此，活性炭孔壁上的大量的分子可以产生强大的引力，从而达到将有害的杂质吸引到孔径中的目的。</w:t>
            </w:r>
          </w:p>
          <w:p w14:paraId="7F1DBBBE">
            <w:pPr>
              <w:keepNext w:val="0"/>
              <w:keepLines w:val="0"/>
              <w:pageBreakBefore w:val="0"/>
              <w:kinsoku/>
              <w:wordWrap/>
              <w:overflowPunct/>
              <w:topLinePunct w:val="0"/>
              <w:autoSpaceDE/>
              <w:autoSpaceDN/>
              <w:bidi w:val="0"/>
              <w:snapToGrid w:val="0"/>
              <w:spacing w:line="500" w:lineRule="exact"/>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活性炭具有微晶结构，微晶排列完全不规则，晶体中有微孔、过渡孔（半径20～1000）、大孔（半径1000～100000），使它具有很大的内表面，比表面积为500～1700m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g。这决定了活性炭具有良好的吸附性，可以吸附废水和废气中的金属离子、有害气体、有机污染物、色素等。工业上应用活性炭还要求机械强度大、耐磨性能好，它的结构力求稳定，吸附所需能量小，以有利于再生。</w:t>
            </w:r>
          </w:p>
          <w:p w14:paraId="45F2349A">
            <w:pPr>
              <w:keepNext w:val="0"/>
              <w:keepLines w:val="0"/>
              <w:pageBreakBefore w:val="0"/>
              <w:kinsoku/>
              <w:wordWrap/>
              <w:overflowPunct/>
              <w:topLinePunct w:val="0"/>
              <w:autoSpaceDE/>
              <w:autoSpaceDN/>
              <w:bidi w:val="0"/>
              <w:snapToGrid w:val="0"/>
              <w:spacing w:line="50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活性炭吸附法适用于大风量、低浓度、温度不高的有机废气治理，其能耗低、工艺成熟，效果可靠，是治理有机废气较为理想的方案。根据《大气中VOCs的污染现状及治理技术研究进展》（环境科学与管理，2012年第37卷第6期，曲茉莉）中数据，活性炭吸附对有机废气等的去除效率可达</w:t>
            </w:r>
            <w:r>
              <w:rPr>
                <w:rFonts w:hint="eastAsia" w:cs="Times New Roman"/>
                <w:color w:val="auto"/>
                <w:sz w:val="21"/>
                <w:szCs w:val="21"/>
                <w:lang w:val="en-US" w:eastAsia="zh-CN"/>
              </w:rPr>
              <w:t>80</w:t>
            </w:r>
            <w:r>
              <w:rPr>
                <w:rFonts w:hint="default" w:ascii="Times New Roman" w:hAnsi="Times New Roman" w:eastAsia="宋体" w:cs="Times New Roman"/>
                <w:color w:val="auto"/>
                <w:sz w:val="21"/>
                <w:szCs w:val="21"/>
                <w:lang w:val="en-US" w:eastAsia="zh-CN"/>
              </w:rPr>
              <w:t>%以上。</w:t>
            </w:r>
            <w:r>
              <w:rPr>
                <w:rFonts w:hint="default" w:ascii="Times New Roman" w:hAnsi="Times New Roman" w:cs="Times New Roman"/>
                <w:color w:val="auto"/>
                <w:sz w:val="21"/>
                <w:szCs w:val="21"/>
                <w:lang w:val="en-US" w:eastAsia="zh-CN"/>
              </w:rPr>
              <w:t>本项目采用二级活性炭，处理效率可达90%以上。</w:t>
            </w:r>
          </w:p>
          <w:p w14:paraId="64248CA3">
            <w:pPr>
              <w:keepNext w:val="0"/>
              <w:keepLines w:val="0"/>
              <w:pageBreakBefore w:val="0"/>
              <w:kinsoku/>
              <w:wordWrap/>
              <w:overflowPunct/>
              <w:topLinePunct w:val="0"/>
              <w:autoSpaceDE/>
              <w:autoSpaceDN/>
              <w:bidi w:val="0"/>
              <w:snapToGrid w:val="0"/>
              <w:spacing w:line="50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依据《省生态环境厅关于深入开展涉VOCs治理重点工作核查的通知》（苏环办</w:t>
            </w:r>
            <w:r>
              <w:rPr>
                <w:rFonts w:hint="default" w:ascii="Times New Roman" w:hAnsi="Times New Roman" w:eastAsia="宋体" w:cs="Times New Roman"/>
                <w:color w:val="auto"/>
                <w:sz w:val="21"/>
                <w:szCs w:val="21"/>
              </w:rPr>
              <w:t>〔202</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218号）文件，本项目使用的活性炭常规技术指标如下表所示</w:t>
            </w:r>
            <w:r>
              <w:rPr>
                <w:rFonts w:hint="eastAsia" w:cs="Times New Roman"/>
                <w:color w:val="auto"/>
                <w:sz w:val="21"/>
                <w:szCs w:val="21"/>
                <w:lang w:val="en-US" w:eastAsia="zh-CN"/>
              </w:rPr>
              <w:t>。</w:t>
            </w:r>
          </w:p>
          <w:p w14:paraId="2342C6DB">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rPr>
              <w:t>表4-</w:t>
            </w:r>
            <w:r>
              <w:rPr>
                <w:rFonts w:hint="default" w:ascii="Times New Roman" w:hAnsi="Times New Roman" w:cs="Times New Roman" w:eastAsiaTheme="minorEastAsia"/>
                <w:b/>
                <w:color w:val="auto"/>
                <w:kern w:val="0"/>
                <w:sz w:val="21"/>
                <w:szCs w:val="21"/>
                <w:lang w:val="en-US" w:eastAsia="zh-CN"/>
              </w:rPr>
              <w:t>2</w:t>
            </w:r>
            <w:r>
              <w:rPr>
                <w:rFonts w:hint="default" w:ascii="Times New Roman" w:hAnsi="Times New Roman" w:cs="Times New Roman" w:eastAsiaTheme="minorEastAsia"/>
                <w:b/>
                <w:color w:val="auto"/>
                <w:kern w:val="0"/>
                <w:sz w:val="21"/>
                <w:szCs w:val="21"/>
              </w:rPr>
              <w:t xml:space="preserve">  </w:t>
            </w:r>
            <w:r>
              <w:rPr>
                <w:rFonts w:hint="default" w:ascii="Times New Roman" w:hAnsi="Times New Roman" w:cs="Times New Roman" w:eastAsiaTheme="minorEastAsia"/>
                <w:b/>
                <w:color w:val="auto"/>
                <w:kern w:val="0"/>
                <w:sz w:val="21"/>
                <w:szCs w:val="21"/>
                <w:lang w:val="en-US" w:eastAsia="zh-CN"/>
              </w:rPr>
              <w:t>废气设施</w:t>
            </w:r>
            <w:r>
              <w:rPr>
                <w:rFonts w:hint="default" w:ascii="Times New Roman" w:hAnsi="Times New Roman" w:cs="Times New Roman" w:eastAsiaTheme="minorEastAsia"/>
                <w:b/>
                <w:color w:val="auto"/>
                <w:kern w:val="0"/>
                <w:sz w:val="21"/>
                <w:szCs w:val="21"/>
              </w:rPr>
              <w:t>主要参数</w:t>
            </w:r>
          </w:p>
          <w:tbl>
            <w:tblPr>
              <w:tblStyle w:val="32"/>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866"/>
              <w:gridCol w:w="4859"/>
            </w:tblGrid>
            <w:tr w14:paraId="441008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15" w:type="pct"/>
                  <w:tcBorders>
                    <w:tl2br w:val="nil"/>
                    <w:tr2bl w:val="nil"/>
                  </w:tcBorders>
                  <w:noWrap w:val="0"/>
                  <w:vAlign w:val="center"/>
                </w:tcPr>
                <w:p w14:paraId="3F12AEFA">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参数类型</w:t>
                  </w:r>
                </w:p>
              </w:tc>
              <w:tc>
                <w:tcPr>
                  <w:tcW w:w="2784" w:type="pct"/>
                  <w:tcBorders>
                    <w:tl2br w:val="nil"/>
                    <w:tr2bl w:val="nil"/>
                  </w:tcBorders>
                  <w:noWrap w:val="0"/>
                  <w:vAlign w:val="center"/>
                </w:tcPr>
                <w:p w14:paraId="58D7FFB4">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活性炭箱</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TA001）</w:t>
                  </w:r>
                </w:p>
              </w:tc>
            </w:tr>
            <w:tr w14:paraId="7A4608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215" w:type="pct"/>
                  <w:tcBorders>
                    <w:tl2br w:val="nil"/>
                    <w:tr2bl w:val="nil"/>
                  </w:tcBorders>
                  <w:noWrap w:val="0"/>
                  <w:vAlign w:val="center"/>
                </w:tcPr>
                <w:p w14:paraId="707A5FD2">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箱体型式</w:t>
                  </w:r>
                </w:p>
              </w:tc>
              <w:tc>
                <w:tcPr>
                  <w:tcW w:w="2784" w:type="pct"/>
                  <w:tcBorders>
                    <w:tl2br w:val="nil"/>
                    <w:tr2bl w:val="nil"/>
                  </w:tcBorders>
                  <w:noWrap w:val="0"/>
                  <w:vAlign w:val="center"/>
                </w:tcPr>
                <w:p w14:paraId="6F688AB4">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卧式活性炭箱</w:t>
                  </w:r>
                </w:p>
              </w:tc>
            </w:tr>
            <w:tr w14:paraId="260D63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215" w:type="pct"/>
                  <w:tcBorders>
                    <w:tl2br w:val="nil"/>
                    <w:tr2bl w:val="nil"/>
                  </w:tcBorders>
                  <w:noWrap w:val="0"/>
                  <w:vAlign w:val="center"/>
                </w:tcPr>
                <w:p w14:paraId="72C2B544">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活性炭种类</w:t>
                  </w:r>
                </w:p>
              </w:tc>
              <w:tc>
                <w:tcPr>
                  <w:tcW w:w="2784" w:type="pct"/>
                  <w:tcBorders>
                    <w:tl2br w:val="nil"/>
                    <w:tr2bl w:val="nil"/>
                  </w:tcBorders>
                  <w:noWrap w:val="0"/>
                  <w:vAlign w:val="center"/>
                </w:tcPr>
                <w:p w14:paraId="159AB868">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颗粒活性炭</w:t>
                  </w:r>
                </w:p>
              </w:tc>
            </w:tr>
            <w:tr w14:paraId="3AED17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215" w:type="pct"/>
                  <w:tcBorders>
                    <w:tl2br w:val="nil"/>
                    <w:tr2bl w:val="nil"/>
                  </w:tcBorders>
                  <w:noWrap w:val="0"/>
                  <w:vAlign w:val="center"/>
                </w:tcPr>
                <w:p w14:paraId="7407FEDE">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箱体</w:t>
                  </w:r>
                  <w:r>
                    <w:rPr>
                      <w:rFonts w:hint="default" w:ascii="Times New Roman" w:hAnsi="Times New Roman" w:cs="Times New Roman" w:eastAsiaTheme="minorEastAsia"/>
                      <w:color w:val="auto"/>
                      <w:sz w:val="21"/>
                      <w:szCs w:val="21"/>
                    </w:rPr>
                    <w:t>规格尺寸/mm</w:t>
                  </w:r>
                </w:p>
              </w:tc>
              <w:tc>
                <w:tcPr>
                  <w:tcW w:w="2784" w:type="pct"/>
                  <w:tcBorders>
                    <w:tl2br w:val="nil"/>
                    <w:tr2bl w:val="nil"/>
                  </w:tcBorders>
                  <w:noWrap w:val="0"/>
                  <w:vAlign w:val="center"/>
                </w:tcPr>
                <w:p w14:paraId="356C6A05">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2*（2</w:t>
                  </w:r>
                  <w:r>
                    <w:rPr>
                      <w:rFonts w:hint="eastAsia" w:cs="Times New Roman" w:eastAsiaTheme="minorEastAsia"/>
                      <w:color w:val="auto"/>
                      <w:sz w:val="21"/>
                      <w:szCs w:val="21"/>
                      <w:lang w:val="en-US" w:eastAsia="zh-CN"/>
                    </w:rPr>
                    <w:t>0</w:t>
                  </w:r>
                  <w:r>
                    <w:rPr>
                      <w:rFonts w:hint="default" w:ascii="Times New Roman" w:hAnsi="Times New Roman" w:cs="Times New Roman" w:eastAsiaTheme="minorEastAsia"/>
                      <w:color w:val="auto"/>
                      <w:sz w:val="21"/>
                      <w:szCs w:val="21"/>
                      <w:lang w:val="en-US" w:eastAsia="zh-CN"/>
                    </w:rPr>
                    <w:t>00</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lang w:val="en-US" w:eastAsia="zh-CN"/>
                    </w:rPr>
                    <w:t>0</w:t>
                  </w:r>
                  <w:r>
                    <w:rPr>
                      <w:rFonts w:hint="default" w:ascii="Times New Roman" w:hAnsi="Times New Roman" w:cs="Times New Roman" w:eastAsiaTheme="minorEastAsia"/>
                      <w:color w:val="auto"/>
                      <w:sz w:val="21"/>
                      <w:szCs w:val="21"/>
                    </w:rPr>
                    <w:t>0*</w:t>
                  </w:r>
                  <w:r>
                    <w:rPr>
                      <w:rFonts w:hint="default" w:ascii="Times New Roman" w:hAnsi="Times New Roman" w:cs="Times New Roman" w:eastAsiaTheme="minorEastAsia"/>
                      <w:color w:val="auto"/>
                      <w:sz w:val="21"/>
                      <w:szCs w:val="21"/>
                      <w:lang w:val="en-US" w:eastAsia="zh-CN"/>
                    </w:rPr>
                    <w:t>12</w:t>
                  </w:r>
                  <w:r>
                    <w:rPr>
                      <w:rFonts w:hint="default" w:ascii="Times New Roman" w:hAnsi="Times New Roman" w:cs="Times New Roman" w:eastAsiaTheme="minorEastAsia"/>
                      <w:color w:val="auto"/>
                      <w:sz w:val="21"/>
                      <w:szCs w:val="21"/>
                    </w:rPr>
                    <w:t>0</w:t>
                  </w:r>
                  <w:r>
                    <w:rPr>
                      <w:rFonts w:hint="default" w:ascii="Times New Roman" w:hAnsi="Times New Roman" w:cs="Times New Roman" w:eastAsiaTheme="minorEastAsia"/>
                      <w:color w:val="auto"/>
                      <w:sz w:val="21"/>
                      <w:szCs w:val="21"/>
                      <w:lang w:val="en-US" w:eastAsia="zh-CN"/>
                    </w:rPr>
                    <w:t>0</w:t>
                  </w:r>
                  <w:r>
                    <w:rPr>
                      <w:rFonts w:hint="default" w:ascii="Times New Roman" w:hAnsi="Times New Roman" w:cs="Times New Roman" w:eastAsiaTheme="minorEastAsia"/>
                      <w:color w:val="auto"/>
                      <w:sz w:val="21"/>
                      <w:szCs w:val="21"/>
                    </w:rPr>
                    <w:t>mm</w:t>
                  </w:r>
                  <w:r>
                    <w:rPr>
                      <w:rFonts w:hint="default" w:ascii="Times New Roman" w:hAnsi="Times New Roman" w:cs="Times New Roman" w:eastAsiaTheme="minorEastAsia"/>
                      <w:color w:val="auto"/>
                      <w:sz w:val="21"/>
                      <w:szCs w:val="21"/>
                      <w:lang w:val="en-US" w:eastAsia="zh-CN"/>
                    </w:rPr>
                    <w:t>）</w:t>
                  </w:r>
                </w:p>
              </w:tc>
            </w:tr>
            <w:tr w14:paraId="4DE239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215" w:type="pct"/>
                  <w:tcBorders>
                    <w:tl2br w:val="nil"/>
                    <w:tr2bl w:val="nil"/>
                  </w:tcBorders>
                  <w:noWrap w:val="0"/>
                  <w:vAlign w:val="center"/>
                </w:tcPr>
                <w:p w14:paraId="1702A9A0">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抽屉数</w:t>
                  </w:r>
                </w:p>
              </w:tc>
              <w:tc>
                <w:tcPr>
                  <w:tcW w:w="2784" w:type="pct"/>
                  <w:tcBorders>
                    <w:tl2br w:val="nil"/>
                    <w:tr2bl w:val="nil"/>
                  </w:tcBorders>
                  <w:noWrap w:val="0"/>
                  <w:vAlign w:val="center"/>
                </w:tcPr>
                <w:p w14:paraId="2D44BDCE">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12*2</w:t>
                  </w:r>
                </w:p>
              </w:tc>
            </w:tr>
            <w:tr w14:paraId="716CFE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215" w:type="pct"/>
                  <w:tcBorders>
                    <w:tl2br w:val="nil"/>
                    <w:tr2bl w:val="nil"/>
                  </w:tcBorders>
                  <w:noWrap w:val="0"/>
                  <w:vAlign w:val="center"/>
                </w:tcPr>
                <w:p w14:paraId="35B1B5A1">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活性炭</w:t>
                  </w:r>
                  <w:r>
                    <w:rPr>
                      <w:rFonts w:hint="default" w:ascii="Times New Roman" w:hAnsi="Times New Roman" w:cs="Times New Roman" w:eastAsiaTheme="minorEastAsia"/>
                      <w:color w:val="auto"/>
                      <w:sz w:val="21"/>
                      <w:szCs w:val="21"/>
                      <w:lang w:val="en-US" w:eastAsia="zh-CN"/>
                    </w:rPr>
                    <w:t>总</w:t>
                  </w:r>
                  <w:r>
                    <w:rPr>
                      <w:rFonts w:hint="default" w:ascii="Times New Roman" w:hAnsi="Times New Roman" w:cs="Times New Roman" w:eastAsiaTheme="minorEastAsia"/>
                      <w:color w:val="auto"/>
                      <w:sz w:val="21"/>
                      <w:szCs w:val="21"/>
                    </w:rPr>
                    <w:t>装填量</w:t>
                  </w:r>
                </w:p>
              </w:tc>
              <w:tc>
                <w:tcPr>
                  <w:tcW w:w="2784" w:type="pct"/>
                  <w:tcBorders>
                    <w:tl2br w:val="nil"/>
                    <w:tr2bl w:val="nil"/>
                  </w:tcBorders>
                  <w:noWrap w:val="0"/>
                  <w:vAlign w:val="center"/>
                </w:tcPr>
                <w:p w14:paraId="087B1692">
                  <w:pPr>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2.3</w:t>
                  </w:r>
                  <w:r>
                    <w:rPr>
                      <w:rFonts w:hint="default" w:ascii="Times New Roman" w:hAnsi="Times New Roman" w:cs="Times New Roman" w:eastAsiaTheme="minorEastAsia"/>
                      <w:color w:val="auto"/>
                      <w:sz w:val="21"/>
                      <w:szCs w:val="21"/>
                      <w:lang w:val="en-US" w:eastAsia="zh-CN"/>
                    </w:rPr>
                    <w:t>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lang w:val="en-US" w:eastAsia="zh-CN"/>
                    </w:rPr>
                    <w:t>（约</w:t>
                  </w:r>
                  <w:r>
                    <w:rPr>
                      <w:rFonts w:hint="eastAsia" w:cs="Times New Roman" w:eastAsiaTheme="minorEastAsia"/>
                      <w:color w:val="auto"/>
                      <w:sz w:val="21"/>
                      <w:szCs w:val="21"/>
                      <w:lang w:val="en-US" w:eastAsia="zh-CN"/>
                    </w:rPr>
                    <w:t>0.9</w:t>
                  </w:r>
                  <w:r>
                    <w:rPr>
                      <w:rFonts w:hint="default" w:ascii="Times New Roman" w:hAnsi="Times New Roman" w:cs="Times New Roman" w:eastAsiaTheme="minorEastAsia"/>
                      <w:color w:val="auto"/>
                      <w:sz w:val="21"/>
                      <w:szCs w:val="21"/>
                      <w:lang w:val="en-US" w:eastAsia="zh-CN"/>
                    </w:rPr>
                    <w:t>t）</w:t>
                  </w:r>
                </w:p>
              </w:tc>
            </w:tr>
            <w:tr w14:paraId="48798D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215" w:type="pct"/>
                  <w:tcBorders>
                    <w:tl2br w:val="nil"/>
                    <w:tr2bl w:val="nil"/>
                  </w:tcBorders>
                  <w:noWrap w:val="0"/>
                  <w:vAlign w:val="center"/>
                </w:tcPr>
                <w:p w14:paraId="7850584A">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活性炭更换周期</w:t>
                  </w:r>
                </w:p>
              </w:tc>
              <w:tc>
                <w:tcPr>
                  <w:tcW w:w="2784" w:type="pct"/>
                  <w:tcBorders>
                    <w:tl2br w:val="nil"/>
                    <w:tr2bl w:val="nil"/>
                  </w:tcBorders>
                  <w:noWrap w:val="0"/>
                  <w:vAlign w:val="center"/>
                </w:tcPr>
                <w:p w14:paraId="3CC07E35">
                  <w:pPr>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12</w:t>
                  </w:r>
                  <w:r>
                    <w:rPr>
                      <w:rFonts w:hint="default" w:ascii="Times New Roman" w:hAnsi="Times New Roman" w:cs="Times New Roman" w:eastAsiaTheme="minorEastAsia"/>
                      <w:color w:val="auto"/>
                      <w:sz w:val="21"/>
                      <w:szCs w:val="21"/>
                    </w:rPr>
                    <w:t>次/</w:t>
                  </w:r>
                  <w:r>
                    <w:rPr>
                      <w:rFonts w:hint="default" w:ascii="Times New Roman" w:hAnsi="Times New Roman" w:cs="Times New Roman" w:eastAsiaTheme="minorEastAsia"/>
                      <w:color w:val="auto"/>
                      <w:sz w:val="21"/>
                      <w:szCs w:val="21"/>
                      <w:lang w:val="en-US" w:eastAsia="zh-CN"/>
                    </w:rPr>
                    <w:t>年</w:t>
                  </w:r>
                </w:p>
              </w:tc>
            </w:tr>
            <w:tr w14:paraId="3559CA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215" w:type="pct"/>
                  <w:tcBorders>
                    <w:tl2br w:val="nil"/>
                    <w:tr2bl w:val="nil"/>
                  </w:tcBorders>
                  <w:noWrap w:val="0"/>
                  <w:vAlign w:val="center"/>
                </w:tcPr>
                <w:p w14:paraId="791DA2CD">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处理风量</w:t>
                  </w:r>
                </w:p>
              </w:tc>
              <w:tc>
                <w:tcPr>
                  <w:tcW w:w="2784" w:type="pct"/>
                  <w:tcBorders>
                    <w:tl2br w:val="nil"/>
                    <w:tr2bl w:val="nil"/>
                  </w:tcBorders>
                  <w:noWrap w:val="0"/>
                  <w:vAlign w:val="center"/>
                </w:tcPr>
                <w:p w14:paraId="6867DA60">
                  <w:pPr>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12000</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/h</w:t>
                  </w:r>
                </w:p>
              </w:tc>
            </w:tr>
            <w:tr w14:paraId="4E47DC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215" w:type="pct"/>
                  <w:tcBorders>
                    <w:tl2br w:val="nil"/>
                    <w:tr2bl w:val="nil"/>
                  </w:tcBorders>
                  <w:noWrap w:val="0"/>
                  <w:vAlign w:val="center"/>
                </w:tcPr>
                <w:p w14:paraId="6AD8A86E">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空气流速</w:t>
                  </w:r>
                </w:p>
              </w:tc>
              <w:tc>
                <w:tcPr>
                  <w:tcW w:w="2784" w:type="pct"/>
                  <w:tcBorders>
                    <w:tl2br w:val="nil"/>
                    <w:tr2bl w:val="nil"/>
                  </w:tcBorders>
                  <w:noWrap w:val="0"/>
                  <w:vAlign w:val="center"/>
                </w:tcPr>
                <w:p w14:paraId="1FD54C6A">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highlight w:val="none"/>
                      <w:lang w:val="en-US" w:eastAsia="zh-CN"/>
                    </w:rPr>
                    <w:t>0.6m/s</w:t>
                  </w:r>
                </w:p>
              </w:tc>
            </w:tr>
            <w:tr w14:paraId="7D9D22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215" w:type="pct"/>
                  <w:tcBorders>
                    <w:tl2br w:val="nil"/>
                    <w:tr2bl w:val="nil"/>
                  </w:tcBorders>
                  <w:noWrap w:val="0"/>
                  <w:vAlign w:val="center"/>
                </w:tcPr>
                <w:p w14:paraId="0713CBC5">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装填密度</w:t>
                  </w:r>
                </w:p>
              </w:tc>
              <w:tc>
                <w:tcPr>
                  <w:tcW w:w="2784" w:type="pct"/>
                  <w:tcBorders>
                    <w:tl2br w:val="nil"/>
                    <w:tr2bl w:val="nil"/>
                  </w:tcBorders>
                  <w:noWrap w:val="0"/>
                  <w:vAlign w:val="center"/>
                </w:tcPr>
                <w:p w14:paraId="233EB34D">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0.4g/cm</w:t>
                  </w:r>
                  <w:r>
                    <w:rPr>
                      <w:rFonts w:hint="default" w:ascii="Times New Roman" w:hAnsi="Times New Roman" w:cs="Times New Roman" w:eastAsiaTheme="minorEastAsia"/>
                      <w:color w:val="auto"/>
                      <w:sz w:val="21"/>
                      <w:szCs w:val="21"/>
                      <w:highlight w:val="none"/>
                      <w:vertAlign w:val="superscript"/>
                      <w:lang w:val="en-US" w:eastAsia="zh-CN"/>
                    </w:rPr>
                    <w:t>3</w:t>
                  </w:r>
                </w:p>
              </w:tc>
            </w:tr>
            <w:tr w14:paraId="700299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215" w:type="pct"/>
                  <w:tcBorders>
                    <w:tl2br w:val="nil"/>
                    <w:tr2bl w:val="nil"/>
                  </w:tcBorders>
                  <w:noWrap w:val="0"/>
                  <w:vAlign w:val="center"/>
                </w:tcPr>
                <w:p w14:paraId="3BC0A876">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废气进口温度</w:t>
                  </w:r>
                </w:p>
              </w:tc>
              <w:tc>
                <w:tcPr>
                  <w:tcW w:w="2784" w:type="pct"/>
                  <w:tcBorders>
                    <w:tl2br w:val="nil"/>
                    <w:tr2bl w:val="nil"/>
                  </w:tcBorders>
                  <w:noWrap w:val="0"/>
                  <w:vAlign w:val="center"/>
                </w:tcPr>
                <w:p w14:paraId="3E679CBF">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20</w:t>
                  </w:r>
                  <w:r>
                    <w:rPr>
                      <w:rFonts w:hint="default" w:ascii="Times New Roman" w:hAnsi="Times New Roman" w:cs="Times New Roman" w:eastAsiaTheme="minorEastAsia"/>
                      <w:color w:val="auto"/>
                      <w:sz w:val="21"/>
                      <w:szCs w:val="21"/>
                    </w:rPr>
                    <w:t>℃</w:t>
                  </w:r>
                </w:p>
              </w:tc>
            </w:tr>
            <w:tr w14:paraId="52605E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215" w:type="pct"/>
                  <w:tcBorders>
                    <w:tl2br w:val="nil"/>
                    <w:tr2bl w:val="nil"/>
                  </w:tcBorders>
                  <w:noWrap w:val="0"/>
                  <w:vAlign w:val="center"/>
                </w:tcPr>
                <w:p w14:paraId="0F831EB6">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碘</w:t>
                  </w:r>
                  <w:r>
                    <w:rPr>
                      <w:rFonts w:hint="default" w:ascii="Times New Roman" w:hAnsi="Times New Roman" w:cs="Times New Roman" w:eastAsiaTheme="minorEastAsia"/>
                      <w:color w:val="auto"/>
                      <w:sz w:val="21"/>
                      <w:szCs w:val="21"/>
                      <w:lang w:val="en-US" w:eastAsia="zh-CN"/>
                    </w:rPr>
                    <w:t>吸附</w:t>
                  </w:r>
                  <w:r>
                    <w:rPr>
                      <w:rFonts w:hint="default" w:ascii="Times New Roman" w:hAnsi="Times New Roman" w:cs="Times New Roman" w:eastAsiaTheme="minorEastAsia"/>
                      <w:color w:val="auto"/>
                      <w:sz w:val="21"/>
                      <w:szCs w:val="21"/>
                    </w:rPr>
                    <w:t>值</w:t>
                  </w:r>
                </w:p>
              </w:tc>
              <w:tc>
                <w:tcPr>
                  <w:tcW w:w="2784" w:type="pct"/>
                  <w:tcBorders>
                    <w:tl2br w:val="nil"/>
                    <w:tr2bl w:val="nil"/>
                  </w:tcBorders>
                  <w:noWrap w:val="0"/>
                  <w:vAlign w:val="center"/>
                </w:tcPr>
                <w:p w14:paraId="107FB0C7">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≥800</w:t>
                  </w:r>
                  <w:r>
                    <w:rPr>
                      <w:rFonts w:hint="default" w:ascii="Times New Roman" w:hAnsi="Times New Roman" w:cs="Times New Roman" w:eastAsiaTheme="minorEastAsia"/>
                      <w:color w:val="auto"/>
                      <w:sz w:val="21"/>
                      <w:szCs w:val="21"/>
                    </w:rPr>
                    <w:t>mg/g</w:t>
                  </w:r>
                </w:p>
              </w:tc>
            </w:tr>
            <w:tr w14:paraId="47B64E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215" w:type="pct"/>
                  <w:tcBorders>
                    <w:tl2br w:val="nil"/>
                    <w:tr2bl w:val="nil"/>
                  </w:tcBorders>
                  <w:noWrap w:val="0"/>
                  <w:vAlign w:val="center"/>
                </w:tcPr>
                <w:p w14:paraId="7487F717">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比表面积</w:t>
                  </w:r>
                </w:p>
              </w:tc>
              <w:tc>
                <w:tcPr>
                  <w:tcW w:w="2784" w:type="pct"/>
                  <w:tcBorders>
                    <w:tl2br w:val="nil"/>
                    <w:tr2bl w:val="nil"/>
                  </w:tcBorders>
                  <w:noWrap w:val="0"/>
                  <w:vAlign w:val="center"/>
                </w:tcPr>
                <w:p w14:paraId="759F44C8">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≥850m</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lang w:val="en-US" w:eastAsia="zh-CN"/>
                    </w:rPr>
                    <w:t>/g</w:t>
                  </w:r>
                </w:p>
              </w:tc>
            </w:tr>
          </w:tbl>
          <w:p w14:paraId="7123B3B2">
            <w:pPr>
              <w:adjustRightInd w:val="0"/>
              <w:snapToGrid w:val="0"/>
              <w:spacing w:line="500" w:lineRule="exact"/>
              <w:ind w:firstLine="420" w:firstLineChars="20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2）无组织废气</w:t>
            </w:r>
          </w:p>
          <w:p w14:paraId="7E39F2AD">
            <w:pPr>
              <w:adjustRightInd w:val="0"/>
              <w:snapToGrid w:val="0"/>
              <w:spacing w:line="500" w:lineRule="exact"/>
              <w:ind w:firstLine="420" w:firstLineChars="200"/>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项目</w:t>
            </w:r>
            <w:r>
              <w:rPr>
                <w:rFonts w:hint="default" w:ascii="Times New Roman" w:hAnsi="Times New Roman" w:cs="Times New Roman"/>
                <w:color w:val="auto"/>
                <w:sz w:val="21"/>
                <w:szCs w:val="21"/>
                <w:highlight w:val="none"/>
                <w:lang w:val="en-US" w:eastAsia="zh-CN"/>
              </w:rPr>
              <w:t>未捕集</w:t>
            </w:r>
            <w:r>
              <w:rPr>
                <w:rFonts w:hint="eastAsia" w:cs="Times New Roman"/>
                <w:color w:val="auto"/>
                <w:sz w:val="21"/>
                <w:szCs w:val="21"/>
                <w:highlight w:val="none"/>
                <w:lang w:val="en-US" w:eastAsia="zh-CN"/>
              </w:rPr>
              <w:t>的</w:t>
            </w:r>
            <w:r>
              <w:rPr>
                <w:rFonts w:hint="eastAsia" w:ascii="Times New Roman" w:hAnsi="Times New Roman" w:eastAsia="宋体" w:cs="Times New Roman"/>
                <w:color w:val="auto"/>
                <w:kern w:val="2"/>
                <w:sz w:val="21"/>
                <w:szCs w:val="21"/>
                <w:lang w:val="en-US" w:eastAsia="zh-CN" w:bidi="ar-SA"/>
              </w:rPr>
              <w:t>印刷、复合、熟化废气</w:t>
            </w:r>
            <w:r>
              <w:rPr>
                <w:rFonts w:hint="eastAsia" w:cs="Times New Roman"/>
                <w:color w:val="auto"/>
                <w:sz w:val="21"/>
                <w:szCs w:val="21"/>
                <w:highlight w:val="none"/>
                <w:lang w:val="en-US" w:eastAsia="zh-CN"/>
              </w:rPr>
              <w:t>在车间内无组织排放</w:t>
            </w:r>
            <w:r>
              <w:rPr>
                <w:rFonts w:hint="default" w:ascii="Times New Roman" w:hAnsi="Times New Roman" w:cs="Times New Roman"/>
                <w:color w:val="auto"/>
                <w:sz w:val="21"/>
                <w:szCs w:val="21"/>
                <w:highlight w:val="none"/>
              </w:rPr>
              <w:t>。</w:t>
            </w:r>
          </w:p>
          <w:p w14:paraId="1A56DE8A">
            <w:pPr>
              <w:adjustRightInd w:val="0"/>
              <w:snapToGrid w:val="0"/>
              <w:spacing w:line="500" w:lineRule="exact"/>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通过采取以下措施减少废气无组织排放：尽量提高生产设施废气产生工段的密闭性，尽可能多</w:t>
            </w:r>
            <w:r>
              <w:rPr>
                <w:rFonts w:hint="eastAsia" w:cs="Times New Roman"/>
                <w:color w:val="auto"/>
                <w:sz w:val="21"/>
                <w:szCs w:val="21"/>
                <w:highlight w:val="none"/>
                <w:lang w:val="en-US" w:eastAsia="zh-CN"/>
              </w:rPr>
              <w:t>地</w:t>
            </w:r>
            <w:r>
              <w:rPr>
                <w:rFonts w:hint="default" w:ascii="Times New Roman" w:hAnsi="Times New Roman" w:cs="Times New Roman"/>
                <w:color w:val="auto"/>
                <w:sz w:val="21"/>
                <w:szCs w:val="21"/>
                <w:highlight w:val="none"/>
                <w:lang w:val="en-US" w:eastAsia="zh-CN"/>
              </w:rPr>
              <w:t>捕集产生的废气以减少无组织的产生量；选用高质量的设备和管件，提高安装质量，定期对</w:t>
            </w:r>
            <w:r>
              <w:rPr>
                <w:rFonts w:hint="eastAsia" w:cs="Times New Roman"/>
                <w:color w:val="auto"/>
                <w:sz w:val="21"/>
                <w:szCs w:val="21"/>
                <w:highlight w:val="none"/>
                <w:lang w:val="en-US" w:eastAsia="zh-CN"/>
              </w:rPr>
              <w:t>风机、废气管道</w:t>
            </w:r>
            <w:r>
              <w:rPr>
                <w:rFonts w:hint="default" w:ascii="Times New Roman" w:hAnsi="Times New Roman" w:cs="Times New Roman"/>
                <w:color w:val="auto"/>
                <w:sz w:val="21"/>
                <w:szCs w:val="21"/>
                <w:highlight w:val="none"/>
                <w:lang w:val="en-US" w:eastAsia="zh-CN"/>
              </w:rPr>
              <w:t>进行检修维护。</w:t>
            </w:r>
          </w:p>
          <w:p w14:paraId="75905811">
            <w:pPr>
              <w:adjustRightInd w:val="0"/>
              <w:snapToGrid w:val="0"/>
              <w:spacing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3）技术可行性论证</w:t>
            </w:r>
          </w:p>
          <w:p w14:paraId="58C106DA">
            <w:pPr>
              <w:adjustRightInd w:val="0"/>
              <w:snapToGrid w:val="0"/>
              <w:spacing w:line="500" w:lineRule="exact"/>
              <w:ind w:firstLine="420" w:firstLineChars="200"/>
              <w:rPr>
                <w:rFonts w:hint="default" w:ascii="Times New Roman" w:hAnsi="Times New Roman" w:cs="Times New Roman"/>
                <w:bCs/>
                <w:color w:val="auto"/>
                <w:sz w:val="21"/>
                <w:szCs w:val="21"/>
              </w:rPr>
            </w:pPr>
            <w:r>
              <w:rPr>
                <w:rFonts w:hint="eastAsia" w:ascii="Times New Roman" w:hAnsi="Times New Roman" w:cs="Times New Roman"/>
                <w:color w:val="auto"/>
                <w:sz w:val="21"/>
                <w:szCs w:val="21"/>
                <w:highlight w:val="none"/>
                <w:lang w:val="en-US" w:eastAsia="zh-CN"/>
              </w:rPr>
              <w:t>本项目</w:t>
            </w:r>
            <w:r>
              <w:rPr>
                <w:rFonts w:hint="eastAsia" w:cs="Times New Roman"/>
                <w:color w:val="auto"/>
                <w:sz w:val="21"/>
                <w:szCs w:val="21"/>
                <w:highlight w:val="none"/>
                <w:lang w:val="en-US" w:eastAsia="zh-CN"/>
              </w:rPr>
              <w:t>废气主要为</w:t>
            </w:r>
            <w:r>
              <w:rPr>
                <w:rFonts w:hint="eastAsia" w:cs="Times New Roman"/>
                <w:bCs/>
                <w:color w:val="auto"/>
                <w:kern w:val="2"/>
                <w:sz w:val="21"/>
                <w:szCs w:val="21"/>
                <w:lang w:val="en-US" w:eastAsia="zh-CN" w:bidi="ar-SA"/>
              </w:rPr>
              <w:t>非甲烷总烃</w:t>
            </w:r>
            <w:r>
              <w:rPr>
                <w:rFonts w:hint="eastAsia" w:ascii="Times New Roman" w:hAnsi="Times New Roman" w:cs="Times New Roman"/>
                <w:bCs/>
                <w:color w:val="auto"/>
                <w:kern w:val="2"/>
                <w:sz w:val="21"/>
                <w:szCs w:val="21"/>
                <w:lang w:val="en-US" w:eastAsia="zh-CN" w:bidi="ar-SA"/>
              </w:rPr>
              <w:t>废气，</w:t>
            </w:r>
            <w:r>
              <w:rPr>
                <w:rFonts w:hint="eastAsia" w:cs="Times New Roman"/>
                <w:bCs/>
                <w:color w:val="auto"/>
                <w:kern w:val="2"/>
                <w:sz w:val="21"/>
                <w:szCs w:val="21"/>
                <w:lang w:val="en-US" w:eastAsia="zh-CN" w:bidi="ar-SA"/>
              </w:rPr>
              <w:t>参</w:t>
            </w:r>
            <w:r>
              <w:rPr>
                <w:rFonts w:hint="eastAsia" w:ascii="Times New Roman" w:hAnsi="Times New Roman" w:eastAsia="宋体" w:cs="Times New Roman"/>
                <w:color w:val="auto"/>
                <w:sz w:val="21"/>
                <w:szCs w:val="21"/>
                <w:lang w:val="en-US" w:eastAsia="zh-CN"/>
              </w:rPr>
              <w:t>照《排污许可证申请与核发技术规范橡胶和塑料制品工业》（HJ1122-2020）</w:t>
            </w:r>
            <w:r>
              <w:rPr>
                <w:rFonts w:hint="default" w:ascii="Times New Roman" w:hAnsi="Times New Roman" w:eastAsia="宋体" w:cs="Times New Roman"/>
                <w:color w:val="auto"/>
                <w:sz w:val="21"/>
                <w:szCs w:val="21"/>
                <w:lang w:val="en-US" w:eastAsia="zh-CN"/>
              </w:rPr>
              <w:t>中废气污染治理推荐可行技术清单，</w:t>
            </w:r>
            <w:r>
              <w:rPr>
                <w:rFonts w:hint="default" w:ascii="Times New Roman" w:hAnsi="Times New Roman" w:cs="Times New Roman"/>
                <w:color w:val="auto"/>
                <w:sz w:val="21"/>
                <w:szCs w:val="21"/>
                <w:highlight w:val="none"/>
                <w:lang w:val="en-US" w:eastAsia="zh-CN"/>
              </w:rPr>
              <w:t>挥发性有机物采用</w:t>
            </w:r>
            <w:r>
              <w:rPr>
                <w:rFonts w:hint="eastAsia" w:cs="Times New Roman"/>
                <w:color w:val="auto"/>
                <w:sz w:val="21"/>
                <w:szCs w:val="21"/>
                <w:lang w:val="en-US" w:eastAsia="zh-CN"/>
              </w:rPr>
              <w:t>二级活性炭吸附装置处理</w:t>
            </w:r>
            <w:r>
              <w:rPr>
                <w:rFonts w:hint="default" w:ascii="Times New Roman" w:hAnsi="Times New Roman" w:cs="Times New Roman"/>
                <w:color w:val="auto"/>
                <w:sz w:val="21"/>
                <w:szCs w:val="21"/>
                <w:lang w:val="en-US" w:eastAsia="zh-CN"/>
              </w:rPr>
              <w:t>为可行技术</w:t>
            </w:r>
            <w:r>
              <w:rPr>
                <w:rFonts w:hint="default" w:ascii="Times New Roman" w:hAnsi="Times New Roman" w:eastAsia="宋体" w:cs="Times New Roman"/>
                <w:color w:val="auto"/>
                <w:sz w:val="21"/>
                <w:szCs w:val="21"/>
                <w:lang w:val="en-US" w:eastAsia="zh-CN"/>
              </w:rPr>
              <w:t>。因</w:t>
            </w:r>
            <w:r>
              <w:rPr>
                <w:rFonts w:hint="default" w:ascii="Times New Roman" w:hAnsi="Times New Roman" w:cs="Times New Roman"/>
                <w:color w:val="auto"/>
                <w:sz w:val="21"/>
                <w:szCs w:val="21"/>
                <w:lang w:val="en-US" w:eastAsia="zh-CN"/>
              </w:rPr>
              <w:t>此</w:t>
            </w:r>
            <w:r>
              <w:rPr>
                <w:rFonts w:hint="default" w:ascii="Times New Roman" w:hAnsi="Times New Roman" w:cs="Times New Roman"/>
                <w:color w:val="auto"/>
                <w:sz w:val="21"/>
                <w:szCs w:val="21"/>
              </w:rPr>
              <w:t>，本项目拟采取的废气处理措施是可行的。</w:t>
            </w:r>
          </w:p>
        </w:tc>
      </w:tr>
    </w:tbl>
    <w:p w14:paraId="73905F82">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rPr>
        <w:sectPr>
          <w:footerReference r:id="rId7" w:type="default"/>
          <w:pgSz w:w="11906" w:h="16838"/>
          <w:pgMar w:top="1417" w:right="1417" w:bottom="1417" w:left="1417" w:header="851" w:footer="1134" w:gutter="0"/>
          <w:pgBorders>
            <w:top w:val="none" w:sz="0" w:space="0"/>
            <w:left w:val="none" w:sz="0" w:space="0"/>
            <w:bottom w:val="none" w:sz="0" w:space="0"/>
            <w:right w:val="none" w:sz="0" w:space="0"/>
          </w:pgBorders>
          <w:pgNumType w:fmt="decimal"/>
          <w:cols w:space="720" w:num="1"/>
          <w:docGrid w:linePitch="312" w:charSpace="0"/>
        </w:sectPr>
      </w:pPr>
      <w:bookmarkStart w:id="13" w:name="_Toc9211"/>
    </w:p>
    <w:tbl>
      <w:tblPr>
        <w:tblStyle w:val="32"/>
        <w:tblW w:w="13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3175"/>
      </w:tblGrid>
      <w:tr w14:paraId="1C8B9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8" w:hRule="atLeast"/>
          <w:jc w:val="center"/>
        </w:trPr>
        <w:tc>
          <w:tcPr>
            <w:tcW w:w="562" w:type="dxa"/>
            <w:vAlign w:val="center"/>
          </w:tcPr>
          <w:p w14:paraId="762C8494">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运营</w:t>
            </w:r>
          </w:p>
          <w:p w14:paraId="2BB6B070">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期环</w:t>
            </w:r>
          </w:p>
          <w:p w14:paraId="1BF76853">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境影</w:t>
            </w:r>
          </w:p>
          <w:p w14:paraId="18593C3E">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响和</w:t>
            </w:r>
          </w:p>
          <w:p w14:paraId="4C269AE0">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保护</w:t>
            </w:r>
          </w:p>
          <w:p w14:paraId="59D4E977">
            <w:pPr>
              <w:adjustRightInd w:val="0"/>
              <w:snapToGrid w:val="0"/>
              <w:jc w:val="center"/>
              <w:rPr>
                <w:rFonts w:hint="default" w:ascii="Times New Roman" w:hAnsi="Times New Roman" w:eastAsia="黑体" w:cs="Times New Roman"/>
                <w:snapToGrid w:val="0"/>
                <w:color w:val="auto"/>
                <w:sz w:val="21"/>
                <w:szCs w:val="21"/>
                <w:vertAlign w:val="baseline"/>
              </w:rPr>
            </w:pPr>
            <w:r>
              <w:rPr>
                <w:rFonts w:hint="default" w:ascii="Times New Roman" w:hAnsi="Times New Roman" w:cs="Times New Roman"/>
                <w:bCs/>
                <w:color w:val="auto"/>
                <w:sz w:val="21"/>
                <w:szCs w:val="21"/>
              </w:rPr>
              <w:t>措施</w:t>
            </w:r>
          </w:p>
        </w:tc>
        <w:tc>
          <w:tcPr>
            <w:tcW w:w="13175" w:type="dxa"/>
          </w:tcPr>
          <w:p w14:paraId="6733B8F2">
            <w:pPr>
              <w:keepNext w:val="0"/>
              <w:keepLines w:val="0"/>
              <w:pageBreakBefore w:val="0"/>
              <w:widowControl w:val="0"/>
              <w:kinsoku/>
              <w:wordWrap/>
              <w:overflowPunct/>
              <w:topLinePunct w:val="0"/>
              <w:autoSpaceDE/>
              <w:autoSpaceDN/>
              <w:bidi w:val="0"/>
              <w:adjustRightInd w:val="0"/>
              <w:snapToGrid w:val="0"/>
              <w:spacing w:line="500" w:lineRule="exact"/>
              <w:ind w:firstLine="422" w:firstLineChars="200"/>
              <w:textAlignment w:val="auto"/>
              <w:rPr>
                <w:rFonts w:hint="default" w:ascii="Times New Roman" w:hAnsi="Times New Roman" w:cs="Times New Roman"/>
                <w:color w:val="auto"/>
                <w:sz w:val="21"/>
                <w:szCs w:val="21"/>
                <w:lang w:val="en-US"/>
              </w:rPr>
            </w:pPr>
            <w:r>
              <w:rPr>
                <w:rFonts w:hint="default" w:ascii="Times New Roman" w:hAnsi="Times New Roman"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废气</w:t>
            </w:r>
            <w:r>
              <w:rPr>
                <w:rFonts w:hint="default" w:ascii="Times New Roman" w:hAnsi="Times New Roman" w:eastAsia="宋体" w:cs="Times New Roman"/>
                <w:b/>
                <w:bCs/>
                <w:color w:val="auto"/>
                <w:sz w:val="21"/>
                <w:szCs w:val="21"/>
              </w:rPr>
              <w:t>排放</w:t>
            </w:r>
            <w:r>
              <w:rPr>
                <w:rFonts w:hint="default" w:ascii="Times New Roman" w:hAnsi="Times New Roman" w:cs="Times New Roman"/>
                <w:b/>
                <w:bCs/>
                <w:color w:val="auto"/>
                <w:sz w:val="21"/>
                <w:szCs w:val="21"/>
                <w:lang w:val="en-US" w:eastAsia="zh-CN"/>
              </w:rPr>
              <w:t>情况及达标情况分析</w:t>
            </w:r>
          </w:p>
          <w:p w14:paraId="13C1C04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rPr>
              <w:t>表4-</w:t>
            </w:r>
            <w:r>
              <w:rPr>
                <w:rFonts w:hint="default" w:ascii="Times New Roman" w:hAnsi="Times New Roman" w:cs="Times New Roman"/>
                <w:b/>
                <w:bCs/>
                <w:color w:val="auto"/>
                <w:sz w:val="21"/>
                <w:szCs w:val="21"/>
                <w:lang w:val="en-US" w:eastAsia="zh-CN"/>
              </w:rPr>
              <w:t>3</w:t>
            </w:r>
            <w:r>
              <w:rPr>
                <w:rFonts w:hint="default" w:ascii="Times New Roman" w:hAnsi="Times New Roman" w:cs="Times New Roman"/>
                <w:b/>
                <w:bCs/>
                <w:color w:val="auto"/>
                <w:sz w:val="21"/>
                <w:szCs w:val="21"/>
                <w:lang w:eastAsia="zh-CN"/>
              </w:rPr>
              <w:t>本项目</w:t>
            </w:r>
            <w:r>
              <w:rPr>
                <w:rFonts w:hint="default" w:ascii="Times New Roman" w:hAnsi="Times New Roman" w:cs="Times New Roman"/>
                <w:b/>
                <w:bCs/>
                <w:color w:val="auto"/>
                <w:sz w:val="21"/>
                <w:szCs w:val="21"/>
              </w:rPr>
              <w:t>有组织</w:t>
            </w:r>
            <w:r>
              <w:rPr>
                <w:rFonts w:hint="default" w:ascii="Times New Roman" w:hAnsi="Times New Roman" w:cs="Times New Roman"/>
                <w:b/>
                <w:bCs/>
                <w:color w:val="auto"/>
                <w:sz w:val="21"/>
                <w:szCs w:val="21"/>
                <w:lang w:val="en-US" w:eastAsia="zh-CN"/>
              </w:rPr>
              <w:t>排放大气污染物源强</w:t>
            </w:r>
            <w:r>
              <w:rPr>
                <w:rFonts w:hint="default" w:ascii="Times New Roman" w:hAnsi="Times New Roman" w:cs="Times New Roman"/>
                <w:b/>
                <w:bCs/>
                <w:color w:val="auto"/>
                <w:sz w:val="21"/>
                <w:szCs w:val="21"/>
              </w:rPr>
              <w:t>及排放</w:t>
            </w:r>
            <w:r>
              <w:rPr>
                <w:rFonts w:hint="default" w:ascii="Times New Roman" w:hAnsi="Times New Roman" w:cs="Times New Roman"/>
                <w:b/>
                <w:bCs/>
                <w:color w:val="auto"/>
                <w:sz w:val="21"/>
                <w:szCs w:val="21"/>
                <w:lang w:val="en-US" w:eastAsia="zh-CN"/>
              </w:rPr>
              <w:t>状况表</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70"/>
              <w:gridCol w:w="1055"/>
              <w:gridCol w:w="866"/>
              <w:gridCol w:w="985"/>
              <w:gridCol w:w="938"/>
              <w:gridCol w:w="915"/>
              <w:gridCol w:w="993"/>
              <w:gridCol w:w="596"/>
              <w:gridCol w:w="736"/>
              <w:gridCol w:w="887"/>
              <w:gridCol w:w="1021"/>
              <w:gridCol w:w="1164"/>
              <w:gridCol w:w="1172"/>
              <w:gridCol w:w="856"/>
            </w:tblGrid>
            <w:tr w14:paraId="4DE6C0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297" w:type="pct"/>
                  <w:vMerge w:val="restart"/>
                  <w:vAlign w:val="center"/>
                </w:tcPr>
                <w:p w14:paraId="2DFD2556">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排气筒编号</w:t>
                  </w:r>
                </w:p>
              </w:tc>
              <w:tc>
                <w:tcPr>
                  <w:tcW w:w="407" w:type="pct"/>
                  <w:vMerge w:val="restart"/>
                  <w:vAlign w:val="center"/>
                </w:tcPr>
                <w:p w14:paraId="27DDB34C">
                  <w:pPr>
                    <w:pStyle w:val="24"/>
                    <w:spacing w:after="0" w:line="240" w:lineRule="auto"/>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产污</w:t>
                  </w:r>
                </w:p>
                <w:p w14:paraId="4ED74535">
                  <w:pPr>
                    <w:pStyle w:val="24"/>
                    <w:spacing w:after="0" w:line="240" w:lineRule="auto"/>
                    <w:jc w:val="center"/>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lang w:val="en-US" w:eastAsia="zh-CN"/>
                    </w:rPr>
                    <w:t>环节</w:t>
                  </w:r>
                </w:p>
              </w:tc>
              <w:tc>
                <w:tcPr>
                  <w:tcW w:w="334" w:type="pct"/>
                  <w:vMerge w:val="restart"/>
                  <w:vAlign w:val="center"/>
                </w:tcPr>
                <w:p w14:paraId="0C8EAF0A">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污染物名称</w:t>
                  </w:r>
                </w:p>
              </w:tc>
              <w:tc>
                <w:tcPr>
                  <w:tcW w:w="1095" w:type="pct"/>
                  <w:gridSpan w:val="3"/>
                  <w:vAlign w:val="center"/>
                </w:tcPr>
                <w:p w14:paraId="702BC2BB">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产生状况</w:t>
                  </w:r>
                </w:p>
              </w:tc>
              <w:tc>
                <w:tcPr>
                  <w:tcW w:w="1239" w:type="pct"/>
                  <w:gridSpan w:val="4"/>
                  <w:vAlign w:val="center"/>
                </w:tcPr>
                <w:p w14:paraId="742E11DC">
                  <w:pPr>
                    <w:pStyle w:val="24"/>
                    <w:spacing w:after="0" w:line="240" w:lineRule="auto"/>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污染防治措施</w:t>
                  </w:r>
                </w:p>
              </w:tc>
              <w:tc>
                <w:tcPr>
                  <w:tcW w:w="1295" w:type="pct"/>
                  <w:gridSpan w:val="3"/>
                  <w:vAlign w:val="center"/>
                </w:tcPr>
                <w:p w14:paraId="26497F64">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排放状况</w:t>
                  </w:r>
                </w:p>
              </w:tc>
              <w:tc>
                <w:tcPr>
                  <w:tcW w:w="330" w:type="pct"/>
                  <w:vMerge w:val="restart"/>
                  <w:vAlign w:val="center"/>
                </w:tcPr>
                <w:p w14:paraId="3B5C1DCD">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排放</w:t>
                  </w:r>
                </w:p>
                <w:p w14:paraId="2E93BACF">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方式</w:t>
                  </w:r>
                </w:p>
              </w:tc>
            </w:tr>
            <w:tr w14:paraId="29F708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jc w:val="center"/>
              </w:trPr>
              <w:tc>
                <w:tcPr>
                  <w:tcW w:w="297" w:type="pct"/>
                  <w:vMerge w:val="continue"/>
                  <w:tcBorders>
                    <w:bottom w:val="single" w:color="auto" w:sz="4" w:space="0"/>
                  </w:tcBorders>
                  <w:vAlign w:val="center"/>
                </w:tcPr>
                <w:p w14:paraId="581EAA1A">
                  <w:pPr>
                    <w:pStyle w:val="24"/>
                    <w:spacing w:after="0" w:line="240" w:lineRule="auto"/>
                    <w:jc w:val="center"/>
                    <w:rPr>
                      <w:rFonts w:hint="default" w:ascii="Times New Roman" w:hAnsi="Times New Roman" w:cs="Times New Roman" w:eastAsiaTheme="minorEastAsia"/>
                      <w:color w:val="auto"/>
                      <w:sz w:val="21"/>
                      <w:szCs w:val="21"/>
                    </w:rPr>
                  </w:pPr>
                </w:p>
              </w:tc>
              <w:tc>
                <w:tcPr>
                  <w:tcW w:w="407" w:type="pct"/>
                  <w:vMerge w:val="continue"/>
                  <w:tcBorders>
                    <w:bottom w:val="single" w:color="auto" w:sz="4" w:space="0"/>
                  </w:tcBorders>
                  <w:vAlign w:val="center"/>
                </w:tcPr>
                <w:p w14:paraId="4B7A83C6">
                  <w:pPr>
                    <w:pStyle w:val="24"/>
                    <w:spacing w:after="0" w:line="240" w:lineRule="auto"/>
                    <w:jc w:val="center"/>
                    <w:rPr>
                      <w:rFonts w:hint="default" w:ascii="Times New Roman" w:hAnsi="Times New Roman" w:cs="Times New Roman" w:eastAsiaTheme="minorEastAsia"/>
                      <w:color w:val="auto"/>
                      <w:sz w:val="21"/>
                      <w:szCs w:val="21"/>
                    </w:rPr>
                  </w:pPr>
                </w:p>
              </w:tc>
              <w:tc>
                <w:tcPr>
                  <w:tcW w:w="334" w:type="pct"/>
                  <w:vMerge w:val="continue"/>
                  <w:tcBorders>
                    <w:bottom w:val="single" w:color="auto" w:sz="4" w:space="0"/>
                  </w:tcBorders>
                  <w:vAlign w:val="center"/>
                </w:tcPr>
                <w:p w14:paraId="5718FD89">
                  <w:pPr>
                    <w:pStyle w:val="24"/>
                    <w:spacing w:after="0" w:line="240" w:lineRule="auto"/>
                    <w:jc w:val="center"/>
                    <w:rPr>
                      <w:rFonts w:hint="default" w:ascii="Times New Roman" w:hAnsi="Times New Roman" w:cs="Times New Roman" w:eastAsiaTheme="minorEastAsia"/>
                      <w:color w:val="auto"/>
                      <w:sz w:val="21"/>
                      <w:szCs w:val="21"/>
                    </w:rPr>
                  </w:pPr>
                </w:p>
              </w:tc>
              <w:tc>
                <w:tcPr>
                  <w:tcW w:w="380" w:type="pct"/>
                  <w:tcBorders>
                    <w:bottom w:val="single" w:color="auto" w:sz="4" w:space="0"/>
                  </w:tcBorders>
                  <w:vAlign w:val="center"/>
                </w:tcPr>
                <w:p w14:paraId="6CEF94FC">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浓度</w:t>
                  </w:r>
                </w:p>
                <w:p w14:paraId="6D48FC11">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(mg/m</w:t>
                  </w:r>
                  <w:r>
                    <w:rPr>
                      <w:rFonts w:hint="default" w:ascii="Times New Roman" w:hAnsi="Times New Roman" w:cs="Times New Roman" w:eastAsiaTheme="minorEastAsia"/>
                      <w:b/>
                      <w:bCs/>
                      <w:color w:val="auto"/>
                      <w:sz w:val="21"/>
                      <w:szCs w:val="21"/>
                      <w:vertAlign w:val="superscript"/>
                    </w:rPr>
                    <w:t>3</w:t>
                  </w:r>
                  <w:r>
                    <w:rPr>
                      <w:rFonts w:hint="default" w:ascii="Times New Roman" w:hAnsi="Times New Roman" w:cs="Times New Roman" w:eastAsiaTheme="minorEastAsia"/>
                      <w:b/>
                      <w:bCs/>
                      <w:color w:val="auto"/>
                      <w:sz w:val="21"/>
                      <w:szCs w:val="21"/>
                    </w:rPr>
                    <w:t>)</w:t>
                  </w:r>
                </w:p>
              </w:tc>
              <w:tc>
                <w:tcPr>
                  <w:tcW w:w="362" w:type="pct"/>
                  <w:tcBorders>
                    <w:bottom w:val="single" w:color="auto" w:sz="4" w:space="0"/>
                  </w:tcBorders>
                  <w:vAlign w:val="center"/>
                </w:tcPr>
                <w:p w14:paraId="27C4BC7A">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速率</w:t>
                  </w:r>
                </w:p>
                <w:p w14:paraId="7F479272">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(kg/h)</w:t>
                  </w:r>
                </w:p>
              </w:tc>
              <w:tc>
                <w:tcPr>
                  <w:tcW w:w="353" w:type="pct"/>
                  <w:tcBorders>
                    <w:bottom w:val="single" w:color="auto" w:sz="4" w:space="0"/>
                  </w:tcBorders>
                  <w:vAlign w:val="center"/>
                </w:tcPr>
                <w:p w14:paraId="2723EBB8">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产生量</w:t>
                  </w:r>
                </w:p>
                <w:p w14:paraId="440530AE">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(t/a)</w:t>
                  </w:r>
                </w:p>
              </w:tc>
              <w:tc>
                <w:tcPr>
                  <w:tcW w:w="383" w:type="pct"/>
                  <w:tcBorders>
                    <w:bottom w:val="single" w:color="auto" w:sz="4" w:space="0"/>
                  </w:tcBorders>
                  <w:vAlign w:val="center"/>
                </w:tcPr>
                <w:p w14:paraId="3045762D">
                  <w:pPr>
                    <w:pStyle w:val="24"/>
                    <w:spacing w:after="0" w:line="240" w:lineRule="auto"/>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lang w:val="en-US" w:eastAsia="zh-CN"/>
                    </w:rPr>
                    <w:t>设施工艺</w:t>
                  </w:r>
                </w:p>
              </w:tc>
              <w:tc>
                <w:tcPr>
                  <w:tcW w:w="230" w:type="pct"/>
                  <w:tcBorders>
                    <w:bottom w:val="single" w:color="auto" w:sz="4" w:space="0"/>
                  </w:tcBorders>
                  <w:vAlign w:val="center"/>
                </w:tcPr>
                <w:p w14:paraId="5139BDD8">
                  <w:pPr>
                    <w:pStyle w:val="24"/>
                    <w:spacing w:after="0" w:line="240" w:lineRule="auto"/>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去除</w:t>
                  </w:r>
                  <w:r>
                    <w:rPr>
                      <w:rFonts w:hint="default" w:ascii="Times New Roman" w:hAnsi="Times New Roman" w:cs="Times New Roman" w:eastAsiaTheme="minorEastAsia"/>
                      <w:b/>
                      <w:bCs/>
                      <w:color w:val="auto"/>
                      <w:sz w:val="21"/>
                      <w:szCs w:val="21"/>
                      <w:lang w:val="en-US" w:eastAsia="zh-CN"/>
                    </w:rPr>
                    <w:t>效</w:t>
                  </w:r>
                  <w:r>
                    <w:rPr>
                      <w:rFonts w:hint="default" w:ascii="Times New Roman" w:hAnsi="Times New Roman" w:cs="Times New Roman" w:eastAsiaTheme="minorEastAsia"/>
                      <w:b/>
                      <w:bCs/>
                      <w:color w:val="auto"/>
                      <w:sz w:val="21"/>
                      <w:szCs w:val="21"/>
                    </w:rPr>
                    <w:t>率(%)</w:t>
                  </w:r>
                </w:p>
              </w:tc>
              <w:tc>
                <w:tcPr>
                  <w:tcW w:w="284" w:type="pct"/>
                  <w:tcBorders>
                    <w:bottom w:val="single" w:color="auto" w:sz="4" w:space="0"/>
                  </w:tcBorders>
                  <w:vAlign w:val="center"/>
                </w:tcPr>
                <w:p w14:paraId="0E409D51">
                  <w:pPr>
                    <w:pStyle w:val="24"/>
                    <w:spacing w:after="0" w:line="240" w:lineRule="auto"/>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处理</w:t>
                  </w:r>
                </w:p>
                <w:p w14:paraId="39954ACC">
                  <w:pPr>
                    <w:pStyle w:val="24"/>
                    <w:spacing w:after="0" w:line="240" w:lineRule="auto"/>
                    <w:jc w:val="center"/>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lang w:val="en-US" w:eastAsia="zh-CN"/>
                    </w:rPr>
                    <w:t>能力</w:t>
                  </w:r>
                </w:p>
                <w:p w14:paraId="4A18A2A7">
                  <w:pPr>
                    <w:pStyle w:val="24"/>
                    <w:spacing w:after="0" w:line="240" w:lineRule="auto"/>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(m</w:t>
                  </w:r>
                  <w:r>
                    <w:rPr>
                      <w:rFonts w:hint="default" w:ascii="Times New Roman" w:hAnsi="Times New Roman" w:cs="Times New Roman" w:eastAsiaTheme="minorEastAsia"/>
                      <w:b/>
                      <w:bCs/>
                      <w:color w:val="auto"/>
                      <w:sz w:val="21"/>
                      <w:szCs w:val="21"/>
                      <w:vertAlign w:val="superscript"/>
                    </w:rPr>
                    <w:t>3</w:t>
                  </w:r>
                  <w:r>
                    <w:rPr>
                      <w:rFonts w:hint="default" w:ascii="Times New Roman" w:hAnsi="Times New Roman" w:cs="Times New Roman" w:eastAsiaTheme="minorEastAsia"/>
                      <w:b/>
                      <w:bCs/>
                      <w:color w:val="auto"/>
                      <w:sz w:val="21"/>
                      <w:szCs w:val="21"/>
                    </w:rPr>
                    <w:t>/h)</w:t>
                  </w:r>
                </w:p>
              </w:tc>
              <w:tc>
                <w:tcPr>
                  <w:tcW w:w="341" w:type="pct"/>
                  <w:tcBorders>
                    <w:bottom w:val="single" w:color="auto" w:sz="4" w:space="0"/>
                  </w:tcBorders>
                  <w:vAlign w:val="center"/>
                </w:tcPr>
                <w:p w14:paraId="6905BE48">
                  <w:pPr>
                    <w:pStyle w:val="24"/>
                    <w:spacing w:after="0" w:line="240" w:lineRule="auto"/>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是否为可行技术</w:t>
                  </w:r>
                </w:p>
              </w:tc>
              <w:tc>
                <w:tcPr>
                  <w:tcW w:w="394" w:type="pct"/>
                  <w:tcBorders>
                    <w:bottom w:val="single" w:color="auto" w:sz="4" w:space="0"/>
                  </w:tcBorders>
                  <w:vAlign w:val="center"/>
                </w:tcPr>
                <w:p w14:paraId="7016EF4D">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浓度</w:t>
                  </w:r>
                </w:p>
                <w:p w14:paraId="1B6AC713">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(mg/m</w:t>
                  </w:r>
                  <w:r>
                    <w:rPr>
                      <w:rFonts w:hint="default" w:ascii="Times New Roman" w:hAnsi="Times New Roman" w:cs="Times New Roman" w:eastAsiaTheme="minorEastAsia"/>
                      <w:b/>
                      <w:bCs/>
                      <w:color w:val="auto"/>
                      <w:sz w:val="21"/>
                      <w:szCs w:val="21"/>
                      <w:vertAlign w:val="superscript"/>
                    </w:rPr>
                    <w:t>3</w:t>
                  </w:r>
                  <w:r>
                    <w:rPr>
                      <w:rFonts w:hint="default" w:ascii="Times New Roman" w:hAnsi="Times New Roman" w:cs="Times New Roman" w:eastAsiaTheme="minorEastAsia"/>
                      <w:b/>
                      <w:bCs/>
                      <w:color w:val="auto"/>
                      <w:sz w:val="21"/>
                      <w:szCs w:val="21"/>
                    </w:rPr>
                    <w:t>)</w:t>
                  </w:r>
                </w:p>
              </w:tc>
              <w:tc>
                <w:tcPr>
                  <w:tcW w:w="449" w:type="pct"/>
                  <w:tcBorders>
                    <w:bottom w:val="single" w:color="auto" w:sz="4" w:space="0"/>
                  </w:tcBorders>
                  <w:vAlign w:val="center"/>
                </w:tcPr>
                <w:p w14:paraId="59E94B37">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速率</w:t>
                  </w:r>
                </w:p>
                <w:p w14:paraId="1262060A">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(kg/h)</w:t>
                  </w:r>
                </w:p>
              </w:tc>
              <w:tc>
                <w:tcPr>
                  <w:tcW w:w="451" w:type="pct"/>
                  <w:tcBorders>
                    <w:bottom w:val="single" w:color="auto" w:sz="4" w:space="0"/>
                  </w:tcBorders>
                  <w:vAlign w:val="center"/>
                </w:tcPr>
                <w:p w14:paraId="4F74E7BB">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排放量</w:t>
                  </w:r>
                </w:p>
                <w:p w14:paraId="10ADFB64">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(t/a)</w:t>
                  </w:r>
                </w:p>
              </w:tc>
              <w:tc>
                <w:tcPr>
                  <w:tcW w:w="330" w:type="pct"/>
                  <w:vMerge w:val="continue"/>
                  <w:tcBorders>
                    <w:bottom w:val="single" w:color="auto" w:sz="4" w:space="0"/>
                  </w:tcBorders>
                  <w:vAlign w:val="center"/>
                </w:tcPr>
                <w:p w14:paraId="7BEBB06A">
                  <w:pPr>
                    <w:pStyle w:val="24"/>
                    <w:spacing w:after="0" w:line="240" w:lineRule="auto"/>
                    <w:jc w:val="center"/>
                    <w:rPr>
                      <w:rFonts w:hint="default" w:ascii="Times New Roman" w:hAnsi="Times New Roman" w:cs="Times New Roman" w:eastAsiaTheme="minorEastAsia"/>
                      <w:color w:val="auto"/>
                      <w:sz w:val="21"/>
                      <w:szCs w:val="21"/>
                    </w:rPr>
                  </w:pPr>
                </w:p>
              </w:tc>
            </w:tr>
            <w:tr w14:paraId="7B6BFE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297" w:type="pct"/>
                  <w:vAlign w:val="center"/>
                </w:tcPr>
                <w:p w14:paraId="28BF3C7A">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DA001</w:t>
                  </w:r>
                </w:p>
              </w:tc>
              <w:tc>
                <w:tcPr>
                  <w:tcW w:w="407" w:type="pct"/>
                  <w:vAlign w:val="center"/>
                </w:tcPr>
                <w:p w14:paraId="79380EBA">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印刷、复合、熟化</w:t>
                  </w:r>
                </w:p>
              </w:tc>
              <w:tc>
                <w:tcPr>
                  <w:tcW w:w="334" w:type="pct"/>
                  <w:vAlign w:val="center"/>
                </w:tcPr>
                <w:p w14:paraId="2634D39F">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非甲烷总烃</w:t>
                  </w:r>
                </w:p>
              </w:tc>
              <w:tc>
                <w:tcPr>
                  <w:tcW w:w="380" w:type="pct"/>
                  <w:vAlign w:val="center"/>
                </w:tcPr>
                <w:p w14:paraId="64A67C25">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67.5</w:t>
                  </w:r>
                </w:p>
              </w:tc>
              <w:tc>
                <w:tcPr>
                  <w:tcW w:w="362" w:type="pct"/>
                  <w:vAlign w:val="center"/>
                </w:tcPr>
                <w:p w14:paraId="4091EA74">
                  <w:pPr>
                    <w:pStyle w:val="24"/>
                    <w:spacing w:after="0" w:line="240" w:lineRule="auto"/>
                    <w:jc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0.81</w:t>
                  </w:r>
                </w:p>
              </w:tc>
              <w:tc>
                <w:tcPr>
                  <w:tcW w:w="353" w:type="pct"/>
                  <w:vAlign w:val="center"/>
                </w:tcPr>
                <w:p w14:paraId="44FD02DF">
                  <w:pPr>
                    <w:pStyle w:val="24"/>
                    <w:spacing w:after="0" w:line="240" w:lineRule="auto"/>
                    <w:jc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1.944</w:t>
                  </w:r>
                </w:p>
              </w:tc>
              <w:tc>
                <w:tcPr>
                  <w:tcW w:w="383" w:type="pct"/>
                  <w:vAlign w:val="center"/>
                </w:tcPr>
                <w:p w14:paraId="39A53D62">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二级活性炭吸附</w:t>
                  </w:r>
                </w:p>
              </w:tc>
              <w:tc>
                <w:tcPr>
                  <w:tcW w:w="230" w:type="pct"/>
                  <w:vAlign w:val="center"/>
                </w:tcPr>
                <w:p w14:paraId="1DB3D168">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90</w:t>
                  </w:r>
                </w:p>
              </w:tc>
              <w:tc>
                <w:tcPr>
                  <w:tcW w:w="284" w:type="pct"/>
                  <w:vAlign w:val="center"/>
                </w:tcPr>
                <w:p w14:paraId="0B777B23">
                  <w:pPr>
                    <w:adjustRightInd w:val="0"/>
                    <w:snapToGrid w:val="0"/>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1</w:t>
                  </w:r>
                  <w:r>
                    <w:rPr>
                      <w:rFonts w:hint="eastAsia" w:cs="Times New Roman" w:eastAsiaTheme="minorEastAsia"/>
                      <w:bCs/>
                      <w:color w:val="auto"/>
                      <w:sz w:val="21"/>
                      <w:szCs w:val="21"/>
                      <w:lang w:val="en-US" w:eastAsia="zh-CN"/>
                    </w:rPr>
                    <w:t>2</w:t>
                  </w:r>
                  <w:r>
                    <w:rPr>
                      <w:rFonts w:hint="default" w:ascii="Times New Roman" w:hAnsi="Times New Roman" w:cs="Times New Roman" w:eastAsiaTheme="minorEastAsia"/>
                      <w:bCs/>
                      <w:color w:val="auto"/>
                      <w:sz w:val="21"/>
                      <w:szCs w:val="21"/>
                      <w:lang w:val="en-US" w:eastAsia="zh-CN"/>
                    </w:rPr>
                    <w:t>000</w:t>
                  </w:r>
                </w:p>
              </w:tc>
              <w:tc>
                <w:tcPr>
                  <w:tcW w:w="341" w:type="pct"/>
                  <w:vAlign w:val="center"/>
                </w:tcPr>
                <w:p w14:paraId="060BD1F0">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是</w:t>
                  </w:r>
                </w:p>
              </w:tc>
              <w:tc>
                <w:tcPr>
                  <w:tcW w:w="394" w:type="pct"/>
                  <w:vAlign w:val="center"/>
                </w:tcPr>
                <w:p w14:paraId="278F62E9">
                  <w:pPr>
                    <w:pStyle w:val="24"/>
                    <w:spacing w:after="0" w:line="240" w:lineRule="auto"/>
                    <w:jc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6.75</w:t>
                  </w:r>
                </w:p>
              </w:tc>
              <w:tc>
                <w:tcPr>
                  <w:tcW w:w="449" w:type="pct"/>
                  <w:vAlign w:val="center"/>
                </w:tcPr>
                <w:p w14:paraId="70A36216">
                  <w:pPr>
                    <w:pStyle w:val="24"/>
                    <w:spacing w:after="0" w:line="240" w:lineRule="auto"/>
                    <w:jc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0.081</w:t>
                  </w:r>
                </w:p>
              </w:tc>
              <w:tc>
                <w:tcPr>
                  <w:tcW w:w="451" w:type="pct"/>
                  <w:vAlign w:val="center"/>
                </w:tcPr>
                <w:p w14:paraId="08552448">
                  <w:pPr>
                    <w:pStyle w:val="24"/>
                    <w:spacing w:after="0" w:line="240" w:lineRule="auto"/>
                    <w:jc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0.194</w:t>
                  </w:r>
                </w:p>
              </w:tc>
              <w:tc>
                <w:tcPr>
                  <w:tcW w:w="330" w:type="pct"/>
                  <w:vAlign w:val="center"/>
                </w:tcPr>
                <w:p w14:paraId="0D431F4F">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连续</w:t>
                  </w:r>
                </w:p>
                <w:p w14:paraId="7A026B23">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24</w:t>
                  </w:r>
                  <w:r>
                    <w:rPr>
                      <w:rFonts w:hint="default" w:ascii="Times New Roman" w:hAnsi="Times New Roman" w:cs="Times New Roman" w:eastAsiaTheme="minorEastAsia"/>
                      <w:bCs/>
                      <w:color w:val="auto"/>
                      <w:sz w:val="21"/>
                      <w:szCs w:val="21"/>
                      <w:lang w:val="en-US" w:eastAsia="zh-CN"/>
                    </w:rPr>
                    <w:t>00h</w:t>
                  </w:r>
                </w:p>
              </w:tc>
            </w:tr>
          </w:tbl>
          <w:p w14:paraId="00EFDD3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表4-4本项目无组织废气产生及排放源强表</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306"/>
              <w:gridCol w:w="1950"/>
              <w:gridCol w:w="1642"/>
              <w:gridCol w:w="1302"/>
              <w:gridCol w:w="1302"/>
              <w:gridCol w:w="1302"/>
              <w:gridCol w:w="1302"/>
              <w:gridCol w:w="1515"/>
              <w:gridCol w:w="1333"/>
            </w:tblGrid>
            <w:tr w14:paraId="45B273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4" w:type="pct"/>
                  <w:vAlign w:val="center"/>
                </w:tcPr>
                <w:p w14:paraId="34A6D074">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工作车间</w:t>
                  </w:r>
                </w:p>
              </w:tc>
              <w:tc>
                <w:tcPr>
                  <w:tcW w:w="752" w:type="pct"/>
                  <w:vAlign w:val="center"/>
                </w:tcPr>
                <w:p w14:paraId="2B93E6B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产生环节</w:t>
                  </w:r>
                </w:p>
              </w:tc>
              <w:tc>
                <w:tcPr>
                  <w:tcW w:w="633" w:type="pct"/>
                  <w:vAlign w:val="center"/>
                </w:tcPr>
                <w:p w14:paraId="2835E595">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污染物名称</w:t>
                  </w:r>
                </w:p>
              </w:tc>
              <w:tc>
                <w:tcPr>
                  <w:tcW w:w="502" w:type="pct"/>
                  <w:vAlign w:val="center"/>
                </w:tcPr>
                <w:p w14:paraId="25D9E9DE">
                  <w:pPr>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产生量</w:t>
                  </w:r>
                </w:p>
              </w:tc>
              <w:tc>
                <w:tcPr>
                  <w:tcW w:w="502" w:type="pct"/>
                  <w:vAlign w:val="center"/>
                </w:tcPr>
                <w:p w14:paraId="091118E6">
                  <w:pPr>
                    <w:adjustRightInd w:val="0"/>
                    <w:snapToGrid w:val="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污染防治措施</w:t>
                  </w:r>
                </w:p>
              </w:tc>
              <w:tc>
                <w:tcPr>
                  <w:tcW w:w="502" w:type="pct"/>
                  <w:vAlign w:val="center"/>
                </w:tcPr>
                <w:p w14:paraId="5386B0D1">
                  <w:pPr>
                    <w:pStyle w:val="24"/>
                    <w:spacing w:after="0" w:line="240" w:lineRule="auto"/>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rPr>
                    <w:t>去除</w:t>
                  </w:r>
                  <w:r>
                    <w:rPr>
                      <w:rFonts w:hint="default" w:ascii="Times New Roman" w:hAnsi="Times New Roman" w:cs="Times New Roman" w:eastAsiaTheme="minorEastAsia"/>
                      <w:b/>
                      <w:bCs/>
                      <w:color w:val="auto"/>
                      <w:sz w:val="21"/>
                      <w:szCs w:val="21"/>
                      <w:lang w:val="en-US" w:eastAsia="zh-CN"/>
                    </w:rPr>
                    <w:t>效</w:t>
                  </w:r>
                  <w:r>
                    <w:rPr>
                      <w:rFonts w:hint="default" w:ascii="Times New Roman" w:hAnsi="Times New Roman" w:cs="Times New Roman" w:eastAsiaTheme="minorEastAsia"/>
                      <w:b/>
                      <w:bCs/>
                      <w:color w:val="auto"/>
                      <w:sz w:val="21"/>
                      <w:szCs w:val="21"/>
                    </w:rPr>
                    <w:t>率(%)</w:t>
                  </w:r>
                </w:p>
              </w:tc>
              <w:tc>
                <w:tcPr>
                  <w:tcW w:w="502" w:type="pct"/>
                  <w:vAlign w:val="center"/>
                </w:tcPr>
                <w:p w14:paraId="1A4C9F1D">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排放量t/a</w:t>
                  </w:r>
                </w:p>
              </w:tc>
              <w:tc>
                <w:tcPr>
                  <w:tcW w:w="584" w:type="pct"/>
                  <w:vAlign w:val="center"/>
                </w:tcPr>
                <w:p w14:paraId="5B3AB702">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面源面积m</w:t>
                  </w:r>
                  <w:r>
                    <w:rPr>
                      <w:rFonts w:hint="default" w:ascii="Times New Roman" w:hAnsi="Times New Roman" w:cs="Times New Roman"/>
                      <w:b/>
                      <w:bCs/>
                      <w:color w:val="auto"/>
                      <w:sz w:val="21"/>
                      <w:szCs w:val="21"/>
                      <w:vertAlign w:val="superscript"/>
                    </w:rPr>
                    <w:t>2</w:t>
                  </w:r>
                </w:p>
              </w:tc>
              <w:tc>
                <w:tcPr>
                  <w:tcW w:w="514" w:type="pct"/>
                  <w:vAlign w:val="center"/>
                </w:tcPr>
                <w:p w14:paraId="1E651B8B">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面源高度m</w:t>
                  </w:r>
                </w:p>
              </w:tc>
            </w:tr>
            <w:tr w14:paraId="75B68D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44" w:hRule="atLeast"/>
                <w:jc w:val="center"/>
              </w:trPr>
              <w:tc>
                <w:tcPr>
                  <w:tcW w:w="504" w:type="pct"/>
                  <w:vAlign w:val="center"/>
                </w:tcPr>
                <w:p w14:paraId="0D40FBDF">
                  <w:pPr>
                    <w:adjustRightInd w:val="0"/>
                    <w:snapToGrid w:val="0"/>
                    <w:jc w:val="center"/>
                    <w:rPr>
                      <w:rFonts w:hint="default" w:ascii="Times New Roman" w:hAnsi="Times New Roman" w:eastAsia="宋体" w:cs="Times New Roman"/>
                      <w:color w:val="auto"/>
                      <w:kern w:val="44"/>
                      <w:sz w:val="21"/>
                      <w:szCs w:val="21"/>
                      <w:lang w:val="en-US" w:eastAsia="zh-CN"/>
                    </w:rPr>
                  </w:pPr>
                  <w:r>
                    <w:rPr>
                      <w:rFonts w:hint="default" w:ascii="Times New Roman" w:hAnsi="Times New Roman" w:cs="Times New Roman"/>
                      <w:color w:val="auto"/>
                      <w:kern w:val="44"/>
                      <w:sz w:val="21"/>
                      <w:szCs w:val="21"/>
                      <w:lang w:val="en-US" w:eastAsia="zh-CN"/>
                    </w:rPr>
                    <w:t>车间</w:t>
                  </w:r>
                </w:p>
              </w:tc>
              <w:tc>
                <w:tcPr>
                  <w:tcW w:w="752" w:type="pct"/>
                  <w:vAlign w:val="center"/>
                </w:tcPr>
                <w:p w14:paraId="77EE1027">
                  <w:pPr>
                    <w:adjustRightInd w:val="0"/>
                    <w:snapToGrid w:val="0"/>
                    <w:jc w:val="center"/>
                    <w:rPr>
                      <w:rFonts w:hint="default" w:ascii="Times New Roman" w:hAnsi="Times New Roman" w:eastAsia="宋体" w:cs="Times New Roman"/>
                      <w:color w:val="auto"/>
                      <w:kern w:val="44"/>
                      <w:sz w:val="21"/>
                      <w:szCs w:val="21"/>
                      <w:lang w:val="en-US" w:eastAsia="zh-CN"/>
                    </w:rPr>
                  </w:pPr>
                  <w:r>
                    <w:rPr>
                      <w:rFonts w:hint="eastAsia" w:ascii="Times New Roman" w:hAnsi="Times New Roman" w:eastAsia="宋体" w:cs="Times New Roman"/>
                      <w:color w:val="auto"/>
                      <w:kern w:val="2"/>
                      <w:sz w:val="21"/>
                      <w:szCs w:val="21"/>
                      <w:lang w:val="en-US" w:eastAsia="zh-CN" w:bidi="ar-SA"/>
                    </w:rPr>
                    <w:t>印刷、复合、熟化</w:t>
                  </w:r>
                </w:p>
              </w:tc>
              <w:tc>
                <w:tcPr>
                  <w:tcW w:w="633" w:type="pct"/>
                  <w:vAlign w:val="center"/>
                </w:tcPr>
                <w:p w14:paraId="37185F8E">
                  <w:pPr>
                    <w:pStyle w:val="24"/>
                    <w:spacing w:after="0" w:line="240" w:lineRule="auto"/>
                    <w:jc w:val="center"/>
                    <w:rPr>
                      <w:rFonts w:hint="default" w:ascii="Times New Roman" w:hAnsi="Times New Roman" w:cs="Times New Roman"/>
                      <w:color w:val="auto"/>
                      <w:kern w:val="44"/>
                      <w:sz w:val="21"/>
                      <w:szCs w:val="21"/>
                      <w:lang w:val="en-US" w:eastAsia="zh-CN"/>
                    </w:rPr>
                  </w:pPr>
                  <w:r>
                    <w:rPr>
                      <w:rFonts w:hint="default" w:ascii="Times New Roman" w:hAnsi="Times New Roman" w:cs="Times New Roman" w:eastAsiaTheme="minorEastAsia"/>
                      <w:bCs/>
                      <w:color w:val="auto"/>
                      <w:sz w:val="21"/>
                      <w:szCs w:val="21"/>
                      <w:lang w:val="en-US" w:eastAsia="zh-CN"/>
                    </w:rPr>
                    <w:t>非甲烷总烃</w:t>
                  </w:r>
                </w:p>
              </w:tc>
              <w:tc>
                <w:tcPr>
                  <w:tcW w:w="502" w:type="pct"/>
                  <w:vAlign w:val="center"/>
                </w:tcPr>
                <w:p w14:paraId="5E0EDD00">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0.102</w:t>
                  </w:r>
                </w:p>
              </w:tc>
              <w:tc>
                <w:tcPr>
                  <w:tcW w:w="502" w:type="pct"/>
                  <w:vAlign w:val="center"/>
                </w:tcPr>
                <w:p w14:paraId="11DA7526">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w:t>
                  </w:r>
                </w:p>
              </w:tc>
              <w:tc>
                <w:tcPr>
                  <w:tcW w:w="502" w:type="pct"/>
                  <w:vAlign w:val="center"/>
                </w:tcPr>
                <w:p w14:paraId="6BAEA8B5">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w:t>
                  </w:r>
                </w:p>
              </w:tc>
              <w:tc>
                <w:tcPr>
                  <w:tcW w:w="502" w:type="pct"/>
                  <w:vAlign w:val="center"/>
                </w:tcPr>
                <w:p w14:paraId="05F26F9D">
                  <w:pPr>
                    <w:pStyle w:val="24"/>
                    <w:spacing w:after="0" w:line="240" w:lineRule="auto"/>
                    <w:jc w:val="center"/>
                    <w:rPr>
                      <w:rFonts w:hint="default" w:ascii="Times New Roman" w:hAnsi="Times New Roman" w:eastAsia="宋体" w:cs="Times New Roman"/>
                      <w:color w:val="auto"/>
                      <w:kern w:val="44"/>
                      <w:sz w:val="21"/>
                      <w:szCs w:val="21"/>
                      <w:lang w:val="en-US" w:eastAsia="zh-CN"/>
                    </w:rPr>
                  </w:pPr>
                  <w:r>
                    <w:rPr>
                      <w:rFonts w:hint="eastAsia" w:cs="Times New Roman" w:eastAsiaTheme="minorEastAsia"/>
                      <w:bCs/>
                      <w:color w:val="auto"/>
                      <w:sz w:val="21"/>
                      <w:szCs w:val="21"/>
                      <w:lang w:val="en-US" w:eastAsia="zh-CN"/>
                    </w:rPr>
                    <w:t>0.102</w:t>
                  </w:r>
                </w:p>
              </w:tc>
              <w:tc>
                <w:tcPr>
                  <w:tcW w:w="584" w:type="pct"/>
                  <w:vAlign w:val="center"/>
                </w:tcPr>
                <w:p w14:paraId="1D40F1FE">
                  <w:pPr>
                    <w:adjustRightInd w:val="0"/>
                    <w:snapToGrid w:val="0"/>
                    <w:jc w:val="center"/>
                    <w:rPr>
                      <w:rFonts w:hint="default" w:ascii="Times New Roman" w:hAnsi="Times New Roman" w:cs="Times New Roman"/>
                      <w:color w:val="auto"/>
                      <w:kern w:val="44"/>
                      <w:sz w:val="21"/>
                      <w:szCs w:val="21"/>
                      <w:lang w:val="en-US" w:eastAsia="zh-CN" w:bidi="ar-SA"/>
                    </w:rPr>
                  </w:pPr>
                  <w:r>
                    <w:rPr>
                      <w:rFonts w:hint="eastAsia" w:cs="Times New Roman"/>
                      <w:color w:val="auto"/>
                      <w:kern w:val="44"/>
                      <w:sz w:val="21"/>
                      <w:szCs w:val="21"/>
                      <w:lang w:val="en-US" w:eastAsia="zh-CN" w:bidi="ar-SA"/>
                    </w:rPr>
                    <w:t>2181.44</w:t>
                  </w:r>
                </w:p>
              </w:tc>
              <w:tc>
                <w:tcPr>
                  <w:tcW w:w="514" w:type="pct"/>
                  <w:vAlign w:val="center"/>
                </w:tcPr>
                <w:p w14:paraId="005D1A07">
                  <w:pPr>
                    <w:adjustRightInd w:val="0"/>
                    <w:snapToGrid w:val="0"/>
                    <w:jc w:val="center"/>
                    <w:rPr>
                      <w:rFonts w:hint="default" w:ascii="Times New Roman" w:hAnsi="Times New Roman" w:cs="Times New Roman"/>
                      <w:color w:val="auto"/>
                      <w:kern w:val="44"/>
                      <w:sz w:val="21"/>
                      <w:szCs w:val="21"/>
                      <w:lang w:val="en-US" w:eastAsia="zh-CN"/>
                    </w:rPr>
                  </w:pPr>
                  <w:r>
                    <w:rPr>
                      <w:rFonts w:hint="eastAsia" w:cs="Times New Roman"/>
                      <w:color w:val="auto"/>
                      <w:kern w:val="44"/>
                      <w:sz w:val="21"/>
                      <w:szCs w:val="21"/>
                      <w:lang w:val="en-US" w:eastAsia="zh-CN"/>
                    </w:rPr>
                    <w:t>4</w:t>
                  </w:r>
                </w:p>
              </w:tc>
            </w:tr>
          </w:tbl>
          <w:p w14:paraId="126EF1BC">
            <w:pPr>
              <w:keepNext w:val="0"/>
              <w:keepLines w:val="0"/>
              <w:pageBreakBefore w:val="0"/>
              <w:widowControl w:val="0"/>
              <w:kinsoku/>
              <w:wordWrap/>
              <w:overflowPunct/>
              <w:topLinePunct w:val="0"/>
              <w:autoSpaceDE/>
              <w:autoSpaceDN/>
              <w:bidi w:val="0"/>
              <w:adjustRightInd w:val="0"/>
              <w:snapToGrid w:val="0"/>
              <w:spacing w:line="500" w:lineRule="exact"/>
              <w:ind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lang w:val="en-US" w:eastAsia="zh-CN"/>
              </w:rPr>
              <w:t>4、</w:t>
            </w:r>
            <w:r>
              <w:rPr>
                <w:rFonts w:hint="default" w:ascii="Times New Roman" w:hAnsi="Times New Roman" w:eastAsia="宋体" w:cs="Times New Roman"/>
                <w:b/>
                <w:bCs/>
                <w:color w:val="auto"/>
                <w:sz w:val="21"/>
                <w:szCs w:val="21"/>
              </w:rPr>
              <w:t>非正常工况</w:t>
            </w:r>
          </w:p>
          <w:p w14:paraId="7FC52A3E">
            <w:pPr>
              <w:adjustRightInd w:val="0"/>
              <w:snapToGrid w:val="0"/>
              <w:spacing w:line="500" w:lineRule="exact"/>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建设项目非正常工况是指生产运行阶段的开、停工及维修或环保设施达不到设计规定指标等工况。</w:t>
            </w:r>
          </w:p>
          <w:p w14:paraId="10219768">
            <w:pPr>
              <w:adjustRightInd w:val="0"/>
              <w:snapToGrid w:val="0"/>
              <w:spacing w:line="500" w:lineRule="exact"/>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设定有开停工管理制度，每班作业开始或结束时严格按照操作规程，基本无废气产生。不正常操作及设备故障的具体原因有意外负荷跳闸，仪表失灵导致操作失控、误操作等，也可因突然断电等引起。发生不正常操作及设备故障时，将视情况及时停产。</w:t>
            </w:r>
          </w:p>
          <w:p w14:paraId="1C40667F">
            <w:pPr>
              <w:adjustRightInd w:val="0"/>
              <w:snapToGrid w:val="0"/>
              <w:spacing w:line="500" w:lineRule="exact"/>
              <w:ind w:firstLine="420" w:firstLineChars="200"/>
              <w:rPr>
                <w:rFonts w:hint="default" w:ascii="Times New Roman" w:hAnsi="Times New Roman" w:cs="Times New Roman"/>
                <w:b/>
                <w:bCs/>
                <w:color w:val="auto"/>
                <w:sz w:val="21"/>
                <w:szCs w:val="21"/>
                <w:lang w:val="en-US" w:eastAsia="zh-CN"/>
              </w:rPr>
            </w:pPr>
            <w:r>
              <w:rPr>
                <w:rFonts w:hint="default" w:ascii="Times New Roman" w:hAnsi="Times New Roman" w:cs="Times New Roman"/>
                <w:color w:val="auto"/>
                <w:sz w:val="21"/>
                <w:szCs w:val="21"/>
              </w:rPr>
              <w:t>本项目考虑最大风险情况下，废气治理设备出现非正常工况导致有组织废气未经处理直接排放</w:t>
            </w:r>
            <w:r>
              <w:rPr>
                <w:rFonts w:hint="default" w:ascii="Times New Roman" w:hAnsi="Times New Roman" w:cs="Times New Roman"/>
                <w:color w:val="auto"/>
                <w:sz w:val="21"/>
                <w:szCs w:val="21"/>
                <w:lang w:val="en-US" w:eastAsia="zh-CN"/>
              </w:rPr>
              <w:t>的</w:t>
            </w:r>
            <w:r>
              <w:rPr>
                <w:rFonts w:hint="default" w:ascii="Times New Roman" w:hAnsi="Times New Roman" w:cs="Times New Roman"/>
                <w:color w:val="auto"/>
                <w:sz w:val="21"/>
                <w:szCs w:val="21"/>
              </w:rPr>
              <w:t>情况进行分析</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本项目非正常工况时废气源强</w:t>
            </w:r>
            <w:r>
              <w:rPr>
                <w:rFonts w:hint="default" w:ascii="Times New Roman" w:hAnsi="Times New Roman" w:cs="Times New Roman"/>
                <w:color w:val="auto"/>
                <w:sz w:val="21"/>
                <w:szCs w:val="21"/>
                <w:lang w:val="en-US" w:eastAsia="zh-CN"/>
              </w:rPr>
              <w:t>如下表</w:t>
            </w:r>
            <w:r>
              <w:rPr>
                <w:rFonts w:hint="default" w:ascii="Times New Roman" w:hAnsi="Times New Roman" w:cs="Times New Roman"/>
                <w:color w:val="auto"/>
                <w:sz w:val="21"/>
                <w:szCs w:val="21"/>
              </w:rPr>
              <w:t>所示。</w:t>
            </w:r>
          </w:p>
          <w:p w14:paraId="7C2919C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auto"/>
                <w:sz w:val="21"/>
                <w:szCs w:val="21"/>
                <w:lang w:val="en-US" w:eastAsia="zh-CN"/>
              </w:rPr>
            </w:pPr>
          </w:p>
          <w:p w14:paraId="685EF02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auto"/>
                <w:sz w:val="21"/>
                <w:szCs w:val="21"/>
                <w:lang w:val="en-US" w:eastAsia="zh-CN"/>
              </w:rPr>
            </w:pPr>
          </w:p>
          <w:p w14:paraId="4D00371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auto"/>
                <w:sz w:val="21"/>
                <w:szCs w:val="21"/>
                <w:lang w:val="en-US" w:eastAsia="zh-CN"/>
              </w:rPr>
            </w:pPr>
          </w:p>
          <w:p w14:paraId="617200B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表4-5非正常工况时废气排放情况表</w:t>
            </w:r>
          </w:p>
          <w:tbl>
            <w:tblPr>
              <w:tblStyle w:val="32"/>
              <w:tblW w:w="496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138"/>
              <w:gridCol w:w="1061"/>
              <w:gridCol w:w="976"/>
              <w:gridCol w:w="1486"/>
              <w:gridCol w:w="1149"/>
              <w:gridCol w:w="1743"/>
              <w:gridCol w:w="1458"/>
              <w:gridCol w:w="979"/>
              <w:gridCol w:w="1066"/>
              <w:gridCol w:w="1810"/>
            </w:tblGrid>
            <w:tr w14:paraId="79B7E8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42" w:type="pct"/>
                  <w:vMerge w:val="restart"/>
                  <w:vAlign w:val="center"/>
                </w:tcPr>
                <w:p w14:paraId="7F4A7B7B">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排气筒编号</w:t>
                  </w:r>
                </w:p>
              </w:tc>
              <w:tc>
                <w:tcPr>
                  <w:tcW w:w="412" w:type="pct"/>
                  <w:vMerge w:val="restart"/>
                  <w:vAlign w:val="center"/>
                </w:tcPr>
                <w:p w14:paraId="4807AFCC">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排放工序</w:t>
                  </w:r>
                </w:p>
              </w:tc>
              <w:tc>
                <w:tcPr>
                  <w:tcW w:w="379" w:type="pct"/>
                  <w:vMerge w:val="restart"/>
                  <w:vAlign w:val="center"/>
                </w:tcPr>
                <w:p w14:paraId="60C3788F">
                  <w:pPr>
                    <w:widowControl/>
                    <w:jc w:val="center"/>
                    <w:rPr>
                      <w:rFonts w:hint="default" w:ascii="Times New Roman" w:hAnsi="Times New Roman" w:cs="Times New Roman"/>
                      <w:b/>
                      <w:color w:val="auto"/>
                      <w:sz w:val="21"/>
                      <w:szCs w:val="21"/>
                    </w:rPr>
                  </w:pPr>
                  <w:r>
                    <w:rPr>
                      <w:rFonts w:hint="default" w:ascii="Times New Roman" w:hAnsi="Times New Roman" w:eastAsia="CIDFont" w:cs="Times New Roman"/>
                      <w:b/>
                      <w:bCs/>
                      <w:color w:val="auto"/>
                      <w:kern w:val="0"/>
                      <w:sz w:val="21"/>
                      <w:szCs w:val="21"/>
                      <w:lang w:bidi="ar"/>
                    </w:rPr>
                    <w:t>非正常排放原因</w:t>
                  </w:r>
                </w:p>
              </w:tc>
              <w:tc>
                <w:tcPr>
                  <w:tcW w:w="577" w:type="pct"/>
                  <w:vMerge w:val="restart"/>
                  <w:vAlign w:val="center"/>
                </w:tcPr>
                <w:p w14:paraId="3E7D8B16">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排气量（m</w:t>
                  </w:r>
                  <w:r>
                    <w:rPr>
                      <w:rFonts w:hint="default" w:ascii="Times New Roman" w:hAnsi="Times New Roman" w:cs="Times New Roman"/>
                      <w:b/>
                      <w:color w:val="auto"/>
                      <w:sz w:val="21"/>
                      <w:szCs w:val="21"/>
                      <w:vertAlign w:val="superscript"/>
                    </w:rPr>
                    <w:t>3</w:t>
                  </w:r>
                  <w:r>
                    <w:rPr>
                      <w:rFonts w:hint="default" w:ascii="Times New Roman" w:hAnsi="Times New Roman" w:cs="Times New Roman"/>
                      <w:b/>
                      <w:color w:val="auto"/>
                      <w:sz w:val="21"/>
                      <w:szCs w:val="21"/>
                    </w:rPr>
                    <w:t>/h）</w:t>
                  </w:r>
                </w:p>
              </w:tc>
              <w:tc>
                <w:tcPr>
                  <w:tcW w:w="446" w:type="pct"/>
                  <w:vMerge w:val="restart"/>
                  <w:vAlign w:val="center"/>
                </w:tcPr>
                <w:p w14:paraId="31077B4F">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产污及污染物名称</w:t>
                  </w:r>
                </w:p>
              </w:tc>
              <w:tc>
                <w:tcPr>
                  <w:tcW w:w="1243" w:type="pct"/>
                  <w:gridSpan w:val="2"/>
                  <w:vAlign w:val="center"/>
                </w:tcPr>
                <w:p w14:paraId="73EA93D8">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排放情况</w:t>
                  </w:r>
                </w:p>
              </w:tc>
              <w:tc>
                <w:tcPr>
                  <w:tcW w:w="380" w:type="pct"/>
                  <w:vMerge w:val="restart"/>
                  <w:vAlign w:val="center"/>
                </w:tcPr>
                <w:p w14:paraId="274D1362">
                  <w:pPr>
                    <w:widowControl/>
                    <w:jc w:val="center"/>
                    <w:rPr>
                      <w:rFonts w:hint="default" w:ascii="Times New Roman" w:hAnsi="Times New Roman" w:cs="Times New Roman"/>
                      <w:color w:val="auto"/>
                      <w:sz w:val="21"/>
                      <w:szCs w:val="21"/>
                    </w:rPr>
                  </w:pPr>
                  <w:r>
                    <w:rPr>
                      <w:rFonts w:hint="default" w:ascii="Times New Roman" w:hAnsi="Times New Roman" w:eastAsia="CIDFont" w:cs="Times New Roman"/>
                      <w:b/>
                      <w:bCs/>
                      <w:color w:val="auto"/>
                      <w:kern w:val="0"/>
                      <w:sz w:val="21"/>
                      <w:szCs w:val="21"/>
                      <w:lang w:bidi="ar"/>
                    </w:rPr>
                    <w:t>单次持续</w:t>
                  </w:r>
                </w:p>
                <w:p w14:paraId="52C90416">
                  <w:pPr>
                    <w:widowControl/>
                    <w:jc w:val="center"/>
                    <w:rPr>
                      <w:rFonts w:hint="default" w:ascii="Times New Roman" w:hAnsi="Times New Roman" w:cs="Times New Roman"/>
                      <w:b/>
                      <w:color w:val="auto"/>
                      <w:sz w:val="21"/>
                      <w:szCs w:val="21"/>
                    </w:rPr>
                  </w:pPr>
                  <w:r>
                    <w:rPr>
                      <w:rFonts w:hint="default" w:ascii="Times New Roman" w:hAnsi="Times New Roman" w:eastAsia="CIDFont" w:cs="Times New Roman"/>
                      <w:b/>
                      <w:bCs/>
                      <w:color w:val="auto"/>
                      <w:kern w:val="0"/>
                      <w:sz w:val="21"/>
                      <w:szCs w:val="21"/>
                      <w:lang w:bidi="ar"/>
                    </w:rPr>
                    <w:t>时间/h</w:t>
                  </w:r>
                </w:p>
              </w:tc>
              <w:tc>
                <w:tcPr>
                  <w:tcW w:w="414" w:type="pct"/>
                  <w:vMerge w:val="restart"/>
                  <w:vAlign w:val="center"/>
                </w:tcPr>
                <w:p w14:paraId="770F12CE">
                  <w:pPr>
                    <w:widowControl/>
                    <w:jc w:val="center"/>
                    <w:rPr>
                      <w:rFonts w:hint="default" w:ascii="Times New Roman" w:hAnsi="Times New Roman" w:cs="Times New Roman"/>
                      <w:color w:val="auto"/>
                      <w:sz w:val="21"/>
                      <w:szCs w:val="21"/>
                    </w:rPr>
                  </w:pPr>
                  <w:r>
                    <w:rPr>
                      <w:rFonts w:hint="default" w:ascii="Times New Roman" w:hAnsi="Times New Roman" w:eastAsia="CIDFont" w:cs="Times New Roman"/>
                      <w:b/>
                      <w:bCs/>
                      <w:color w:val="auto"/>
                      <w:kern w:val="0"/>
                      <w:sz w:val="21"/>
                      <w:szCs w:val="21"/>
                      <w:lang w:bidi="ar"/>
                    </w:rPr>
                    <w:t>年发生频</w:t>
                  </w:r>
                </w:p>
                <w:p w14:paraId="0E2369B8">
                  <w:pPr>
                    <w:widowControl/>
                    <w:jc w:val="center"/>
                    <w:rPr>
                      <w:rFonts w:hint="default" w:ascii="Times New Roman" w:hAnsi="Times New Roman" w:cs="Times New Roman"/>
                      <w:b/>
                      <w:color w:val="auto"/>
                      <w:sz w:val="21"/>
                      <w:szCs w:val="21"/>
                    </w:rPr>
                  </w:pPr>
                  <w:r>
                    <w:rPr>
                      <w:rFonts w:hint="default" w:ascii="Times New Roman" w:hAnsi="Times New Roman" w:eastAsia="CIDFont" w:cs="Times New Roman"/>
                      <w:b/>
                      <w:bCs/>
                      <w:color w:val="auto"/>
                      <w:kern w:val="0"/>
                      <w:sz w:val="21"/>
                      <w:szCs w:val="21"/>
                      <w:lang w:bidi="ar"/>
                    </w:rPr>
                    <w:t>次/次</w:t>
                  </w:r>
                </w:p>
              </w:tc>
              <w:tc>
                <w:tcPr>
                  <w:tcW w:w="703" w:type="pct"/>
                  <w:vMerge w:val="restart"/>
                  <w:vAlign w:val="center"/>
                </w:tcPr>
                <w:p w14:paraId="3641BCF4">
                  <w:pPr>
                    <w:widowControl/>
                    <w:jc w:val="center"/>
                    <w:rPr>
                      <w:rFonts w:hint="default" w:ascii="Times New Roman" w:hAnsi="Times New Roman" w:cs="Times New Roman"/>
                      <w:b/>
                      <w:color w:val="auto"/>
                      <w:sz w:val="21"/>
                      <w:szCs w:val="21"/>
                    </w:rPr>
                  </w:pPr>
                  <w:r>
                    <w:rPr>
                      <w:rFonts w:hint="default" w:ascii="Times New Roman" w:hAnsi="Times New Roman" w:eastAsia="CIDFont" w:cs="Times New Roman"/>
                      <w:b/>
                      <w:bCs/>
                      <w:color w:val="auto"/>
                      <w:kern w:val="0"/>
                      <w:sz w:val="21"/>
                      <w:szCs w:val="21"/>
                      <w:lang w:bidi="ar"/>
                    </w:rPr>
                    <w:t>应对措施</w:t>
                  </w:r>
                </w:p>
              </w:tc>
            </w:tr>
            <w:tr w14:paraId="4286EB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42" w:type="pct"/>
                  <w:vMerge w:val="continue"/>
                  <w:vAlign w:val="center"/>
                </w:tcPr>
                <w:p w14:paraId="2BB23B96">
                  <w:pPr>
                    <w:adjustRightInd w:val="0"/>
                    <w:snapToGrid w:val="0"/>
                    <w:jc w:val="center"/>
                    <w:rPr>
                      <w:rFonts w:hint="default" w:ascii="Times New Roman" w:hAnsi="Times New Roman" w:cs="Times New Roman"/>
                      <w:b/>
                      <w:color w:val="auto"/>
                      <w:sz w:val="21"/>
                      <w:szCs w:val="21"/>
                    </w:rPr>
                  </w:pPr>
                </w:p>
              </w:tc>
              <w:tc>
                <w:tcPr>
                  <w:tcW w:w="412" w:type="pct"/>
                  <w:vMerge w:val="continue"/>
                  <w:vAlign w:val="center"/>
                </w:tcPr>
                <w:p w14:paraId="4B7B9DB4">
                  <w:pPr>
                    <w:adjustRightInd w:val="0"/>
                    <w:snapToGrid w:val="0"/>
                    <w:jc w:val="center"/>
                    <w:rPr>
                      <w:rFonts w:hint="default" w:ascii="Times New Roman" w:hAnsi="Times New Roman" w:cs="Times New Roman"/>
                      <w:b/>
                      <w:color w:val="auto"/>
                      <w:sz w:val="21"/>
                      <w:szCs w:val="21"/>
                    </w:rPr>
                  </w:pPr>
                </w:p>
              </w:tc>
              <w:tc>
                <w:tcPr>
                  <w:tcW w:w="379" w:type="pct"/>
                  <w:vMerge w:val="continue"/>
                  <w:vAlign w:val="center"/>
                </w:tcPr>
                <w:p w14:paraId="44D8917E">
                  <w:pPr>
                    <w:widowControl/>
                    <w:jc w:val="center"/>
                    <w:rPr>
                      <w:rFonts w:hint="default" w:ascii="Times New Roman" w:hAnsi="Times New Roman" w:eastAsia="CIDFont" w:cs="Times New Roman"/>
                      <w:b/>
                      <w:bCs/>
                      <w:color w:val="auto"/>
                      <w:kern w:val="0"/>
                      <w:sz w:val="21"/>
                      <w:szCs w:val="21"/>
                      <w:lang w:bidi="ar"/>
                    </w:rPr>
                  </w:pPr>
                </w:p>
              </w:tc>
              <w:tc>
                <w:tcPr>
                  <w:tcW w:w="577" w:type="pct"/>
                  <w:vMerge w:val="continue"/>
                  <w:vAlign w:val="center"/>
                </w:tcPr>
                <w:p w14:paraId="5553DF5C">
                  <w:pPr>
                    <w:adjustRightInd w:val="0"/>
                    <w:snapToGrid w:val="0"/>
                    <w:jc w:val="center"/>
                    <w:rPr>
                      <w:rFonts w:hint="default" w:ascii="Times New Roman" w:hAnsi="Times New Roman" w:cs="Times New Roman"/>
                      <w:b/>
                      <w:color w:val="auto"/>
                      <w:sz w:val="21"/>
                      <w:szCs w:val="21"/>
                    </w:rPr>
                  </w:pPr>
                </w:p>
              </w:tc>
              <w:tc>
                <w:tcPr>
                  <w:tcW w:w="446" w:type="pct"/>
                  <w:vMerge w:val="continue"/>
                  <w:vAlign w:val="center"/>
                </w:tcPr>
                <w:p w14:paraId="3C6B9429">
                  <w:pPr>
                    <w:adjustRightInd w:val="0"/>
                    <w:snapToGrid w:val="0"/>
                    <w:jc w:val="center"/>
                    <w:rPr>
                      <w:rFonts w:hint="default" w:ascii="Times New Roman" w:hAnsi="Times New Roman" w:cs="Times New Roman"/>
                      <w:b/>
                      <w:color w:val="auto"/>
                      <w:sz w:val="21"/>
                      <w:szCs w:val="21"/>
                    </w:rPr>
                  </w:pPr>
                </w:p>
              </w:tc>
              <w:tc>
                <w:tcPr>
                  <w:tcW w:w="677" w:type="pct"/>
                  <w:vAlign w:val="center"/>
                </w:tcPr>
                <w:p w14:paraId="3194ACED">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浓度（mg/m</w:t>
                  </w:r>
                  <w:r>
                    <w:rPr>
                      <w:rFonts w:hint="default" w:ascii="Times New Roman" w:hAnsi="Times New Roman" w:cs="Times New Roman"/>
                      <w:b/>
                      <w:color w:val="auto"/>
                      <w:sz w:val="21"/>
                      <w:szCs w:val="21"/>
                      <w:vertAlign w:val="superscript"/>
                    </w:rPr>
                    <w:t>3</w:t>
                  </w:r>
                  <w:r>
                    <w:rPr>
                      <w:rFonts w:hint="default" w:ascii="Times New Roman" w:hAnsi="Times New Roman" w:cs="Times New Roman"/>
                      <w:b/>
                      <w:color w:val="auto"/>
                      <w:sz w:val="21"/>
                      <w:szCs w:val="21"/>
                    </w:rPr>
                    <w:t>）</w:t>
                  </w:r>
                </w:p>
              </w:tc>
              <w:tc>
                <w:tcPr>
                  <w:tcW w:w="566" w:type="pct"/>
                  <w:vAlign w:val="center"/>
                </w:tcPr>
                <w:p w14:paraId="1B069353">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速率（kg/h）</w:t>
                  </w:r>
                </w:p>
              </w:tc>
              <w:tc>
                <w:tcPr>
                  <w:tcW w:w="380" w:type="pct"/>
                  <w:vMerge w:val="continue"/>
                  <w:vAlign w:val="center"/>
                </w:tcPr>
                <w:p w14:paraId="1C6D5938">
                  <w:pPr>
                    <w:adjustRightInd w:val="0"/>
                    <w:snapToGrid w:val="0"/>
                    <w:jc w:val="center"/>
                    <w:rPr>
                      <w:rFonts w:hint="default" w:ascii="Times New Roman" w:hAnsi="Times New Roman" w:cs="Times New Roman"/>
                      <w:b/>
                      <w:color w:val="auto"/>
                      <w:sz w:val="21"/>
                      <w:szCs w:val="21"/>
                    </w:rPr>
                  </w:pPr>
                </w:p>
              </w:tc>
              <w:tc>
                <w:tcPr>
                  <w:tcW w:w="414" w:type="pct"/>
                  <w:vMerge w:val="continue"/>
                  <w:vAlign w:val="center"/>
                </w:tcPr>
                <w:p w14:paraId="03FB645F">
                  <w:pPr>
                    <w:adjustRightInd w:val="0"/>
                    <w:snapToGrid w:val="0"/>
                    <w:jc w:val="center"/>
                    <w:rPr>
                      <w:rFonts w:hint="default" w:ascii="Times New Roman" w:hAnsi="Times New Roman" w:cs="Times New Roman"/>
                      <w:b/>
                      <w:color w:val="auto"/>
                      <w:sz w:val="21"/>
                      <w:szCs w:val="21"/>
                    </w:rPr>
                  </w:pPr>
                </w:p>
              </w:tc>
              <w:tc>
                <w:tcPr>
                  <w:tcW w:w="703" w:type="pct"/>
                  <w:vMerge w:val="continue"/>
                  <w:vAlign w:val="center"/>
                </w:tcPr>
                <w:p w14:paraId="31310F63">
                  <w:pPr>
                    <w:adjustRightInd w:val="0"/>
                    <w:snapToGrid w:val="0"/>
                    <w:jc w:val="center"/>
                    <w:rPr>
                      <w:rFonts w:hint="default" w:ascii="Times New Roman" w:hAnsi="Times New Roman" w:cs="Times New Roman"/>
                      <w:b/>
                      <w:color w:val="auto"/>
                      <w:sz w:val="21"/>
                      <w:szCs w:val="21"/>
                    </w:rPr>
                  </w:pPr>
                </w:p>
              </w:tc>
            </w:tr>
            <w:tr w14:paraId="0CC2B2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42" w:type="pct"/>
                  <w:vAlign w:val="center"/>
                </w:tcPr>
                <w:p w14:paraId="2BECD4D5">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DA001</w:t>
                  </w:r>
                </w:p>
              </w:tc>
              <w:tc>
                <w:tcPr>
                  <w:tcW w:w="412" w:type="pct"/>
                  <w:vAlign w:val="center"/>
                </w:tcPr>
                <w:p w14:paraId="6EE2EA5F">
                  <w:pPr>
                    <w:pStyle w:val="24"/>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印刷、复合、熟化</w:t>
                  </w:r>
                </w:p>
              </w:tc>
              <w:tc>
                <w:tcPr>
                  <w:tcW w:w="379" w:type="pct"/>
                  <w:vAlign w:val="center"/>
                </w:tcPr>
                <w:p w14:paraId="5A4381D1">
                  <w:pPr>
                    <w:pStyle w:val="24"/>
                    <w:spacing w:after="0" w:line="240" w:lineRule="auto"/>
                    <w:jc w:val="center"/>
                    <w:rPr>
                      <w:rFonts w:hint="default" w:ascii="Times New Roman" w:hAnsi="Times New Roman" w:cs="Times New Roman"/>
                      <w:color w:val="auto"/>
                      <w:sz w:val="21"/>
                      <w:szCs w:val="21"/>
                      <w:lang w:val="en-US"/>
                    </w:rPr>
                  </w:pPr>
                  <w:r>
                    <w:rPr>
                      <w:rFonts w:hint="default" w:ascii="Times New Roman" w:hAnsi="Times New Roman" w:cs="Times New Roman" w:eastAsiaTheme="minorEastAsia"/>
                      <w:bCs/>
                      <w:color w:val="auto"/>
                      <w:sz w:val="21"/>
                      <w:szCs w:val="21"/>
                      <w:lang w:val="en-US" w:eastAsia="zh-CN"/>
                    </w:rPr>
                    <w:t>二级活性炭吸附装置故障</w:t>
                  </w:r>
                </w:p>
              </w:tc>
              <w:tc>
                <w:tcPr>
                  <w:tcW w:w="577" w:type="pct"/>
                  <w:vAlign w:val="center"/>
                </w:tcPr>
                <w:p w14:paraId="520989D9">
                  <w:pPr>
                    <w:adjustRightInd w:val="0"/>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12000</w:t>
                  </w:r>
                </w:p>
              </w:tc>
              <w:tc>
                <w:tcPr>
                  <w:tcW w:w="446" w:type="pct"/>
                  <w:vAlign w:val="center"/>
                </w:tcPr>
                <w:p w14:paraId="4878DD69">
                  <w:pPr>
                    <w:pStyle w:val="24"/>
                    <w:spacing w:after="0"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非甲烷总烃</w:t>
                  </w:r>
                </w:p>
              </w:tc>
              <w:tc>
                <w:tcPr>
                  <w:tcW w:w="1743" w:type="dxa"/>
                  <w:vAlign w:val="center"/>
                </w:tcPr>
                <w:p w14:paraId="492CD7B2">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67.5</w:t>
                  </w:r>
                </w:p>
              </w:tc>
              <w:tc>
                <w:tcPr>
                  <w:tcW w:w="1458" w:type="dxa"/>
                  <w:vAlign w:val="center"/>
                </w:tcPr>
                <w:p w14:paraId="154711EA">
                  <w:pPr>
                    <w:pStyle w:val="24"/>
                    <w:spacing w:after="0" w:line="240" w:lineRule="auto"/>
                    <w:jc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0.81</w:t>
                  </w:r>
                </w:p>
              </w:tc>
              <w:tc>
                <w:tcPr>
                  <w:tcW w:w="380" w:type="pct"/>
                  <w:vAlign w:val="center"/>
                </w:tcPr>
                <w:p w14:paraId="4F684DBC">
                  <w:pPr>
                    <w:widowControl/>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CIDFont" w:cs="Times New Roman"/>
                      <w:color w:val="auto"/>
                      <w:kern w:val="0"/>
                      <w:sz w:val="21"/>
                      <w:szCs w:val="21"/>
                      <w:lang w:bidi="ar"/>
                    </w:rPr>
                    <w:t>≤</w:t>
                  </w:r>
                  <w:r>
                    <w:rPr>
                      <w:rFonts w:hint="default" w:ascii="Times New Roman" w:hAnsi="Times New Roman" w:eastAsia="宋体" w:cs="Times New Roman"/>
                      <w:color w:val="auto"/>
                      <w:kern w:val="0"/>
                      <w:sz w:val="21"/>
                      <w:szCs w:val="21"/>
                      <w:lang w:val="en-US" w:eastAsia="zh-CN" w:bidi="ar"/>
                    </w:rPr>
                    <w:t>0.5</w:t>
                  </w:r>
                </w:p>
              </w:tc>
              <w:tc>
                <w:tcPr>
                  <w:tcW w:w="414" w:type="pct"/>
                  <w:vAlign w:val="center"/>
                </w:tcPr>
                <w:p w14:paraId="5041240A">
                  <w:pPr>
                    <w:widowControl/>
                    <w:jc w:val="center"/>
                    <w:rPr>
                      <w:rFonts w:hint="default" w:ascii="Times New Roman" w:hAnsi="Times New Roman" w:eastAsia="CIDFont" w:cs="Times New Roman"/>
                      <w:color w:val="auto"/>
                      <w:kern w:val="0"/>
                      <w:sz w:val="21"/>
                      <w:szCs w:val="21"/>
                      <w:lang w:bidi="ar"/>
                    </w:rPr>
                  </w:pPr>
                  <w:r>
                    <w:rPr>
                      <w:rFonts w:hint="default" w:ascii="Times New Roman" w:hAnsi="Times New Roman" w:eastAsia="CIDFont" w:cs="Times New Roman"/>
                      <w:color w:val="auto"/>
                      <w:kern w:val="0"/>
                      <w:sz w:val="21"/>
                      <w:szCs w:val="21"/>
                      <w:lang w:bidi="ar"/>
                    </w:rPr>
                    <w:t>≤1</w:t>
                  </w:r>
                </w:p>
              </w:tc>
              <w:tc>
                <w:tcPr>
                  <w:tcW w:w="703" w:type="pct"/>
                  <w:vAlign w:val="center"/>
                </w:tcPr>
                <w:p w14:paraId="205112BA">
                  <w:pPr>
                    <w:widowControl/>
                    <w:jc w:val="center"/>
                    <w:rPr>
                      <w:rFonts w:hint="default" w:ascii="Times New Roman" w:hAnsi="Times New Roman" w:cs="Times New Roman"/>
                      <w:color w:val="auto"/>
                      <w:sz w:val="21"/>
                      <w:szCs w:val="21"/>
                    </w:rPr>
                  </w:pPr>
                  <w:r>
                    <w:rPr>
                      <w:rFonts w:hint="default" w:ascii="Times New Roman" w:hAnsi="Times New Roman" w:eastAsia="CIDFont" w:cs="Times New Roman"/>
                      <w:color w:val="auto"/>
                      <w:kern w:val="0"/>
                      <w:sz w:val="21"/>
                      <w:szCs w:val="21"/>
                      <w:lang w:bidi="ar"/>
                    </w:rPr>
                    <w:t>加强维护、选用可靠设备，加强管理</w:t>
                  </w:r>
                </w:p>
              </w:tc>
            </w:tr>
          </w:tbl>
          <w:p w14:paraId="722F3470">
            <w:pPr>
              <w:keepNext w:val="0"/>
              <w:keepLines w:val="0"/>
              <w:pageBreakBefore w:val="0"/>
              <w:widowControl w:val="0"/>
              <w:kinsoku/>
              <w:wordWrap/>
              <w:overflowPunct/>
              <w:topLinePunct w:val="0"/>
              <w:autoSpaceDE/>
              <w:autoSpaceDN/>
              <w:bidi w:val="0"/>
              <w:adjustRightInd w:val="0"/>
              <w:snapToGrid w:val="0"/>
              <w:spacing w:line="500" w:lineRule="exact"/>
              <w:ind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废气</w:t>
            </w:r>
            <w:r>
              <w:rPr>
                <w:rFonts w:hint="default" w:ascii="Times New Roman" w:hAnsi="Times New Roman" w:eastAsia="宋体" w:cs="Times New Roman"/>
                <w:b/>
                <w:bCs/>
                <w:color w:val="auto"/>
                <w:sz w:val="21"/>
                <w:szCs w:val="21"/>
              </w:rPr>
              <w:t>排放口基本情况</w:t>
            </w:r>
            <w:r>
              <w:rPr>
                <w:rFonts w:hint="default" w:ascii="Times New Roman" w:hAnsi="Times New Roman" w:eastAsia="宋体" w:cs="Times New Roman"/>
                <w:b/>
                <w:bCs/>
                <w:color w:val="auto"/>
                <w:sz w:val="21"/>
                <w:szCs w:val="21"/>
                <w:lang w:val="en-US" w:eastAsia="zh-CN"/>
              </w:rPr>
              <w:t>及监测方案</w:t>
            </w:r>
          </w:p>
          <w:p w14:paraId="56160798">
            <w:pPr>
              <w:adjustRightInd w:val="0"/>
              <w:snapToGrid w:val="0"/>
              <w:spacing w:line="500" w:lineRule="exact"/>
              <w:ind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本项目废气排放口基本情况见表4-</w:t>
            </w:r>
            <w:r>
              <w:rPr>
                <w:rFonts w:hint="default" w:ascii="Times New Roman" w:hAnsi="Times New Roman"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，监测方案见表4-</w:t>
            </w:r>
            <w:r>
              <w:rPr>
                <w:rFonts w:hint="default" w:ascii="Times New Roman" w:hAnsi="Times New Roman"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w:t>
            </w:r>
          </w:p>
          <w:p w14:paraId="401524C0">
            <w:pPr>
              <w:keepNext w:val="0"/>
              <w:keepLines w:val="0"/>
              <w:pageBreakBefore w:val="0"/>
              <w:widowControl w:val="0"/>
              <w:kinsoku/>
              <w:wordWrap/>
              <w:overflowPunct/>
              <w:topLinePunct w:val="0"/>
              <w:autoSpaceDE/>
              <w:autoSpaceDN/>
              <w:bidi w:val="0"/>
              <w:snapToGrid w:val="0"/>
              <w:spacing w:line="500" w:lineRule="exact"/>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表4-</w:t>
            </w:r>
            <w:r>
              <w:rPr>
                <w:rFonts w:hint="default" w:ascii="Times New Roman" w:hAnsi="Times New Roman" w:cs="Times New Roman"/>
                <w:b/>
                <w:color w:val="auto"/>
                <w:sz w:val="21"/>
                <w:szCs w:val="21"/>
                <w:lang w:val="en-US" w:eastAsia="zh-CN"/>
              </w:rPr>
              <w:t xml:space="preserve">6 </w:t>
            </w:r>
            <w:r>
              <w:rPr>
                <w:rFonts w:hint="default" w:ascii="Times New Roman" w:hAnsi="Times New Roman" w:cs="Times New Roman"/>
                <w:b/>
                <w:color w:val="auto"/>
                <w:sz w:val="21"/>
                <w:szCs w:val="21"/>
              </w:rPr>
              <w:t>排放口基本情况表</w:t>
            </w:r>
          </w:p>
          <w:tbl>
            <w:tblPr>
              <w:tblStyle w:val="31"/>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09"/>
              <w:gridCol w:w="524"/>
              <w:gridCol w:w="1046"/>
              <w:gridCol w:w="949"/>
              <w:gridCol w:w="976"/>
              <w:gridCol w:w="912"/>
              <w:gridCol w:w="948"/>
              <w:gridCol w:w="1065"/>
              <w:gridCol w:w="3541"/>
              <w:gridCol w:w="941"/>
              <w:gridCol w:w="1248"/>
            </w:tblGrid>
            <w:tr w14:paraId="1B56BA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vMerge w:val="restart"/>
                  <w:vAlign w:val="center"/>
                </w:tcPr>
                <w:p w14:paraId="24DCC8FE">
                  <w:pPr>
                    <w:pStyle w:val="4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排气筒编号</w:t>
                  </w:r>
                </w:p>
              </w:tc>
              <w:tc>
                <w:tcPr>
                  <w:tcW w:w="0" w:type="auto"/>
                  <w:vMerge w:val="restart"/>
                  <w:vAlign w:val="center"/>
                </w:tcPr>
                <w:p w14:paraId="13270881">
                  <w:pPr>
                    <w:pStyle w:val="4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类型</w:t>
                  </w:r>
                </w:p>
              </w:tc>
              <w:tc>
                <w:tcPr>
                  <w:tcW w:w="0" w:type="auto"/>
                  <w:gridSpan w:val="2"/>
                  <w:vAlign w:val="center"/>
                </w:tcPr>
                <w:p w14:paraId="259FAEDB">
                  <w:pPr>
                    <w:pStyle w:val="4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地理坐标</w:t>
                  </w:r>
                </w:p>
              </w:tc>
              <w:tc>
                <w:tcPr>
                  <w:tcW w:w="0" w:type="auto"/>
                  <w:vMerge w:val="restart"/>
                  <w:vAlign w:val="center"/>
                </w:tcPr>
                <w:p w14:paraId="0860B35F">
                  <w:pPr>
                    <w:pStyle w:val="4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排气筒高度（m）</w:t>
                  </w:r>
                </w:p>
              </w:tc>
              <w:tc>
                <w:tcPr>
                  <w:tcW w:w="0" w:type="auto"/>
                  <w:vMerge w:val="restart"/>
                  <w:vAlign w:val="center"/>
                </w:tcPr>
                <w:p w14:paraId="3F2784CE">
                  <w:pPr>
                    <w:pStyle w:val="4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出口内径（m）</w:t>
                  </w:r>
                </w:p>
              </w:tc>
              <w:tc>
                <w:tcPr>
                  <w:tcW w:w="0" w:type="auto"/>
                  <w:vMerge w:val="restart"/>
                  <w:vAlign w:val="center"/>
                </w:tcPr>
                <w:p w14:paraId="05FC7A7D">
                  <w:pPr>
                    <w:pStyle w:val="4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排气温度（℃）</w:t>
                  </w:r>
                </w:p>
              </w:tc>
              <w:tc>
                <w:tcPr>
                  <w:tcW w:w="1065" w:type="dxa"/>
                  <w:vMerge w:val="restart"/>
                  <w:vAlign w:val="center"/>
                </w:tcPr>
                <w:p w14:paraId="4C0D45D8">
                  <w:pPr>
                    <w:jc w:val="center"/>
                    <w:rPr>
                      <w:rFonts w:hint="default" w:ascii="Times New Roman" w:hAnsi="Times New Roman" w:cs="Times New Roman"/>
                      <w:b/>
                      <w:color w:val="auto"/>
                      <w:sz w:val="21"/>
                      <w:szCs w:val="21"/>
                    </w:rPr>
                  </w:pPr>
                  <w:r>
                    <w:rPr>
                      <w:rFonts w:hint="default" w:ascii="Times New Roman" w:hAnsi="Times New Roman" w:cs="Times New Roman"/>
                      <w:b/>
                      <w:bCs/>
                      <w:color w:val="auto"/>
                      <w:sz w:val="21"/>
                      <w:szCs w:val="21"/>
                    </w:rPr>
                    <w:t>污染物类型</w:t>
                  </w:r>
                </w:p>
              </w:tc>
              <w:tc>
                <w:tcPr>
                  <w:tcW w:w="5730" w:type="dxa"/>
                  <w:gridSpan w:val="3"/>
                  <w:vAlign w:val="center"/>
                </w:tcPr>
                <w:p w14:paraId="43515B21">
                  <w:pPr>
                    <w:pStyle w:val="4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排放标准</w:t>
                  </w:r>
                </w:p>
              </w:tc>
            </w:tr>
            <w:tr w14:paraId="735FAD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vMerge w:val="continue"/>
                  <w:vAlign w:val="center"/>
                </w:tcPr>
                <w:p w14:paraId="7EDD1858">
                  <w:pPr>
                    <w:pStyle w:val="49"/>
                    <w:rPr>
                      <w:rFonts w:hint="default" w:ascii="Times New Roman" w:hAnsi="Times New Roman" w:eastAsia="宋体" w:cs="Times New Roman"/>
                      <w:b/>
                      <w:color w:val="auto"/>
                      <w:sz w:val="21"/>
                      <w:szCs w:val="21"/>
                    </w:rPr>
                  </w:pPr>
                </w:p>
              </w:tc>
              <w:tc>
                <w:tcPr>
                  <w:tcW w:w="0" w:type="auto"/>
                  <w:vMerge w:val="continue"/>
                  <w:vAlign w:val="center"/>
                </w:tcPr>
                <w:p w14:paraId="2948EE4D">
                  <w:pPr>
                    <w:pStyle w:val="49"/>
                    <w:rPr>
                      <w:rFonts w:hint="default" w:ascii="Times New Roman" w:hAnsi="Times New Roman" w:eastAsia="宋体" w:cs="Times New Roman"/>
                      <w:b/>
                      <w:color w:val="auto"/>
                      <w:sz w:val="21"/>
                      <w:szCs w:val="21"/>
                    </w:rPr>
                  </w:pPr>
                </w:p>
              </w:tc>
              <w:tc>
                <w:tcPr>
                  <w:tcW w:w="0" w:type="auto"/>
                  <w:vAlign w:val="center"/>
                </w:tcPr>
                <w:p w14:paraId="6AAE8EB2">
                  <w:pPr>
                    <w:pStyle w:val="4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经度</w:t>
                  </w:r>
                </w:p>
              </w:tc>
              <w:tc>
                <w:tcPr>
                  <w:tcW w:w="0" w:type="auto"/>
                  <w:vAlign w:val="center"/>
                </w:tcPr>
                <w:p w14:paraId="22A09B2E">
                  <w:pPr>
                    <w:pStyle w:val="4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纬度</w:t>
                  </w:r>
                </w:p>
              </w:tc>
              <w:tc>
                <w:tcPr>
                  <w:tcW w:w="0" w:type="auto"/>
                  <w:vMerge w:val="continue"/>
                  <w:vAlign w:val="center"/>
                </w:tcPr>
                <w:p w14:paraId="71466BB8">
                  <w:pPr>
                    <w:pStyle w:val="49"/>
                    <w:rPr>
                      <w:rFonts w:hint="default" w:ascii="Times New Roman" w:hAnsi="Times New Roman" w:eastAsia="宋体" w:cs="Times New Roman"/>
                      <w:b/>
                      <w:color w:val="auto"/>
                      <w:sz w:val="21"/>
                      <w:szCs w:val="21"/>
                    </w:rPr>
                  </w:pPr>
                </w:p>
              </w:tc>
              <w:tc>
                <w:tcPr>
                  <w:tcW w:w="0" w:type="auto"/>
                  <w:vMerge w:val="continue"/>
                  <w:vAlign w:val="center"/>
                </w:tcPr>
                <w:p w14:paraId="0EEFDB8D">
                  <w:pPr>
                    <w:pStyle w:val="49"/>
                    <w:rPr>
                      <w:rFonts w:hint="default" w:ascii="Times New Roman" w:hAnsi="Times New Roman" w:eastAsia="宋体" w:cs="Times New Roman"/>
                      <w:b/>
                      <w:color w:val="auto"/>
                      <w:sz w:val="21"/>
                      <w:szCs w:val="21"/>
                    </w:rPr>
                  </w:pPr>
                </w:p>
              </w:tc>
              <w:tc>
                <w:tcPr>
                  <w:tcW w:w="0" w:type="auto"/>
                  <w:vMerge w:val="continue"/>
                  <w:vAlign w:val="center"/>
                </w:tcPr>
                <w:p w14:paraId="42FC1B56">
                  <w:pPr>
                    <w:pStyle w:val="49"/>
                    <w:rPr>
                      <w:rFonts w:hint="default" w:ascii="Times New Roman" w:hAnsi="Times New Roman" w:eastAsia="宋体" w:cs="Times New Roman"/>
                      <w:b/>
                      <w:color w:val="auto"/>
                      <w:sz w:val="21"/>
                      <w:szCs w:val="21"/>
                    </w:rPr>
                  </w:pPr>
                </w:p>
              </w:tc>
              <w:tc>
                <w:tcPr>
                  <w:tcW w:w="1065" w:type="dxa"/>
                  <w:vMerge w:val="continue"/>
                  <w:vAlign w:val="center"/>
                </w:tcPr>
                <w:p w14:paraId="2EDA9EE9">
                  <w:pPr>
                    <w:pStyle w:val="49"/>
                    <w:rPr>
                      <w:rFonts w:hint="default" w:ascii="Times New Roman" w:hAnsi="Times New Roman" w:cs="Times New Roman"/>
                      <w:b/>
                      <w:color w:val="auto"/>
                      <w:sz w:val="21"/>
                      <w:szCs w:val="21"/>
                    </w:rPr>
                  </w:pPr>
                </w:p>
              </w:tc>
              <w:tc>
                <w:tcPr>
                  <w:tcW w:w="3541" w:type="dxa"/>
                  <w:vAlign w:val="center"/>
                </w:tcPr>
                <w:p w14:paraId="6C88944E">
                  <w:pPr>
                    <w:tabs>
                      <w:tab w:val="left" w:pos="1418"/>
                    </w:tabs>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标准名称</w:t>
                  </w:r>
                </w:p>
              </w:tc>
              <w:tc>
                <w:tcPr>
                  <w:tcW w:w="941" w:type="dxa"/>
                  <w:vAlign w:val="center"/>
                </w:tcPr>
                <w:p w14:paraId="49518466">
                  <w:pPr>
                    <w:tabs>
                      <w:tab w:val="left" w:pos="1418"/>
                    </w:tabs>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auto"/>
                      <w:sz w:val="21"/>
                      <w:szCs w:val="21"/>
                    </w:rPr>
                    <w:t>浓度</w:t>
                  </w:r>
                  <w:r>
                    <w:rPr>
                      <w:rFonts w:hint="default" w:ascii="Times New Roman" w:hAnsi="Times New Roman" w:cs="Times New Roman"/>
                      <w:b/>
                      <w:color w:val="auto"/>
                      <w:sz w:val="21"/>
                      <w:szCs w:val="21"/>
                      <w:lang w:val="en-US" w:eastAsia="zh-CN"/>
                    </w:rPr>
                    <w:t>(</w:t>
                  </w:r>
                  <w:r>
                    <w:rPr>
                      <w:rFonts w:hint="default" w:ascii="Times New Roman" w:hAnsi="Times New Roman" w:cs="Times New Roman"/>
                      <w:b/>
                      <w:color w:val="auto"/>
                      <w:sz w:val="21"/>
                      <w:szCs w:val="21"/>
                    </w:rPr>
                    <w:t>mg/m</w:t>
                  </w:r>
                  <w:r>
                    <w:rPr>
                      <w:rFonts w:hint="default" w:ascii="Times New Roman" w:hAnsi="Times New Roman" w:cs="Times New Roman"/>
                      <w:b/>
                      <w:color w:val="auto"/>
                      <w:sz w:val="21"/>
                      <w:szCs w:val="21"/>
                      <w:vertAlign w:val="superscript"/>
                    </w:rPr>
                    <w:t>3</w:t>
                  </w:r>
                  <w:r>
                    <w:rPr>
                      <w:rFonts w:hint="default" w:ascii="Times New Roman" w:hAnsi="Times New Roman" w:cs="Times New Roman"/>
                      <w:b/>
                      <w:color w:val="auto"/>
                      <w:sz w:val="21"/>
                      <w:szCs w:val="21"/>
                      <w:lang w:val="en-US" w:eastAsia="zh-CN"/>
                    </w:rPr>
                    <w:t>)</w:t>
                  </w:r>
                </w:p>
              </w:tc>
              <w:tc>
                <w:tcPr>
                  <w:tcW w:w="1248" w:type="dxa"/>
                  <w:vAlign w:val="center"/>
                </w:tcPr>
                <w:p w14:paraId="2A1AAB7B">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速率（kg/h）</w:t>
                  </w:r>
                </w:p>
              </w:tc>
            </w:tr>
            <w:tr w14:paraId="641CE4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08" w:hRule="atLeast"/>
                <w:jc w:val="center"/>
              </w:trPr>
              <w:tc>
                <w:tcPr>
                  <w:tcW w:w="0" w:type="auto"/>
                  <w:vAlign w:val="center"/>
                </w:tcPr>
                <w:p w14:paraId="7FC7B4E1">
                  <w:pPr>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DA001</w:t>
                  </w:r>
                </w:p>
              </w:tc>
              <w:tc>
                <w:tcPr>
                  <w:tcW w:w="0" w:type="auto"/>
                  <w:vAlign w:val="center"/>
                </w:tcPr>
                <w:p w14:paraId="562B8EB0">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一般排放口</w:t>
                  </w:r>
                </w:p>
              </w:tc>
              <w:tc>
                <w:tcPr>
                  <w:tcW w:w="0" w:type="auto"/>
                  <w:vAlign w:val="center"/>
                </w:tcPr>
                <w:p w14:paraId="67834A43">
                  <w:pPr>
                    <w:tabs>
                      <w:tab w:val="left" w:pos="6840"/>
                    </w:tabs>
                    <w:spacing w:line="27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119.432261</w:t>
                  </w:r>
                </w:p>
              </w:tc>
              <w:tc>
                <w:tcPr>
                  <w:tcW w:w="0" w:type="auto"/>
                  <w:vAlign w:val="center"/>
                </w:tcPr>
                <w:p w14:paraId="2BD1FF3A">
                  <w:pPr>
                    <w:tabs>
                      <w:tab w:val="left" w:pos="6840"/>
                    </w:tabs>
                    <w:spacing w:line="27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31.738184</w:t>
                  </w:r>
                </w:p>
              </w:tc>
              <w:tc>
                <w:tcPr>
                  <w:tcW w:w="0" w:type="auto"/>
                  <w:vAlign w:val="center"/>
                </w:tcPr>
                <w:p w14:paraId="0B5802D7">
                  <w:pPr>
                    <w:pStyle w:val="4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0" w:type="auto"/>
                  <w:vAlign w:val="center"/>
                </w:tcPr>
                <w:p w14:paraId="256DADB3">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0" w:type="auto"/>
                  <w:vAlign w:val="center"/>
                </w:tcPr>
                <w:p w14:paraId="42DF9171">
                  <w:pPr>
                    <w:pStyle w:val="4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1065" w:type="dxa"/>
                  <w:vAlign w:val="center"/>
                </w:tcPr>
                <w:p w14:paraId="6D2193BC">
                  <w:pPr>
                    <w:pStyle w:val="49"/>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非甲烷总烃</w:t>
                  </w:r>
                </w:p>
              </w:tc>
              <w:tc>
                <w:tcPr>
                  <w:tcW w:w="3541" w:type="dxa"/>
                  <w:vAlign w:val="center"/>
                </w:tcPr>
                <w:p w14:paraId="6A958DCC">
                  <w:pPr>
                    <w:pStyle w:val="7"/>
                    <w:adjustRightInd w:val="0"/>
                    <w:snapToGrid w:val="0"/>
                    <w:ind w:firstLine="0"/>
                    <w:jc w:val="center"/>
                    <w:rPr>
                      <w:rFonts w:hint="default" w:ascii="Times New Roman" w:hAnsi="Times New Roman" w:eastAsia="宋体" w:cs="Times New Roman"/>
                      <w:color w:val="auto"/>
                      <w:sz w:val="21"/>
                      <w:szCs w:val="21"/>
                      <w:lang w:eastAsia="zh-CN"/>
                    </w:rPr>
                  </w:pPr>
                  <w:r>
                    <w:rPr>
                      <w:color w:val="auto"/>
                      <w:sz w:val="21"/>
                      <w:szCs w:val="21"/>
                    </w:rPr>
                    <w:t>《印刷工业大气污染物排放标准》（DB32／4438-2022）表1限值</w:t>
                  </w:r>
                </w:p>
              </w:tc>
              <w:tc>
                <w:tcPr>
                  <w:tcW w:w="941" w:type="dxa"/>
                  <w:vAlign w:val="center"/>
                </w:tcPr>
                <w:p w14:paraId="212999E3">
                  <w:pPr>
                    <w:pStyle w:val="7"/>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50</w:t>
                  </w:r>
                </w:p>
              </w:tc>
              <w:tc>
                <w:tcPr>
                  <w:tcW w:w="1248" w:type="dxa"/>
                  <w:vAlign w:val="center"/>
                </w:tcPr>
                <w:p w14:paraId="33E4F54A">
                  <w:pPr>
                    <w:pStyle w:val="24"/>
                    <w:spacing w:after="0"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1.8</w:t>
                  </w:r>
                </w:p>
              </w:tc>
            </w:tr>
          </w:tbl>
          <w:p w14:paraId="4EA3969B">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color w:val="auto"/>
                <w:sz w:val="21"/>
                <w:szCs w:val="21"/>
              </w:rPr>
            </w:pPr>
          </w:p>
        </w:tc>
      </w:tr>
    </w:tbl>
    <w:p w14:paraId="4461F161">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rPr>
        <w:sectPr>
          <w:headerReference r:id="rId8" w:type="default"/>
          <w:pgSz w:w="16838" w:h="11906" w:orient="landscape"/>
          <w:pgMar w:top="1417"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pPr w:leftFromText="180" w:rightFromText="180" w:vertAnchor="text" w:tblpXSpec="center" w:tblpY="1"/>
        <w:tblOverlap w:val="never"/>
        <w:tblW w:w="91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8425"/>
      </w:tblGrid>
      <w:tr w14:paraId="69FCC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1" w:hRule="atLeast"/>
        </w:trPr>
        <w:tc>
          <w:tcPr>
            <w:tcW w:w="724" w:type="dxa"/>
            <w:tcMar>
              <w:left w:w="28" w:type="dxa"/>
              <w:right w:w="28" w:type="dxa"/>
            </w:tcMar>
            <w:vAlign w:val="center"/>
          </w:tcPr>
          <w:p w14:paraId="5FFBCA5C">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运营</w:t>
            </w:r>
          </w:p>
          <w:p w14:paraId="3257A86A">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期环</w:t>
            </w:r>
          </w:p>
          <w:p w14:paraId="53B6AEA1">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境影</w:t>
            </w:r>
          </w:p>
          <w:p w14:paraId="2F7726C0">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响和</w:t>
            </w:r>
          </w:p>
          <w:p w14:paraId="74674179">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保护</w:t>
            </w:r>
          </w:p>
          <w:p w14:paraId="6C19A51A">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措施</w:t>
            </w:r>
          </w:p>
        </w:tc>
        <w:tc>
          <w:tcPr>
            <w:tcW w:w="8425" w:type="dxa"/>
            <w:vAlign w:val="center"/>
          </w:tcPr>
          <w:p w14:paraId="2CC28E0A">
            <w:pPr>
              <w:adjustRightInd w:val="0"/>
              <w:snapToGrid w:val="0"/>
              <w:spacing w:line="500" w:lineRule="exact"/>
              <w:ind w:firstLine="420" w:firstLineChars="200"/>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lang w:val="en-US" w:eastAsia="zh-CN"/>
              </w:rPr>
              <w:t>参</w:t>
            </w:r>
            <w:r>
              <w:rPr>
                <w:rFonts w:hint="default" w:ascii="Times New Roman" w:hAnsi="Times New Roman" w:eastAsia="宋体" w:cs="Times New Roman"/>
                <w:color w:val="auto"/>
                <w:sz w:val="21"/>
                <w:szCs w:val="21"/>
                <w:highlight w:val="none"/>
                <w:lang w:val="en-US" w:eastAsia="zh-CN"/>
              </w:rPr>
              <w:t>照</w:t>
            </w:r>
            <w:r>
              <w:rPr>
                <w:rFonts w:hint="default" w:ascii="Times New Roman" w:hAnsi="Times New Roman" w:cs="Times New Roman"/>
                <w:bCs/>
                <w:color w:val="auto"/>
                <w:sz w:val="21"/>
                <w:szCs w:val="21"/>
                <w:lang w:eastAsia="zh-CN" w:bidi="ar"/>
              </w:rPr>
              <w:t>《</w:t>
            </w:r>
            <w:r>
              <w:rPr>
                <w:rFonts w:hint="default" w:ascii="Times New Roman" w:hAnsi="Times New Roman" w:cs="Times New Roman"/>
                <w:bCs/>
                <w:color w:val="auto"/>
                <w:sz w:val="21"/>
                <w:szCs w:val="21"/>
                <w:lang w:bidi="ar"/>
              </w:rPr>
              <w:t>排污单位自行监测技术指南总则》</w:t>
            </w:r>
            <w:r>
              <w:rPr>
                <w:rFonts w:hint="default" w:ascii="Times New Roman" w:hAnsi="Times New Roman" w:cs="Times New Roman"/>
                <w:bCs/>
                <w:color w:val="auto"/>
                <w:sz w:val="21"/>
                <w:szCs w:val="21"/>
                <w:lang w:eastAsia="zh-CN" w:bidi="ar"/>
              </w:rPr>
              <w:t>（</w:t>
            </w:r>
            <w:r>
              <w:rPr>
                <w:rFonts w:hint="default" w:ascii="Times New Roman" w:hAnsi="Times New Roman" w:cs="Times New Roman"/>
                <w:bCs/>
                <w:color w:val="auto"/>
                <w:sz w:val="21"/>
                <w:szCs w:val="21"/>
                <w:lang w:bidi="ar"/>
              </w:rPr>
              <w:t>HJ819-2017</w:t>
            </w:r>
            <w:r>
              <w:rPr>
                <w:rFonts w:hint="default" w:ascii="Times New Roman" w:hAnsi="Times New Roman" w:cs="Times New Roman"/>
                <w:bCs/>
                <w:color w:val="auto"/>
                <w:sz w:val="21"/>
                <w:szCs w:val="21"/>
                <w:lang w:eastAsia="zh-CN" w:bidi="ar"/>
              </w:rPr>
              <w:t>）</w:t>
            </w:r>
            <w:r>
              <w:rPr>
                <w:rFonts w:hint="default" w:ascii="Times New Roman" w:hAnsi="Times New Roman" w:cs="Times New Roman"/>
                <w:bCs/>
                <w:color w:val="auto"/>
                <w:sz w:val="21"/>
                <w:szCs w:val="21"/>
                <w:lang w:bidi="ar"/>
              </w:rPr>
              <w:t>、</w:t>
            </w:r>
            <w:r>
              <w:rPr>
                <w:rFonts w:hint="eastAsia" w:ascii="Times New Roman" w:hAnsi="Times New Roman" w:eastAsia="宋体" w:cs="Times New Roman"/>
                <w:bCs/>
                <w:color w:val="auto"/>
                <w:sz w:val="21"/>
                <w:szCs w:val="21"/>
                <w:lang w:eastAsia="zh-CN" w:bidi="ar"/>
              </w:rPr>
              <w:t>《排污许可证申请与核发技术规范橡胶和塑料制品工业》（HJ1122-2020）</w:t>
            </w:r>
            <w:r>
              <w:rPr>
                <w:rFonts w:hint="default" w:ascii="Times New Roman" w:hAnsi="Times New Roman" w:eastAsia="宋体" w:cs="Times New Roman"/>
                <w:bCs/>
                <w:color w:val="auto"/>
                <w:sz w:val="21"/>
                <w:szCs w:val="21"/>
                <w:lang w:bidi="ar"/>
              </w:rPr>
              <w:t>及《江</w:t>
            </w:r>
            <w:r>
              <w:rPr>
                <w:rFonts w:hint="default" w:ascii="Times New Roman" w:hAnsi="Times New Roman" w:cs="Times New Roman"/>
                <w:bCs/>
                <w:color w:val="auto"/>
                <w:sz w:val="21"/>
                <w:szCs w:val="21"/>
                <w:lang w:bidi="ar"/>
              </w:rPr>
              <w:t>苏省污染源自动</w:t>
            </w:r>
            <w:r>
              <w:rPr>
                <w:rFonts w:hint="default" w:ascii="Times New Roman" w:hAnsi="Times New Roman" w:cs="Times New Roman"/>
                <w:bCs/>
                <w:color w:val="auto"/>
                <w:sz w:val="21"/>
                <w:szCs w:val="21"/>
                <w:lang w:val="en-US" w:eastAsia="zh-CN" w:bidi="ar"/>
              </w:rPr>
              <w:t>监测</w:t>
            </w:r>
            <w:r>
              <w:rPr>
                <w:rFonts w:hint="default" w:ascii="Times New Roman" w:hAnsi="Times New Roman" w:cs="Times New Roman"/>
                <w:bCs/>
                <w:color w:val="auto"/>
                <w:sz w:val="21"/>
                <w:szCs w:val="21"/>
                <w:lang w:bidi="ar"/>
              </w:rPr>
              <w:t>监控管理办法</w:t>
            </w:r>
            <w:r>
              <w:rPr>
                <w:rFonts w:hint="default" w:ascii="Times New Roman" w:hAnsi="Times New Roman" w:cs="Times New Roman"/>
                <w:bCs/>
                <w:color w:val="auto"/>
                <w:sz w:val="21"/>
                <w:szCs w:val="21"/>
                <w:lang w:eastAsia="zh-CN" w:bidi="ar"/>
              </w:rPr>
              <w:t>（</w:t>
            </w:r>
            <w:r>
              <w:rPr>
                <w:rFonts w:hint="default" w:ascii="Times New Roman" w:hAnsi="Times New Roman" w:cs="Times New Roman"/>
                <w:bCs/>
                <w:color w:val="auto"/>
                <w:sz w:val="21"/>
                <w:szCs w:val="21"/>
                <w:lang w:val="en-US" w:eastAsia="zh-CN" w:bidi="ar"/>
              </w:rPr>
              <w:t>2022年修订</w:t>
            </w:r>
            <w:r>
              <w:rPr>
                <w:rFonts w:hint="default" w:ascii="Times New Roman" w:hAnsi="Times New Roman" w:cs="Times New Roman"/>
                <w:bCs/>
                <w:color w:val="auto"/>
                <w:sz w:val="21"/>
                <w:szCs w:val="21"/>
                <w:lang w:eastAsia="zh-CN" w:bidi="ar"/>
              </w:rPr>
              <w:t>）</w:t>
            </w:r>
            <w:r>
              <w:rPr>
                <w:rFonts w:hint="default" w:ascii="Times New Roman" w:hAnsi="Times New Roman" w:cs="Times New Roman"/>
                <w:bCs/>
                <w:color w:val="auto"/>
                <w:sz w:val="21"/>
                <w:szCs w:val="21"/>
                <w:lang w:bidi="ar"/>
              </w:rPr>
              <w:t>》</w:t>
            </w:r>
            <w:r>
              <w:rPr>
                <w:rFonts w:hint="default" w:ascii="Times New Roman" w:hAnsi="Times New Roman" w:cs="Times New Roman"/>
                <w:bCs/>
                <w:color w:val="auto"/>
                <w:sz w:val="21"/>
                <w:szCs w:val="21"/>
                <w:lang w:eastAsia="zh-CN" w:bidi="ar"/>
              </w:rPr>
              <w:t>（</w:t>
            </w:r>
            <w:r>
              <w:rPr>
                <w:rFonts w:hint="default" w:ascii="Times New Roman" w:hAnsi="Times New Roman" w:cs="Times New Roman"/>
                <w:bCs/>
                <w:color w:val="auto"/>
                <w:sz w:val="21"/>
                <w:szCs w:val="21"/>
                <w:lang w:val="en-US" w:eastAsia="zh-CN" w:bidi="ar"/>
              </w:rPr>
              <w:t>苏环发[2022]5号</w:t>
            </w:r>
            <w:r>
              <w:rPr>
                <w:rFonts w:hint="default" w:ascii="Times New Roman" w:hAnsi="Times New Roman" w:cs="Times New Roman"/>
                <w:bCs/>
                <w:color w:val="auto"/>
                <w:sz w:val="21"/>
                <w:szCs w:val="21"/>
                <w:lang w:eastAsia="zh-CN" w:bidi="ar"/>
              </w:rPr>
              <w:t>）</w:t>
            </w:r>
            <w:r>
              <w:rPr>
                <w:rFonts w:hint="default" w:ascii="Times New Roman" w:hAnsi="Times New Roman" w:cs="Times New Roman"/>
                <w:bCs/>
                <w:color w:val="auto"/>
                <w:sz w:val="21"/>
                <w:szCs w:val="21"/>
                <w:lang w:bidi="ar"/>
              </w:rPr>
              <w:t>，本项目废气自行监测方案如下表所示</w:t>
            </w:r>
            <w:r>
              <w:rPr>
                <w:rFonts w:hint="default" w:ascii="Times New Roman" w:hAnsi="Times New Roman" w:eastAsia="宋体" w:cs="Times New Roman"/>
                <w:color w:val="auto"/>
                <w:sz w:val="21"/>
                <w:szCs w:val="21"/>
                <w:highlight w:val="none"/>
                <w:lang w:val="en-US" w:eastAsia="zh-CN"/>
              </w:rPr>
              <w:t>。</w:t>
            </w:r>
          </w:p>
          <w:p w14:paraId="72075B52">
            <w:pPr>
              <w:keepNext w:val="0"/>
              <w:keepLines w:val="0"/>
              <w:pageBreakBefore w:val="0"/>
              <w:widowControl w:val="0"/>
              <w:kinsoku/>
              <w:wordWrap/>
              <w:overflowPunct/>
              <w:topLinePunct w:val="0"/>
              <w:autoSpaceDE/>
              <w:autoSpaceDN/>
              <w:bidi w:val="0"/>
              <w:snapToGrid w:val="0"/>
              <w:spacing w:line="500" w:lineRule="exact"/>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cs="Times New Roman"/>
                <w:b/>
                <w:color w:val="auto"/>
                <w:sz w:val="21"/>
                <w:szCs w:val="21"/>
                <w:highlight w:val="none"/>
              </w:rPr>
              <w:t>表4-</w:t>
            </w:r>
            <w:r>
              <w:rPr>
                <w:rFonts w:hint="eastAsia" w:cs="Times New Roman"/>
                <w:b/>
                <w:color w:val="auto"/>
                <w:sz w:val="21"/>
                <w:szCs w:val="21"/>
                <w:highlight w:val="none"/>
                <w:lang w:val="en-US" w:eastAsia="zh-CN"/>
              </w:rPr>
              <w:t xml:space="preserve">7 </w:t>
            </w:r>
            <w:r>
              <w:rPr>
                <w:rFonts w:hint="default" w:ascii="Times New Roman" w:hAnsi="Times New Roman" w:cs="Times New Roman"/>
                <w:b/>
                <w:color w:val="auto"/>
                <w:sz w:val="21"/>
                <w:szCs w:val="21"/>
                <w:highlight w:val="none"/>
                <w:lang w:val="en-US" w:eastAsia="zh-CN"/>
              </w:rPr>
              <w:t>本项目</w:t>
            </w:r>
            <w:r>
              <w:rPr>
                <w:rFonts w:hint="default" w:ascii="Times New Roman" w:hAnsi="Times New Roman" w:cs="Times New Roman"/>
                <w:b/>
                <w:color w:val="auto"/>
                <w:sz w:val="21"/>
                <w:szCs w:val="21"/>
                <w:highlight w:val="none"/>
              </w:rPr>
              <w:t>废气</w:t>
            </w:r>
            <w:r>
              <w:rPr>
                <w:rFonts w:hint="default" w:ascii="Times New Roman" w:hAnsi="Times New Roman" w:cs="Times New Roman"/>
                <w:b/>
                <w:color w:val="auto"/>
                <w:sz w:val="21"/>
                <w:szCs w:val="21"/>
                <w:highlight w:val="none"/>
                <w:lang w:val="en-US" w:eastAsia="zh-CN"/>
              </w:rPr>
              <w:t>自行</w:t>
            </w:r>
            <w:r>
              <w:rPr>
                <w:rFonts w:hint="default" w:ascii="Times New Roman" w:hAnsi="Times New Roman" w:cs="Times New Roman"/>
                <w:b/>
                <w:color w:val="auto"/>
                <w:sz w:val="21"/>
                <w:szCs w:val="21"/>
                <w:highlight w:val="none"/>
              </w:rPr>
              <w:t>监测</w:t>
            </w:r>
            <w:r>
              <w:rPr>
                <w:rFonts w:hint="default" w:ascii="Times New Roman" w:hAnsi="Times New Roman" w:cs="Times New Roman"/>
                <w:b/>
                <w:color w:val="auto"/>
                <w:sz w:val="21"/>
                <w:szCs w:val="21"/>
                <w:highlight w:val="none"/>
                <w:lang w:val="en-US" w:eastAsia="zh-CN"/>
              </w:rPr>
              <w:t>方案</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28" w:type="dxa"/>
                <w:left w:w="79" w:type="dxa"/>
                <w:bottom w:w="28" w:type="dxa"/>
                <w:right w:w="79" w:type="dxa"/>
              </w:tblCellMar>
            </w:tblPr>
            <w:tblGrid>
              <w:gridCol w:w="1057"/>
              <w:gridCol w:w="2986"/>
              <w:gridCol w:w="2868"/>
              <w:gridCol w:w="1295"/>
            </w:tblGrid>
            <w:tr w14:paraId="4C655D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644" w:type="pct"/>
                  <w:vAlign w:val="center"/>
                </w:tcPr>
                <w:p w14:paraId="2449B7DB">
                  <w:pPr>
                    <w:adjustRightInd w:val="0"/>
                    <w:snapToGrid w:val="0"/>
                    <w:jc w:val="center"/>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lang w:val="en-US" w:eastAsia="zh-CN"/>
                    </w:rPr>
                    <w:t>类别</w:t>
                  </w:r>
                </w:p>
              </w:tc>
              <w:tc>
                <w:tcPr>
                  <w:tcW w:w="1819" w:type="pct"/>
                  <w:vAlign w:val="center"/>
                </w:tcPr>
                <w:p w14:paraId="179D6D24">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监测点位</w:t>
                  </w:r>
                </w:p>
              </w:tc>
              <w:tc>
                <w:tcPr>
                  <w:tcW w:w="1747" w:type="pct"/>
                  <w:vAlign w:val="center"/>
                </w:tcPr>
                <w:p w14:paraId="1C56D2E6">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监测项目</w:t>
                  </w:r>
                </w:p>
              </w:tc>
              <w:tc>
                <w:tcPr>
                  <w:tcW w:w="789" w:type="pct"/>
                  <w:vAlign w:val="center"/>
                </w:tcPr>
                <w:p w14:paraId="5351BAB1">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监测频率</w:t>
                  </w:r>
                </w:p>
              </w:tc>
            </w:tr>
            <w:tr w14:paraId="0C2034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644" w:type="pct"/>
                  <w:vAlign w:val="center"/>
                </w:tcPr>
                <w:p w14:paraId="31EC3ABF">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有组织</w:t>
                  </w:r>
                </w:p>
              </w:tc>
              <w:tc>
                <w:tcPr>
                  <w:tcW w:w="1819" w:type="pct"/>
                  <w:vAlign w:val="center"/>
                </w:tcPr>
                <w:p w14:paraId="68074E7E">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DA00</w:t>
                  </w:r>
                  <w:r>
                    <w:rPr>
                      <w:rFonts w:hint="eastAsia" w:cs="Times New Roman"/>
                      <w:color w:val="auto"/>
                      <w:sz w:val="21"/>
                      <w:szCs w:val="21"/>
                      <w:lang w:val="en-US" w:eastAsia="zh-CN"/>
                    </w:rPr>
                    <w:t>1</w:t>
                  </w:r>
                </w:p>
              </w:tc>
              <w:tc>
                <w:tcPr>
                  <w:tcW w:w="1747" w:type="pct"/>
                  <w:vAlign w:val="center"/>
                </w:tcPr>
                <w:p w14:paraId="0935C508">
                  <w:pPr>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789" w:type="pct"/>
                  <w:vAlign w:val="center"/>
                </w:tcPr>
                <w:p w14:paraId="7BCEF3B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1次/</w:t>
                  </w:r>
                  <w:r>
                    <w:rPr>
                      <w:rFonts w:hint="eastAsia" w:ascii="Times New Roman" w:hAnsi="Times New Roman" w:eastAsia="宋体" w:cs="Times New Roman"/>
                      <w:color w:val="auto"/>
                      <w:sz w:val="21"/>
                      <w:szCs w:val="21"/>
                      <w:highlight w:val="none"/>
                      <w:lang w:val="en-US" w:eastAsia="zh-CN"/>
                    </w:rPr>
                    <w:t>年</w:t>
                  </w:r>
                </w:p>
              </w:tc>
            </w:tr>
            <w:tr w14:paraId="509A22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24" w:hRule="atLeast"/>
                <w:jc w:val="center"/>
              </w:trPr>
              <w:tc>
                <w:tcPr>
                  <w:tcW w:w="644" w:type="pct"/>
                  <w:vMerge w:val="restart"/>
                  <w:vAlign w:val="center"/>
                </w:tcPr>
                <w:p w14:paraId="23C819A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无组织</w:t>
                  </w:r>
                </w:p>
              </w:tc>
              <w:tc>
                <w:tcPr>
                  <w:tcW w:w="1819" w:type="pct"/>
                  <w:vAlign w:val="center"/>
                </w:tcPr>
                <w:p w14:paraId="3D894F11">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厂界外</w:t>
                  </w:r>
                </w:p>
              </w:tc>
              <w:tc>
                <w:tcPr>
                  <w:tcW w:w="1747" w:type="pct"/>
                  <w:vAlign w:val="center"/>
                </w:tcPr>
                <w:p w14:paraId="17BB6F60">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非甲烷总烃</w:t>
                  </w:r>
                </w:p>
              </w:tc>
              <w:tc>
                <w:tcPr>
                  <w:tcW w:w="789" w:type="pct"/>
                  <w:vAlign w:val="center"/>
                </w:tcPr>
                <w:p w14:paraId="4C09D7A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1次/</w:t>
                  </w:r>
                  <w:r>
                    <w:rPr>
                      <w:rFonts w:hint="eastAsia" w:ascii="Times New Roman" w:hAnsi="Times New Roman" w:eastAsia="宋体" w:cs="Times New Roman"/>
                      <w:color w:val="auto"/>
                      <w:sz w:val="21"/>
                      <w:szCs w:val="21"/>
                      <w:highlight w:val="none"/>
                      <w:lang w:val="en-US" w:eastAsia="zh-CN"/>
                    </w:rPr>
                    <w:t>年</w:t>
                  </w:r>
                </w:p>
              </w:tc>
            </w:tr>
            <w:tr w14:paraId="76BE1B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24" w:hRule="atLeast"/>
                <w:jc w:val="center"/>
              </w:trPr>
              <w:tc>
                <w:tcPr>
                  <w:tcW w:w="644" w:type="pct"/>
                  <w:vMerge w:val="continue"/>
                  <w:vAlign w:val="center"/>
                </w:tcPr>
                <w:p w14:paraId="7F7FD970">
                  <w:pPr>
                    <w:adjustRightInd w:val="0"/>
                    <w:snapToGrid w:val="0"/>
                    <w:jc w:val="center"/>
                    <w:rPr>
                      <w:rFonts w:hint="default" w:ascii="Times New Roman" w:hAnsi="Times New Roman" w:cs="Times New Roman"/>
                      <w:color w:val="auto"/>
                      <w:sz w:val="21"/>
                      <w:szCs w:val="21"/>
                      <w:lang w:val="en-US" w:eastAsia="zh-CN"/>
                    </w:rPr>
                  </w:pPr>
                </w:p>
              </w:tc>
              <w:tc>
                <w:tcPr>
                  <w:tcW w:w="1819" w:type="pct"/>
                  <w:vAlign w:val="center"/>
                </w:tcPr>
                <w:p w14:paraId="4A97D0B1">
                  <w:pPr>
                    <w:adjustRightInd w:val="0"/>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车间外</w:t>
                  </w:r>
                </w:p>
              </w:tc>
              <w:tc>
                <w:tcPr>
                  <w:tcW w:w="1747" w:type="pct"/>
                  <w:vAlign w:val="center"/>
                </w:tcPr>
                <w:p w14:paraId="66BAC9FD">
                  <w:pPr>
                    <w:adjustRightInd w:val="0"/>
                    <w:snapToGrid w:val="0"/>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789" w:type="pct"/>
                  <w:vAlign w:val="center"/>
                </w:tcPr>
                <w:p w14:paraId="34E4944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1次/</w:t>
                  </w:r>
                  <w:r>
                    <w:rPr>
                      <w:rFonts w:hint="eastAsia" w:ascii="Times New Roman" w:hAnsi="Times New Roman" w:eastAsia="宋体" w:cs="Times New Roman"/>
                      <w:color w:val="auto"/>
                      <w:sz w:val="21"/>
                      <w:szCs w:val="21"/>
                      <w:highlight w:val="none"/>
                      <w:lang w:val="en-US" w:eastAsia="zh-CN"/>
                    </w:rPr>
                    <w:t>年</w:t>
                  </w:r>
                </w:p>
              </w:tc>
            </w:tr>
          </w:tbl>
          <w:p w14:paraId="0C7E1305">
            <w:pPr>
              <w:adjustRightInd w:val="0"/>
              <w:snapToGrid w:val="0"/>
              <w:spacing w:line="500" w:lineRule="exact"/>
              <w:ind w:firstLine="422" w:firstLineChars="200"/>
              <w:rPr>
                <w:rFonts w:hint="default" w:ascii="Times New Roman" w:hAnsi="Times New Roman" w:cs="Times New Roman"/>
                <w:b/>
                <w:color w:val="auto"/>
                <w:sz w:val="21"/>
                <w:szCs w:val="21"/>
              </w:rPr>
            </w:pPr>
            <w:r>
              <w:rPr>
                <w:rFonts w:hint="eastAsia" w:cs="Times New Roman"/>
                <w:b/>
                <w:color w:val="auto"/>
                <w:sz w:val="21"/>
                <w:szCs w:val="21"/>
                <w:lang w:val="en-US" w:eastAsia="zh-CN"/>
              </w:rPr>
              <w:t>6、</w:t>
            </w:r>
            <w:r>
              <w:rPr>
                <w:rFonts w:hint="default" w:ascii="Times New Roman" w:hAnsi="Times New Roman" w:cs="Times New Roman"/>
                <w:b/>
                <w:color w:val="auto"/>
                <w:sz w:val="21"/>
                <w:szCs w:val="21"/>
              </w:rPr>
              <w:t>大气环境影响分析</w:t>
            </w:r>
          </w:p>
          <w:p w14:paraId="6124E72B">
            <w:pPr>
              <w:adjustRightInd w:val="0"/>
              <w:snapToGrid w:val="0"/>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1）大气环境防护距离</w:t>
            </w:r>
          </w:p>
          <w:p w14:paraId="4516B735">
            <w:pPr>
              <w:adjustRightInd w:val="0"/>
              <w:snapToGrid w:val="0"/>
              <w:spacing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根据分析，本项目未捕集</w:t>
            </w:r>
            <w:r>
              <w:rPr>
                <w:rFonts w:hint="default" w:ascii="Times New Roman" w:hAnsi="Times New Roman" w:cs="Times New Roman"/>
                <w:color w:val="auto"/>
                <w:sz w:val="21"/>
                <w:szCs w:val="21"/>
                <w:lang w:val="en-US" w:eastAsia="zh-CN"/>
              </w:rPr>
              <w:t>废气</w:t>
            </w:r>
            <w:r>
              <w:rPr>
                <w:rFonts w:hint="default" w:ascii="Times New Roman" w:hAnsi="Times New Roman" w:cs="Times New Roman"/>
                <w:color w:val="auto"/>
                <w:sz w:val="21"/>
                <w:szCs w:val="21"/>
              </w:rPr>
              <w:t>无组织排放，大气环境防护距离计算模式采用环境保护部环境工程评估中心环境质量模拟重点实验室软件，经计算，本项目无组织排放废气计算结果无超标点。本项目不需设定大气环境防护距离。</w:t>
            </w:r>
          </w:p>
          <w:p w14:paraId="7138BDF8">
            <w:pPr>
              <w:adjustRightInd w:val="0"/>
              <w:snapToGrid w:val="0"/>
              <w:spacing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2）卫生防护距离</w:t>
            </w:r>
          </w:p>
          <w:p w14:paraId="190A1351">
            <w:pPr>
              <w:adjustRightInd w:val="0"/>
              <w:snapToGrid w:val="0"/>
              <w:spacing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根据《大气有害物质无组织排放卫生防护距离推导技术导则》(GB/T39499-2020)，各类工业企业卫生防护距离按下式计算：</w:t>
            </w:r>
          </w:p>
          <w:p w14:paraId="32495E47">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position w:val="-30"/>
                <w:sz w:val="21"/>
                <w:szCs w:val="21"/>
              </w:rPr>
              <w:object>
                <v:shape id="_x0000_i1025" o:spt="75" type="#_x0000_t75" style="height:38.15pt;width:153.15pt;" o:ole="t" filled="f" coordsize="21600,21600">
                  <v:path/>
                  <v:fill on="f" focussize="0,0"/>
                  <v:stroke/>
                  <v:imagedata r:id="rId25" o:title=""/>
                  <o:lock v:ext="edit" aspectratio="t"/>
                  <w10:wrap type="none"/>
                  <w10:anchorlock/>
                </v:shape>
                <o:OLEObject Type="Embed" ProgID="Equation.3" ShapeID="_x0000_i1025" DrawAspect="Content" ObjectID="_1468075725" r:id="rId24">
                  <o:LockedField>false</o:LockedField>
                </o:OLEObject>
              </w:object>
            </w:r>
          </w:p>
          <w:p w14:paraId="0581E3AA">
            <w:pPr>
              <w:snapToGrid w:val="0"/>
              <w:spacing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式中：</w:t>
            </w:r>
          </w:p>
          <w:p w14:paraId="511682DE">
            <w:pPr>
              <w:snapToGrid w:val="0"/>
              <w:spacing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m</w:t>
            </w:r>
            <w:r>
              <w:rPr>
                <w:rFonts w:hint="default" w:ascii="Times New Roman" w:hAnsi="Times New Roman" w:cs="Times New Roman"/>
                <w:color w:val="auto"/>
                <w:sz w:val="21"/>
                <w:szCs w:val="21"/>
              </w:rPr>
              <w:t>—大气有害物质环境空气质量的标准限值，单位为毫克每立方米(mg/m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p w14:paraId="30189841">
            <w:pPr>
              <w:snapToGrid w:val="0"/>
              <w:spacing w:line="500" w:lineRule="exact"/>
              <w:ind w:firstLine="420" w:firstLineChars="200"/>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L—大气有害物质卫生防护距离初值，单位为米(m)</w:t>
            </w:r>
            <w:r>
              <w:rPr>
                <w:rFonts w:hint="eastAsia" w:cs="Times New Roman"/>
                <w:color w:val="auto"/>
                <w:sz w:val="21"/>
                <w:szCs w:val="21"/>
                <w:lang w:eastAsia="zh-CN"/>
              </w:rPr>
              <w:t>；</w:t>
            </w:r>
          </w:p>
          <w:p w14:paraId="261779D5">
            <w:pPr>
              <w:snapToGrid w:val="0"/>
              <w:spacing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r—大气有害物质无组织排放源所在生产单元的等效半径，单位为米(m)；</w:t>
            </w:r>
          </w:p>
          <w:p w14:paraId="27C5A59C">
            <w:pPr>
              <w:snapToGrid w:val="0"/>
              <w:spacing w:line="500" w:lineRule="exact"/>
              <w:ind w:firstLine="420" w:firstLineChars="200"/>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A、B、C、D—卫生防护距离初值计算系数，该地区的平均风速为2.9m/s，</w:t>
            </w:r>
            <w:r>
              <w:rPr>
                <w:rFonts w:hint="default" w:ascii="Times New Roman" w:hAnsi="Times New Roman" w:cs="Times New Roman"/>
                <w:color w:val="auto"/>
                <w:sz w:val="21"/>
                <w:szCs w:val="21"/>
                <w:lang w:val="en-US" w:eastAsia="zh-CN"/>
              </w:rPr>
              <w:t>参数</w:t>
            </w:r>
            <w:r>
              <w:rPr>
                <w:rFonts w:hint="default" w:ascii="Times New Roman" w:hAnsi="Times New Roman" w:cs="Times New Roman"/>
                <w:color w:val="auto"/>
                <w:sz w:val="21"/>
                <w:szCs w:val="21"/>
              </w:rPr>
              <w:t>的选取见下表。</w:t>
            </w:r>
          </w:p>
          <w:p w14:paraId="39461875">
            <w:pPr>
              <w:adjustRightInd w:val="0"/>
              <w:snapToGrid w:val="0"/>
              <w:spacing w:line="50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表4-</w:t>
            </w:r>
            <w:r>
              <w:rPr>
                <w:rFonts w:hint="eastAsia" w:cs="Times New Roman"/>
                <w:b/>
                <w:color w:val="auto"/>
                <w:sz w:val="21"/>
                <w:szCs w:val="21"/>
                <w:lang w:val="en-US" w:eastAsia="zh-CN"/>
              </w:rPr>
              <w:t>8</w:t>
            </w:r>
            <w:r>
              <w:rPr>
                <w:rFonts w:hint="default" w:ascii="Times New Roman" w:hAnsi="Times New Roman" w:cs="Times New Roman"/>
                <w:b/>
                <w:color w:val="auto"/>
                <w:sz w:val="21"/>
                <w:szCs w:val="21"/>
              </w:rPr>
              <w:t>卫生防护距离计算系数</w:t>
            </w:r>
          </w:p>
          <w:tbl>
            <w:tblPr>
              <w:tblStyle w:val="32"/>
              <w:tblW w:w="488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746"/>
              <w:gridCol w:w="745"/>
              <w:gridCol w:w="746"/>
              <w:gridCol w:w="749"/>
              <w:gridCol w:w="746"/>
              <w:gridCol w:w="746"/>
              <w:gridCol w:w="749"/>
              <w:gridCol w:w="746"/>
              <w:gridCol w:w="746"/>
              <w:gridCol w:w="744"/>
            </w:tblGrid>
            <w:tr w14:paraId="2CB8F2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65E1A78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计</w:t>
                  </w:r>
                </w:p>
                <w:p w14:paraId="7A29809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算</w:t>
                  </w:r>
                </w:p>
                <w:p w14:paraId="3349ED2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系</w:t>
                  </w:r>
                </w:p>
                <w:p w14:paraId="7D928ED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数</w:t>
                  </w:r>
                </w:p>
              </w:tc>
              <w:tc>
                <w:tcPr>
                  <w:tcW w:w="466" w:type="pct"/>
                  <w:vMerge w:val="restart"/>
                  <w:vAlign w:val="center"/>
                </w:tcPr>
                <w:p w14:paraId="47F861B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5年平均风速</w:t>
                  </w:r>
                </w:p>
                <w:p w14:paraId="65419D4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m/s</w:t>
                  </w:r>
                </w:p>
              </w:tc>
              <w:tc>
                <w:tcPr>
                  <w:tcW w:w="4187" w:type="pct"/>
                  <w:gridSpan w:val="9"/>
                  <w:vAlign w:val="center"/>
                </w:tcPr>
                <w:p w14:paraId="6CBDB58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卫生防护距离L，m</w:t>
                  </w:r>
                </w:p>
              </w:tc>
            </w:tr>
            <w:tr w14:paraId="32E9D2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47CF298D">
                  <w:pPr>
                    <w:jc w:val="center"/>
                    <w:rPr>
                      <w:rFonts w:hint="default" w:ascii="Times New Roman" w:hAnsi="Times New Roman" w:cs="Times New Roman"/>
                      <w:color w:val="auto"/>
                      <w:sz w:val="21"/>
                      <w:szCs w:val="21"/>
                    </w:rPr>
                  </w:pPr>
                </w:p>
              </w:tc>
              <w:tc>
                <w:tcPr>
                  <w:tcW w:w="466" w:type="pct"/>
                  <w:vMerge w:val="continue"/>
                  <w:vAlign w:val="center"/>
                </w:tcPr>
                <w:p w14:paraId="6D02AB91">
                  <w:pPr>
                    <w:jc w:val="center"/>
                    <w:rPr>
                      <w:rFonts w:hint="default" w:ascii="Times New Roman" w:hAnsi="Times New Roman" w:cs="Times New Roman"/>
                      <w:color w:val="auto"/>
                      <w:sz w:val="21"/>
                      <w:szCs w:val="21"/>
                    </w:rPr>
                  </w:pPr>
                </w:p>
              </w:tc>
              <w:tc>
                <w:tcPr>
                  <w:tcW w:w="1397" w:type="pct"/>
                  <w:gridSpan w:val="3"/>
                  <w:vAlign w:val="center"/>
                </w:tcPr>
                <w:p w14:paraId="274CCE1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L≤1000</w:t>
                  </w:r>
                </w:p>
              </w:tc>
              <w:tc>
                <w:tcPr>
                  <w:tcW w:w="1397" w:type="pct"/>
                  <w:gridSpan w:val="3"/>
                  <w:vAlign w:val="center"/>
                </w:tcPr>
                <w:p w14:paraId="2F37DB1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L≤1000</w:t>
                  </w:r>
                </w:p>
              </w:tc>
              <w:tc>
                <w:tcPr>
                  <w:tcW w:w="1392" w:type="pct"/>
                  <w:gridSpan w:val="3"/>
                  <w:vAlign w:val="center"/>
                </w:tcPr>
                <w:p w14:paraId="5CFA688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L≤1000</w:t>
                  </w:r>
                </w:p>
              </w:tc>
            </w:tr>
            <w:tr w14:paraId="21F373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5B5F6343">
                  <w:pPr>
                    <w:jc w:val="center"/>
                    <w:rPr>
                      <w:rFonts w:hint="default" w:ascii="Times New Roman" w:hAnsi="Times New Roman" w:cs="Times New Roman"/>
                      <w:color w:val="auto"/>
                      <w:sz w:val="21"/>
                      <w:szCs w:val="21"/>
                    </w:rPr>
                  </w:pPr>
                </w:p>
              </w:tc>
              <w:tc>
                <w:tcPr>
                  <w:tcW w:w="466" w:type="pct"/>
                  <w:vMerge w:val="continue"/>
                  <w:vAlign w:val="center"/>
                </w:tcPr>
                <w:p w14:paraId="47C4EAFD">
                  <w:pPr>
                    <w:jc w:val="center"/>
                    <w:rPr>
                      <w:rFonts w:hint="default" w:ascii="Times New Roman" w:hAnsi="Times New Roman" w:cs="Times New Roman"/>
                      <w:color w:val="auto"/>
                      <w:sz w:val="21"/>
                      <w:szCs w:val="21"/>
                    </w:rPr>
                  </w:pPr>
                </w:p>
              </w:tc>
              <w:tc>
                <w:tcPr>
                  <w:tcW w:w="4187" w:type="pct"/>
                  <w:gridSpan w:val="9"/>
                  <w:vAlign w:val="center"/>
                </w:tcPr>
                <w:p w14:paraId="4274F823">
                  <w:pPr>
                    <w:pStyle w:val="77"/>
                    <w:spacing w:line="240" w:lineRule="auto"/>
                    <w:ind w:firstLine="422"/>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工业大气污染源构成类别</w:t>
                  </w:r>
                </w:p>
              </w:tc>
            </w:tr>
            <w:tr w14:paraId="1A5F8C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35D4E182">
                  <w:pPr>
                    <w:jc w:val="center"/>
                    <w:rPr>
                      <w:rFonts w:hint="default" w:ascii="Times New Roman" w:hAnsi="Times New Roman" w:cs="Times New Roman"/>
                      <w:color w:val="auto"/>
                      <w:sz w:val="21"/>
                      <w:szCs w:val="21"/>
                    </w:rPr>
                  </w:pPr>
                </w:p>
              </w:tc>
              <w:tc>
                <w:tcPr>
                  <w:tcW w:w="466" w:type="pct"/>
                  <w:vMerge w:val="continue"/>
                  <w:vAlign w:val="center"/>
                </w:tcPr>
                <w:p w14:paraId="711BCCA6">
                  <w:pPr>
                    <w:jc w:val="center"/>
                    <w:rPr>
                      <w:rFonts w:hint="default" w:ascii="Times New Roman" w:hAnsi="Times New Roman" w:cs="Times New Roman"/>
                      <w:color w:val="auto"/>
                      <w:sz w:val="21"/>
                      <w:szCs w:val="21"/>
                    </w:rPr>
                  </w:pPr>
                </w:p>
              </w:tc>
              <w:tc>
                <w:tcPr>
                  <w:tcW w:w="465" w:type="pct"/>
                  <w:vAlign w:val="center"/>
                </w:tcPr>
                <w:p w14:paraId="1E899DC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Ⅰ</w:t>
                  </w:r>
                </w:p>
              </w:tc>
              <w:tc>
                <w:tcPr>
                  <w:tcW w:w="465" w:type="pct"/>
                  <w:vAlign w:val="center"/>
                </w:tcPr>
                <w:p w14:paraId="60D9DEF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c>
                <w:tcPr>
                  <w:tcW w:w="465" w:type="pct"/>
                  <w:vAlign w:val="center"/>
                </w:tcPr>
                <w:p w14:paraId="140AFBB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c>
                <w:tcPr>
                  <w:tcW w:w="465" w:type="pct"/>
                  <w:vAlign w:val="center"/>
                </w:tcPr>
                <w:p w14:paraId="6ADFAA4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Ⅰ</w:t>
                  </w:r>
                </w:p>
              </w:tc>
              <w:tc>
                <w:tcPr>
                  <w:tcW w:w="465" w:type="pct"/>
                  <w:vAlign w:val="center"/>
                </w:tcPr>
                <w:p w14:paraId="4D04E6B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c>
                <w:tcPr>
                  <w:tcW w:w="465" w:type="pct"/>
                  <w:vAlign w:val="center"/>
                </w:tcPr>
                <w:p w14:paraId="19F7F1A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c>
                <w:tcPr>
                  <w:tcW w:w="465" w:type="pct"/>
                  <w:vAlign w:val="center"/>
                </w:tcPr>
                <w:p w14:paraId="24B6811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Ⅰ</w:t>
                  </w:r>
                </w:p>
              </w:tc>
              <w:tc>
                <w:tcPr>
                  <w:tcW w:w="465" w:type="pct"/>
                  <w:vAlign w:val="center"/>
                </w:tcPr>
                <w:p w14:paraId="134839C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c>
                <w:tcPr>
                  <w:tcW w:w="460" w:type="pct"/>
                  <w:vAlign w:val="center"/>
                </w:tcPr>
                <w:p w14:paraId="0CB4C86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r>
            <w:tr w14:paraId="51B7D5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43FB574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w:t>
                  </w:r>
                </w:p>
              </w:tc>
              <w:tc>
                <w:tcPr>
                  <w:tcW w:w="466" w:type="pct"/>
                  <w:vAlign w:val="center"/>
                </w:tcPr>
                <w:p w14:paraId="318B2C4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465" w:type="pct"/>
                  <w:vAlign w:val="center"/>
                </w:tcPr>
                <w:p w14:paraId="79FC47F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465" w:type="pct"/>
                  <w:vAlign w:val="center"/>
                </w:tcPr>
                <w:p w14:paraId="1117201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465" w:type="pct"/>
                  <w:vAlign w:val="center"/>
                </w:tcPr>
                <w:p w14:paraId="255BCF9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465" w:type="pct"/>
                  <w:vAlign w:val="center"/>
                </w:tcPr>
                <w:p w14:paraId="61CDB3D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465" w:type="pct"/>
                  <w:vAlign w:val="center"/>
                </w:tcPr>
                <w:p w14:paraId="62F249D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465" w:type="pct"/>
                  <w:vAlign w:val="center"/>
                </w:tcPr>
                <w:p w14:paraId="5E6A16B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465" w:type="pct"/>
                  <w:vAlign w:val="center"/>
                </w:tcPr>
                <w:p w14:paraId="34F9EE6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c>
                <w:tcPr>
                  <w:tcW w:w="465" w:type="pct"/>
                  <w:vAlign w:val="center"/>
                </w:tcPr>
                <w:p w14:paraId="0D5DC19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c>
                <w:tcPr>
                  <w:tcW w:w="460" w:type="pct"/>
                  <w:vAlign w:val="center"/>
                </w:tcPr>
                <w:p w14:paraId="059E1A9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r>
            <w:tr w14:paraId="588D6E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4E733011">
                  <w:pPr>
                    <w:jc w:val="center"/>
                    <w:rPr>
                      <w:rFonts w:hint="default" w:ascii="Times New Roman" w:hAnsi="Times New Roman" w:cs="Times New Roman"/>
                      <w:color w:val="auto"/>
                      <w:sz w:val="21"/>
                      <w:szCs w:val="21"/>
                    </w:rPr>
                  </w:pPr>
                </w:p>
              </w:tc>
              <w:tc>
                <w:tcPr>
                  <w:tcW w:w="466" w:type="pct"/>
                  <w:vAlign w:val="center"/>
                </w:tcPr>
                <w:p w14:paraId="2176161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465" w:type="pct"/>
                  <w:vAlign w:val="center"/>
                </w:tcPr>
                <w:p w14:paraId="667B07E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700</w:t>
                  </w:r>
                </w:p>
              </w:tc>
              <w:tc>
                <w:tcPr>
                  <w:tcW w:w="465" w:type="pct"/>
                  <w:shd w:val="clear" w:color="auto" w:fill="F1F1F1" w:themeFill="background1" w:themeFillShade="F2"/>
                  <w:vAlign w:val="center"/>
                </w:tcPr>
                <w:p w14:paraId="5022BEF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470</w:t>
                  </w:r>
                </w:p>
              </w:tc>
              <w:tc>
                <w:tcPr>
                  <w:tcW w:w="465" w:type="pct"/>
                  <w:vAlign w:val="center"/>
                </w:tcPr>
                <w:p w14:paraId="01E299E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350</w:t>
                  </w:r>
                </w:p>
              </w:tc>
              <w:tc>
                <w:tcPr>
                  <w:tcW w:w="465" w:type="pct"/>
                  <w:vAlign w:val="center"/>
                </w:tcPr>
                <w:p w14:paraId="47B67E1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700</w:t>
                  </w:r>
                </w:p>
              </w:tc>
              <w:tc>
                <w:tcPr>
                  <w:tcW w:w="465" w:type="pct"/>
                  <w:vAlign w:val="center"/>
                </w:tcPr>
                <w:p w14:paraId="6B0BE56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470</w:t>
                  </w:r>
                </w:p>
              </w:tc>
              <w:tc>
                <w:tcPr>
                  <w:tcW w:w="465" w:type="pct"/>
                  <w:vAlign w:val="center"/>
                </w:tcPr>
                <w:p w14:paraId="42FE7D2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350</w:t>
                  </w:r>
                </w:p>
              </w:tc>
              <w:tc>
                <w:tcPr>
                  <w:tcW w:w="465" w:type="pct"/>
                  <w:vAlign w:val="center"/>
                </w:tcPr>
                <w:p w14:paraId="0E9A871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380</w:t>
                  </w:r>
                </w:p>
              </w:tc>
              <w:tc>
                <w:tcPr>
                  <w:tcW w:w="465" w:type="pct"/>
                  <w:vAlign w:val="center"/>
                </w:tcPr>
                <w:p w14:paraId="1858307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250</w:t>
                  </w:r>
                </w:p>
              </w:tc>
              <w:tc>
                <w:tcPr>
                  <w:tcW w:w="460" w:type="pct"/>
                  <w:vAlign w:val="center"/>
                </w:tcPr>
                <w:p w14:paraId="25EBFF5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190</w:t>
                  </w:r>
                </w:p>
              </w:tc>
            </w:tr>
            <w:tr w14:paraId="00613F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2C8DDB44">
                  <w:pPr>
                    <w:jc w:val="center"/>
                    <w:rPr>
                      <w:rFonts w:hint="default" w:ascii="Times New Roman" w:hAnsi="Times New Roman" w:cs="Times New Roman"/>
                      <w:color w:val="auto"/>
                      <w:sz w:val="21"/>
                      <w:szCs w:val="21"/>
                    </w:rPr>
                  </w:pPr>
                </w:p>
              </w:tc>
              <w:tc>
                <w:tcPr>
                  <w:tcW w:w="466" w:type="pct"/>
                  <w:vAlign w:val="center"/>
                </w:tcPr>
                <w:p w14:paraId="09BDD9D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465" w:type="pct"/>
                  <w:vAlign w:val="center"/>
                </w:tcPr>
                <w:p w14:paraId="298AE9B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530</w:t>
                  </w:r>
                </w:p>
              </w:tc>
              <w:tc>
                <w:tcPr>
                  <w:tcW w:w="465" w:type="pct"/>
                  <w:vAlign w:val="center"/>
                </w:tcPr>
                <w:p w14:paraId="0EF14E8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350</w:t>
                  </w:r>
                </w:p>
              </w:tc>
              <w:tc>
                <w:tcPr>
                  <w:tcW w:w="465" w:type="pct"/>
                  <w:vAlign w:val="center"/>
                </w:tcPr>
                <w:p w14:paraId="41BFE3B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260</w:t>
                  </w:r>
                </w:p>
              </w:tc>
              <w:tc>
                <w:tcPr>
                  <w:tcW w:w="465" w:type="pct"/>
                  <w:vAlign w:val="center"/>
                </w:tcPr>
                <w:p w14:paraId="37FF0EC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530</w:t>
                  </w:r>
                </w:p>
              </w:tc>
              <w:tc>
                <w:tcPr>
                  <w:tcW w:w="465" w:type="pct"/>
                  <w:vAlign w:val="center"/>
                </w:tcPr>
                <w:p w14:paraId="35D7618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350</w:t>
                  </w:r>
                </w:p>
              </w:tc>
              <w:tc>
                <w:tcPr>
                  <w:tcW w:w="465" w:type="pct"/>
                  <w:vAlign w:val="center"/>
                </w:tcPr>
                <w:p w14:paraId="4E220D5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260</w:t>
                  </w:r>
                </w:p>
              </w:tc>
              <w:tc>
                <w:tcPr>
                  <w:tcW w:w="465" w:type="pct"/>
                  <w:vAlign w:val="center"/>
                </w:tcPr>
                <w:p w14:paraId="74A6F88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290</w:t>
                  </w:r>
                </w:p>
              </w:tc>
              <w:tc>
                <w:tcPr>
                  <w:tcW w:w="465" w:type="pct"/>
                  <w:vAlign w:val="center"/>
                </w:tcPr>
                <w:p w14:paraId="3B3A289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190</w:t>
                  </w:r>
                </w:p>
              </w:tc>
              <w:tc>
                <w:tcPr>
                  <w:tcW w:w="460" w:type="pct"/>
                  <w:vAlign w:val="center"/>
                </w:tcPr>
                <w:p w14:paraId="058B7A5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w:t>
                  </w:r>
                </w:p>
              </w:tc>
            </w:tr>
            <w:tr w14:paraId="4318E0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70FE37E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w:t>
                  </w:r>
                </w:p>
              </w:tc>
              <w:tc>
                <w:tcPr>
                  <w:tcW w:w="466" w:type="pct"/>
                  <w:vAlign w:val="center"/>
                </w:tcPr>
                <w:p w14:paraId="4A9901E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397" w:type="pct"/>
                  <w:gridSpan w:val="3"/>
                  <w:vAlign w:val="center"/>
                </w:tcPr>
                <w:p w14:paraId="2032266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w:t>
                  </w:r>
                </w:p>
              </w:tc>
              <w:tc>
                <w:tcPr>
                  <w:tcW w:w="1397" w:type="pct"/>
                  <w:gridSpan w:val="3"/>
                  <w:vAlign w:val="center"/>
                </w:tcPr>
                <w:p w14:paraId="695C562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0.015</w:t>
                  </w:r>
                </w:p>
              </w:tc>
              <w:tc>
                <w:tcPr>
                  <w:tcW w:w="1392" w:type="pct"/>
                  <w:gridSpan w:val="3"/>
                  <w:vAlign w:val="center"/>
                </w:tcPr>
                <w:p w14:paraId="096020A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0.015</w:t>
                  </w:r>
                </w:p>
              </w:tc>
            </w:tr>
            <w:tr w14:paraId="1DA07A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55ED500F">
                  <w:pPr>
                    <w:jc w:val="center"/>
                    <w:rPr>
                      <w:rFonts w:hint="default" w:ascii="Times New Roman" w:hAnsi="Times New Roman" w:cs="Times New Roman"/>
                      <w:color w:val="auto"/>
                      <w:sz w:val="21"/>
                      <w:szCs w:val="21"/>
                    </w:rPr>
                  </w:pPr>
                </w:p>
              </w:tc>
              <w:tc>
                <w:tcPr>
                  <w:tcW w:w="466" w:type="pct"/>
                  <w:vAlign w:val="center"/>
                </w:tcPr>
                <w:p w14:paraId="491F0AC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397" w:type="pct"/>
                  <w:gridSpan w:val="3"/>
                  <w:shd w:val="clear" w:color="auto" w:fill="F1F1F1" w:themeFill="background1" w:themeFillShade="F2"/>
                  <w:vAlign w:val="center"/>
                </w:tcPr>
                <w:p w14:paraId="667DBA6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0.021</w:t>
                  </w:r>
                </w:p>
              </w:tc>
              <w:tc>
                <w:tcPr>
                  <w:tcW w:w="1397" w:type="pct"/>
                  <w:gridSpan w:val="3"/>
                  <w:vAlign w:val="center"/>
                </w:tcPr>
                <w:p w14:paraId="36DE568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0.036</w:t>
                  </w:r>
                </w:p>
              </w:tc>
              <w:tc>
                <w:tcPr>
                  <w:tcW w:w="1392" w:type="pct"/>
                  <w:gridSpan w:val="3"/>
                  <w:vAlign w:val="center"/>
                </w:tcPr>
                <w:p w14:paraId="1C1ECE0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0.036</w:t>
                  </w:r>
                </w:p>
              </w:tc>
            </w:tr>
            <w:tr w14:paraId="0415D5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117987E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w:t>
                  </w:r>
                </w:p>
              </w:tc>
              <w:tc>
                <w:tcPr>
                  <w:tcW w:w="466" w:type="pct"/>
                  <w:vAlign w:val="center"/>
                </w:tcPr>
                <w:p w14:paraId="684B944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397" w:type="pct"/>
                  <w:gridSpan w:val="3"/>
                  <w:vAlign w:val="center"/>
                </w:tcPr>
                <w:p w14:paraId="26EB8F3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1.85</w:t>
                  </w:r>
                </w:p>
              </w:tc>
              <w:tc>
                <w:tcPr>
                  <w:tcW w:w="1397" w:type="pct"/>
                  <w:gridSpan w:val="3"/>
                  <w:vAlign w:val="center"/>
                </w:tcPr>
                <w:p w14:paraId="701890C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1.79</w:t>
                  </w:r>
                </w:p>
              </w:tc>
              <w:tc>
                <w:tcPr>
                  <w:tcW w:w="1392" w:type="pct"/>
                  <w:gridSpan w:val="3"/>
                  <w:vAlign w:val="center"/>
                </w:tcPr>
                <w:p w14:paraId="2CA9B52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1.79</w:t>
                  </w:r>
                </w:p>
              </w:tc>
            </w:tr>
            <w:tr w14:paraId="17DFBB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5A44F3CD">
                  <w:pPr>
                    <w:jc w:val="center"/>
                    <w:rPr>
                      <w:rFonts w:hint="default" w:ascii="Times New Roman" w:hAnsi="Times New Roman" w:cs="Times New Roman"/>
                      <w:color w:val="auto"/>
                      <w:sz w:val="21"/>
                      <w:szCs w:val="21"/>
                    </w:rPr>
                  </w:pPr>
                </w:p>
              </w:tc>
              <w:tc>
                <w:tcPr>
                  <w:tcW w:w="466" w:type="pct"/>
                  <w:vAlign w:val="center"/>
                </w:tcPr>
                <w:p w14:paraId="6C08984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397" w:type="pct"/>
                  <w:gridSpan w:val="3"/>
                  <w:shd w:val="clear" w:color="auto" w:fill="F1F1F1" w:themeFill="background1" w:themeFillShade="F2"/>
                  <w:vAlign w:val="center"/>
                </w:tcPr>
                <w:p w14:paraId="4CBAA97A">
                  <w:pPr>
                    <w:shd w:val="clear" w:fill="F1F1F1" w:themeFill="background1" w:themeFillShade="F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1.85</w:t>
                  </w:r>
                </w:p>
              </w:tc>
              <w:tc>
                <w:tcPr>
                  <w:tcW w:w="1397" w:type="pct"/>
                  <w:gridSpan w:val="3"/>
                  <w:vAlign w:val="center"/>
                </w:tcPr>
                <w:p w14:paraId="545BF96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1.77</w:t>
                  </w:r>
                </w:p>
              </w:tc>
              <w:tc>
                <w:tcPr>
                  <w:tcW w:w="1392" w:type="pct"/>
                  <w:gridSpan w:val="3"/>
                  <w:vAlign w:val="center"/>
                </w:tcPr>
                <w:p w14:paraId="6AAB8FD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1.77</w:t>
                  </w:r>
                </w:p>
              </w:tc>
            </w:tr>
            <w:tr w14:paraId="338463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76F4055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w:t>
                  </w:r>
                </w:p>
              </w:tc>
              <w:tc>
                <w:tcPr>
                  <w:tcW w:w="466" w:type="pct"/>
                  <w:vAlign w:val="center"/>
                </w:tcPr>
                <w:p w14:paraId="1600098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397" w:type="pct"/>
                  <w:gridSpan w:val="3"/>
                  <w:vAlign w:val="center"/>
                </w:tcPr>
                <w:p w14:paraId="293DE92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0.78</w:t>
                  </w:r>
                </w:p>
              </w:tc>
              <w:tc>
                <w:tcPr>
                  <w:tcW w:w="1397" w:type="pct"/>
                  <w:gridSpan w:val="3"/>
                  <w:vAlign w:val="center"/>
                </w:tcPr>
                <w:p w14:paraId="2124A44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0.78</w:t>
                  </w:r>
                </w:p>
              </w:tc>
              <w:tc>
                <w:tcPr>
                  <w:tcW w:w="1392" w:type="pct"/>
                  <w:gridSpan w:val="3"/>
                  <w:vAlign w:val="center"/>
                </w:tcPr>
                <w:p w14:paraId="3025C74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0.57</w:t>
                  </w:r>
                </w:p>
              </w:tc>
            </w:tr>
            <w:tr w14:paraId="495298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738B8AEA">
                  <w:pPr>
                    <w:jc w:val="center"/>
                    <w:rPr>
                      <w:rFonts w:hint="default" w:ascii="Times New Roman" w:hAnsi="Times New Roman" w:cs="Times New Roman"/>
                      <w:color w:val="auto"/>
                      <w:sz w:val="21"/>
                      <w:szCs w:val="21"/>
                    </w:rPr>
                  </w:pPr>
                </w:p>
              </w:tc>
              <w:tc>
                <w:tcPr>
                  <w:tcW w:w="466" w:type="pct"/>
                  <w:vAlign w:val="center"/>
                </w:tcPr>
                <w:p w14:paraId="2833B61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397" w:type="pct"/>
                  <w:gridSpan w:val="3"/>
                  <w:shd w:val="clear" w:color="auto" w:fill="F1F1F1" w:themeFill="background1" w:themeFillShade="F2"/>
                  <w:vAlign w:val="center"/>
                </w:tcPr>
                <w:p w14:paraId="583E6DB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0.84</w:t>
                  </w:r>
                </w:p>
              </w:tc>
              <w:tc>
                <w:tcPr>
                  <w:tcW w:w="1397" w:type="pct"/>
                  <w:gridSpan w:val="3"/>
                  <w:vAlign w:val="center"/>
                </w:tcPr>
                <w:p w14:paraId="60FDE0C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0.84</w:t>
                  </w:r>
                </w:p>
              </w:tc>
              <w:tc>
                <w:tcPr>
                  <w:tcW w:w="1392" w:type="pct"/>
                  <w:gridSpan w:val="3"/>
                  <w:vAlign w:val="center"/>
                </w:tcPr>
                <w:p w14:paraId="527746C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0.76</w:t>
                  </w:r>
                </w:p>
              </w:tc>
            </w:tr>
          </w:tbl>
          <w:p w14:paraId="2F80E063">
            <w:pPr>
              <w:adjustRightInd w:val="0"/>
              <w:snapToGrid w:val="0"/>
              <w:spacing w:line="500" w:lineRule="exact"/>
              <w:ind w:firstLine="420" w:firstLineChars="200"/>
              <w:jc w:val="left"/>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根据《制定地方大气污染物排放标准的技术方法》（GB/T39449-2020），卫生防护距离在100m以内时，级差为50m；超过100m，但小于或等于1000m时，级差为100m；超过1000m时，级差为200m。当按两种或两种以上的有害气体的Q/Cm值计算的卫生防护距离在同一级别时，该类工业企业的卫生防护距离级别应提高一级。经计算，</w:t>
            </w:r>
            <w:r>
              <w:rPr>
                <w:rFonts w:hint="default" w:ascii="Times New Roman" w:hAnsi="Times New Roman" w:cs="Times New Roman"/>
                <w:color w:val="auto"/>
                <w:sz w:val="21"/>
                <w:szCs w:val="21"/>
              </w:rPr>
              <w:t>本项目卫生防护距离计算结果见下表。</w:t>
            </w:r>
          </w:p>
          <w:p w14:paraId="34411BC6">
            <w:pPr>
              <w:adjustRightInd w:val="0"/>
              <w:snapToGrid w:val="0"/>
              <w:spacing w:line="50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表4-</w:t>
            </w:r>
            <w:r>
              <w:rPr>
                <w:rFonts w:hint="eastAsia" w:cs="Times New Roman"/>
                <w:b/>
                <w:color w:val="auto"/>
                <w:sz w:val="21"/>
                <w:szCs w:val="21"/>
                <w:lang w:val="en-US" w:eastAsia="zh-CN"/>
              </w:rPr>
              <w:t>9</w:t>
            </w:r>
            <w:r>
              <w:rPr>
                <w:rFonts w:hint="default" w:ascii="Times New Roman" w:hAnsi="Times New Roman" w:cs="Times New Roman"/>
                <w:b/>
                <w:color w:val="auto"/>
                <w:sz w:val="21"/>
                <w:szCs w:val="21"/>
                <w:lang w:val="en-US" w:eastAsia="zh-CN"/>
              </w:rPr>
              <w:t>本项目</w:t>
            </w:r>
            <w:r>
              <w:rPr>
                <w:rFonts w:hint="default" w:ascii="Times New Roman" w:hAnsi="Times New Roman" w:cs="Times New Roman"/>
                <w:b/>
                <w:color w:val="auto"/>
                <w:sz w:val="21"/>
                <w:szCs w:val="21"/>
              </w:rPr>
              <w:t>污染物卫生防护距离计算表</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61"/>
              <w:gridCol w:w="1762"/>
              <w:gridCol w:w="1396"/>
              <w:gridCol w:w="1549"/>
              <w:gridCol w:w="1228"/>
              <w:gridCol w:w="1210"/>
            </w:tblGrid>
            <w:tr w14:paraId="25E9A3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6" w:type="pct"/>
                  <w:noWrap w:val="0"/>
                  <w:vAlign w:val="center"/>
                </w:tcPr>
                <w:p w14:paraId="676A8ABF">
                  <w:pPr>
                    <w:pStyle w:val="94"/>
                    <w:adjustRightInd w:val="0"/>
                    <w:snapToGrid w:val="0"/>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污染源类型</w:t>
                  </w:r>
                </w:p>
              </w:tc>
              <w:tc>
                <w:tcPr>
                  <w:tcW w:w="1073" w:type="pct"/>
                  <w:noWrap w:val="0"/>
                  <w:vAlign w:val="center"/>
                </w:tcPr>
                <w:p w14:paraId="457C54B9">
                  <w:pPr>
                    <w:pStyle w:val="94"/>
                    <w:adjustRightInd w:val="0"/>
                    <w:snapToGrid w:val="0"/>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850" w:type="pct"/>
                  <w:noWrap w:val="0"/>
                  <w:vAlign w:val="center"/>
                </w:tcPr>
                <w:p w14:paraId="3BF0B049">
                  <w:pPr>
                    <w:pStyle w:val="94"/>
                    <w:adjustRightInd w:val="0"/>
                    <w:snapToGrid w:val="0"/>
                    <w:spacing w:line="240" w:lineRule="auto"/>
                    <w:ind w:firstLine="0" w:firstLineChars="0"/>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产生速率kg/h</w:t>
                  </w:r>
                </w:p>
              </w:tc>
              <w:tc>
                <w:tcPr>
                  <w:tcW w:w="943" w:type="pct"/>
                  <w:noWrap w:val="0"/>
                  <w:vAlign w:val="center"/>
                </w:tcPr>
                <w:p w14:paraId="3ABE5A7E">
                  <w:pPr>
                    <w:pStyle w:val="94"/>
                    <w:adjustRightInd w:val="0"/>
                    <w:snapToGrid w:val="0"/>
                    <w:spacing w:line="240" w:lineRule="auto"/>
                    <w:ind w:firstLine="0" w:firstLineChars="0"/>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标准限制</w:t>
                  </w:r>
                  <w:r>
                    <w:rPr>
                      <w:rFonts w:hint="default" w:ascii="Times New Roman" w:hAnsi="Times New Roman" w:eastAsia="宋体" w:cs="Times New Roman"/>
                      <w:b/>
                      <w:color w:val="auto"/>
                      <w:sz w:val="21"/>
                      <w:szCs w:val="21"/>
                      <w:highlight w:val="none"/>
                    </w:rPr>
                    <w:t>（mg/m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w:t>
                  </w:r>
                </w:p>
              </w:tc>
              <w:tc>
                <w:tcPr>
                  <w:tcW w:w="748" w:type="pct"/>
                  <w:noWrap w:val="0"/>
                  <w:vAlign w:val="center"/>
                </w:tcPr>
                <w:p w14:paraId="5A7FE23B">
                  <w:pPr>
                    <w:pStyle w:val="94"/>
                    <w:adjustRightInd w:val="0"/>
                    <w:snapToGrid w:val="0"/>
                    <w:spacing w:line="240" w:lineRule="auto"/>
                    <w:ind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sz w:val="21"/>
                      <w:szCs w:val="21"/>
                      <w:highlight w:val="none"/>
                    </w:rPr>
                    <w:t>计算值（m）</w:t>
                  </w:r>
                </w:p>
              </w:tc>
              <w:tc>
                <w:tcPr>
                  <w:tcW w:w="737" w:type="pct"/>
                  <w:noWrap w:val="0"/>
                  <w:vAlign w:val="center"/>
                </w:tcPr>
                <w:p w14:paraId="5F68FBEA">
                  <w:pPr>
                    <w:pStyle w:val="94"/>
                    <w:adjustRightInd w:val="0"/>
                    <w:snapToGrid w:val="0"/>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卫生防护距离（m）</w:t>
                  </w:r>
                </w:p>
              </w:tc>
            </w:tr>
            <w:tr w14:paraId="7EC143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6" w:type="pct"/>
                  <w:noWrap w:val="0"/>
                  <w:vAlign w:val="center"/>
                </w:tcPr>
                <w:p w14:paraId="0319EA07">
                  <w:pPr>
                    <w:pStyle w:val="94"/>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车间</w:t>
                  </w:r>
                </w:p>
              </w:tc>
              <w:tc>
                <w:tcPr>
                  <w:tcW w:w="1073" w:type="pct"/>
                  <w:noWrap w:val="0"/>
                  <w:vAlign w:val="center"/>
                </w:tcPr>
                <w:p w14:paraId="1DEB4C2C">
                  <w:pPr>
                    <w:pStyle w:val="19"/>
                    <w:tabs>
                      <w:tab w:val="clear" w:pos="4153"/>
                      <w:tab w:val="clear" w:pos="8306"/>
                    </w:tabs>
                    <w:adjustRightInd w:val="0"/>
                    <w:rPr>
                      <w:rFonts w:hint="eastAsia" w:ascii="Times New Roman" w:hAnsi="Times New Roman" w:eastAsia="宋体" w:cs="Times New Roman"/>
                      <w:color w:val="auto"/>
                      <w:spacing w:val="-2"/>
                      <w:kern w:val="28"/>
                      <w:sz w:val="21"/>
                      <w:szCs w:val="21"/>
                      <w:highlight w:val="none"/>
                      <w:lang w:val="en-US" w:eastAsia="zh-CN"/>
                    </w:rPr>
                  </w:pPr>
                  <w:r>
                    <w:rPr>
                      <w:rFonts w:hint="default" w:ascii="Times New Roman" w:hAnsi="Times New Roman" w:cs="Times New Roman"/>
                      <w:color w:val="auto"/>
                      <w:sz w:val="21"/>
                      <w:szCs w:val="21"/>
                      <w:lang w:val="en-US" w:eastAsia="zh-CN"/>
                    </w:rPr>
                    <w:t>非甲烷总烃</w:t>
                  </w:r>
                </w:p>
              </w:tc>
              <w:tc>
                <w:tcPr>
                  <w:tcW w:w="850" w:type="pct"/>
                  <w:noWrap w:val="0"/>
                  <w:vAlign w:val="center"/>
                </w:tcPr>
                <w:p w14:paraId="2931B8D3">
                  <w:pPr>
                    <w:pStyle w:val="24"/>
                    <w:spacing w:after="0" w:line="240" w:lineRule="auto"/>
                    <w:jc w:val="center"/>
                    <w:rPr>
                      <w:rFonts w:hint="default" w:ascii="Times New Roman" w:hAnsi="Times New Roman" w:eastAsia="宋体" w:cs="Times New Roman"/>
                      <w:bCs/>
                      <w:color w:val="auto"/>
                      <w:sz w:val="21"/>
                      <w:szCs w:val="21"/>
                      <w:highlight w:val="none"/>
                      <w:lang w:val="en-US" w:eastAsia="zh-CN"/>
                    </w:rPr>
                  </w:pPr>
                  <w:r>
                    <w:rPr>
                      <w:rFonts w:hint="eastAsia" w:cs="Times New Roman" w:eastAsiaTheme="minorEastAsia"/>
                      <w:bCs/>
                      <w:color w:val="auto"/>
                      <w:sz w:val="21"/>
                      <w:szCs w:val="21"/>
                      <w:lang w:val="en-US" w:eastAsia="zh-CN"/>
                    </w:rPr>
                    <w:t>0.043</w:t>
                  </w:r>
                </w:p>
              </w:tc>
              <w:tc>
                <w:tcPr>
                  <w:tcW w:w="943" w:type="pct"/>
                  <w:noWrap w:val="0"/>
                  <w:vAlign w:val="center"/>
                </w:tcPr>
                <w:p w14:paraId="1831011A">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2.0</w:t>
                  </w:r>
                </w:p>
              </w:tc>
              <w:tc>
                <w:tcPr>
                  <w:tcW w:w="748" w:type="pct"/>
                  <w:noWrap w:val="0"/>
                  <w:vAlign w:val="center"/>
                </w:tcPr>
                <w:p w14:paraId="43548073">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lang w:val="en-US" w:eastAsia="zh-CN"/>
                    </w:rPr>
                    <w:t>&lt;50</w:t>
                  </w:r>
                </w:p>
              </w:tc>
              <w:tc>
                <w:tcPr>
                  <w:tcW w:w="737" w:type="pct"/>
                  <w:noWrap w:val="0"/>
                  <w:vAlign w:val="center"/>
                </w:tcPr>
                <w:p w14:paraId="1170D52A">
                  <w:pPr>
                    <w:pStyle w:val="94"/>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50</w:t>
                  </w:r>
                </w:p>
              </w:tc>
            </w:tr>
          </w:tbl>
          <w:p w14:paraId="581DE39B">
            <w:pPr>
              <w:keepNext w:val="0"/>
              <w:keepLines w:val="0"/>
              <w:pageBreakBefore w:val="0"/>
              <w:tabs>
                <w:tab w:val="left" w:pos="1155"/>
              </w:tabs>
              <w:kinsoku/>
              <w:wordWrap/>
              <w:overflowPunct/>
              <w:topLinePunct w:val="0"/>
              <w:autoSpaceDE/>
              <w:autoSpaceDN/>
              <w:bidi w:val="0"/>
              <w:adjustRightInd w:val="0"/>
              <w:snapToGrid w:val="0"/>
              <w:spacing w:line="48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rPr>
              <w:t>由上表可知，</w:t>
            </w:r>
            <w:r>
              <w:rPr>
                <w:rFonts w:hint="default" w:ascii="Times New Roman" w:hAnsi="Times New Roman" w:cs="Times New Roman"/>
                <w:color w:val="auto"/>
                <w:sz w:val="21"/>
                <w:szCs w:val="21"/>
                <w:highlight w:val="none"/>
              </w:rPr>
              <w:t>项目建成后，卫生防护距离为</w:t>
            </w:r>
            <w:r>
              <w:rPr>
                <w:rFonts w:hint="eastAsia" w:cs="Times New Roman"/>
                <w:color w:val="auto"/>
                <w:sz w:val="21"/>
                <w:szCs w:val="21"/>
                <w:highlight w:val="none"/>
                <w:lang w:eastAsia="zh-CN"/>
              </w:rPr>
              <w:t>车间</w:t>
            </w:r>
            <w:r>
              <w:rPr>
                <w:rFonts w:hint="default" w:ascii="Times New Roman" w:hAnsi="Times New Roman" w:cs="Times New Roman"/>
                <w:color w:val="auto"/>
                <w:sz w:val="21"/>
                <w:szCs w:val="21"/>
                <w:highlight w:val="none"/>
              </w:rPr>
              <w:t>外扩</w:t>
            </w:r>
            <w:r>
              <w:rPr>
                <w:rFonts w:hint="eastAsia"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m形成的区域，经实地勘察，</w:t>
            </w:r>
            <w:r>
              <w:rPr>
                <w:rFonts w:hint="eastAsia" w:cs="Times New Roman"/>
                <w:color w:val="auto"/>
                <w:sz w:val="21"/>
                <w:szCs w:val="21"/>
                <w:highlight w:val="none"/>
                <w:lang w:val="en-US" w:eastAsia="zh-CN"/>
              </w:rPr>
              <w:t>距离本项目厂区最近的环境敏感点为东南侧340m处的朱林邻里中心，故</w:t>
            </w:r>
            <w:r>
              <w:rPr>
                <w:rFonts w:hint="default" w:ascii="Times New Roman" w:hAnsi="Times New Roman" w:eastAsia="宋体" w:cs="Times New Roman"/>
                <w:color w:val="auto"/>
                <w:sz w:val="21"/>
                <w:szCs w:val="21"/>
                <w:highlight w:val="none"/>
                <w:lang w:val="en-US" w:eastAsia="zh-CN"/>
              </w:rPr>
              <w:t>项目卫生防护距离内目前无居住、医院、学校等环境敏感点。</w:t>
            </w:r>
          </w:p>
          <w:p w14:paraId="12A361DF">
            <w:pPr>
              <w:keepNext w:val="0"/>
              <w:keepLines w:val="0"/>
              <w:pageBreakBefore w:val="0"/>
              <w:tabs>
                <w:tab w:val="left" w:pos="1155"/>
              </w:tabs>
              <w:kinsoku/>
              <w:wordWrap/>
              <w:overflowPunct/>
              <w:topLinePunct w:val="0"/>
              <w:autoSpaceDE/>
              <w:autoSpaceDN/>
              <w:bidi w:val="0"/>
              <w:adjustRightInd w:val="0"/>
              <w:snapToGrid w:val="0"/>
              <w:spacing w:line="48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7、异味影响分析</w:t>
            </w:r>
          </w:p>
          <w:p w14:paraId="0C6102E7">
            <w:pPr>
              <w:snapToGrid w:val="0"/>
              <w:spacing w:line="480" w:lineRule="exact"/>
              <w:ind w:firstLine="420" w:firstLineChars="200"/>
              <w:rPr>
                <w:rFonts w:ascii="Times New Roman" w:hAnsi="Times New Roman"/>
                <w:color w:val="auto"/>
                <w:sz w:val="21"/>
                <w:szCs w:val="21"/>
              </w:rPr>
            </w:pPr>
            <w:r>
              <w:rPr>
                <w:rFonts w:ascii="Times New Roman" w:hAnsi="Times New Roman"/>
                <w:color w:val="auto"/>
                <w:sz w:val="21"/>
                <w:szCs w:val="21"/>
              </w:rPr>
              <w:t>恶臭物质是指一切刺激嗅觉器官引起人们不愉快及损害生活环境的气体物质，有时还会引起呕吐，影响人体健康，是对人产生嗅觉伤害、引起疾病的公害之一。</w:t>
            </w:r>
          </w:p>
          <w:p w14:paraId="6F29DF24">
            <w:pPr>
              <w:snapToGrid w:val="0"/>
              <w:spacing w:line="480" w:lineRule="exact"/>
              <w:ind w:firstLine="420" w:firstLineChars="200"/>
              <w:rPr>
                <w:rFonts w:ascii="Times New Roman" w:hAnsi="Times New Roman"/>
                <w:color w:val="auto"/>
                <w:sz w:val="21"/>
                <w:szCs w:val="21"/>
              </w:rPr>
            </w:pPr>
            <w:r>
              <w:rPr>
                <w:rFonts w:hint="eastAsia" w:ascii="宋体" w:hAnsi="宋体" w:cs="宋体"/>
                <w:color w:val="auto"/>
                <w:sz w:val="21"/>
                <w:szCs w:val="21"/>
              </w:rPr>
              <w:t>①</w:t>
            </w:r>
            <w:r>
              <w:rPr>
                <w:rFonts w:ascii="Times New Roman" w:hAnsi="Times New Roman"/>
                <w:color w:val="auto"/>
                <w:sz w:val="21"/>
                <w:szCs w:val="21"/>
              </w:rPr>
              <w:t>恶臭来源</w:t>
            </w:r>
          </w:p>
          <w:p w14:paraId="3647ADC8">
            <w:pPr>
              <w:snapToGrid w:val="0"/>
              <w:spacing w:line="480" w:lineRule="exact"/>
              <w:ind w:firstLine="420" w:firstLineChars="200"/>
              <w:rPr>
                <w:rFonts w:ascii="Times New Roman" w:hAnsi="Times New Roman"/>
                <w:color w:val="auto"/>
                <w:sz w:val="21"/>
                <w:szCs w:val="21"/>
              </w:rPr>
            </w:pPr>
            <w:r>
              <w:rPr>
                <w:rFonts w:ascii="Times New Roman" w:hAnsi="Times New Roman"/>
                <w:color w:val="auto"/>
                <w:sz w:val="21"/>
                <w:szCs w:val="21"/>
              </w:rPr>
              <w:t>迄今凭人的嗅觉即能感觉到的恶臭物质有4000多种，其中对健康危害较大的有硫醇类、氨、硫化氢、甲基硫、三甲胺、甲醛、苯乙烯、铬酸、酚类等几十种。有些恶臭物质随着废水、废渣排入水体，不仅使水发生异臭异味，而且使鱼类等水生生物发生恶臭。恶臭物质分布广，影响范围大，已经成为公害，在一些地方的环保投诉中，恶臭案件仅次于噪声。</w:t>
            </w:r>
          </w:p>
          <w:p w14:paraId="7264F90C">
            <w:pPr>
              <w:snapToGrid w:val="0"/>
              <w:spacing w:line="480" w:lineRule="exact"/>
              <w:ind w:firstLine="420" w:firstLineChars="200"/>
              <w:rPr>
                <w:rFonts w:ascii="Times New Roman" w:hAnsi="Times New Roman"/>
                <w:color w:val="auto"/>
                <w:sz w:val="21"/>
                <w:szCs w:val="21"/>
              </w:rPr>
            </w:pPr>
            <w:r>
              <w:rPr>
                <w:rFonts w:hint="eastAsia" w:ascii="宋体" w:hAnsi="宋体" w:cs="宋体"/>
                <w:color w:val="auto"/>
                <w:sz w:val="21"/>
                <w:szCs w:val="21"/>
              </w:rPr>
              <w:t>②</w:t>
            </w:r>
            <w:r>
              <w:rPr>
                <w:rFonts w:ascii="Times New Roman" w:hAnsi="Times New Roman"/>
                <w:color w:val="auto"/>
                <w:sz w:val="21"/>
                <w:szCs w:val="21"/>
              </w:rPr>
              <w:t>发臭机制</w:t>
            </w:r>
          </w:p>
          <w:p w14:paraId="59D13536">
            <w:pPr>
              <w:snapToGrid w:val="0"/>
              <w:spacing w:line="480" w:lineRule="exact"/>
              <w:ind w:firstLine="420" w:firstLineChars="200"/>
              <w:rPr>
                <w:rFonts w:ascii="Times New Roman" w:hAnsi="Times New Roman"/>
                <w:color w:val="auto"/>
                <w:sz w:val="21"/>
                <w:szCs w:val="21"/>
              </w:rPr>
            </w:pPr>
            <w:r>
              <w:rPr>
                <w:rFonts w:ascii="Times New Roman" w:hAnsi="Times New Roman"/>
                <w:color w:val="auto"/>
                <w:sz w:val="21"/>
                <w:szCs w:val="21"/>
              </w:rPr>
              <w:t>恶臭物质发臭和它的分子结构有关，如两个烷基同硫结合时，就会变成二甲基硫(CH</w:t>
            </w:r>
            <w:r>
              <w:rPr>
                <w:rFonts w:ascii="Times New Roman" w:hAnsi="Times New Roman"/>
                <w:color w:val="auto"/>
                <w:sz w:val="21"/>
                <w:szCs w:val="21"/>
                <w:vertAlign w:val="subscript"/>
              </w:rPr>
              <w:t>3</w:t>
            </w:r>
            <w:r>
              <w:rPr>
                <w:rFonts w:ascii="Times New Roman" w:hAnsi="Times New Roman"/>
                <w:color w:val="auto"/>
                <w:sz w:val="21"/>
                <w:szCs w:val="21"/>
              </w:rPr>
              <w:t>)</w:t>
            </w:r>
            <w:r>
              <w:rPr>
                <w:rFonts w:ascii="Times New Roman" w:hAnsi="Times New Roman"/>
                <w:color w:val="auto"/>
                <w:sz w:val="21"/>
                <w:szCs w:val="21"/>
                <w:vertAlign w:val="subscript"/>
              </w:rPr>
              <w:t>2</w:t>
            </w:r>
            <w:r>
              <w:rPr>
                <w:rFonts w:ascii="Times New Roman" w:hAnsi="Times New Roman"/>
                <w:color w:val="auto"/>
                <w:sz w:val="21"/>
                <w:szCs w:val="21"/>
              </w:rPr>
              <w:t>S和甲基乙基硫CH</w:t>
            </w:r>
            <w:r>
              <w:rPr>
                <w:rFonts w:ascii="Times New Roman" w:hAnsi="Times New Roman"/>
                <w:color w:val="auto"/>
                <w:sz w:val="21"/>
                <w:szCs w:val="21"/>
                <w:vertAlign w:val="subscript"/>
              </w:rPr>
              <w:t>3</w:t>
            </w:r>
            <w:r>
              <w:rPr>
                <w:rFonts w:ascii="Times New Roman" w:hAnsi="Times New Roman"/>
                <w:color w:val="auto"/>
                <w:sz w:val="21"/>
                <w:szCs w:val="21"/>
              </w:rPr>
              <w:t>·C</w:t>
            </w:r>
            <w:r>
              <w:rPr>
                <w:rFonts w:ascii="Times New Roman" w:hAnsi="Times New Roman"/>
                <w:color w:val="auto"/>
                <w:sz w:val="21"/>
                <w:szCs w:val="21"/>
                <w:vertAlign w:val="subscript"/>
              </w:rPr>
              <w:t>2</w:t>
            </w:r>
            <w:r>
              <w:rPr>
                <w:rFonts w:ascii="Times New Roman" w:hAnsi="Times New Roman"/>
                <w:color w:val="auto"/>
                <w:sz w:val="21"/>
                <w:szCs w:val="21"/>
              </w:rPr>
              <w:t>H</w:t>
            </w:r>
            <w:r>
              <w:rPr>
                <w:rFonts w:ascii="Times New Roman" w:hAnsi="Times New Roman"/>
                <w:color w:val="auto"/>
                <w:sz w:val="21"/>
                <w:szCs w:val="21"/>
                <w:vertAlign w:val="subscript"/>
              </w:rPr>
              <w:t>5</w:t>
            </w:r>
            <w:r>
              <w:rPr>
                <w:rFonts w:ascii="Times New Roman" w:hAnsi="Times New Roman"/>
                <w:color w:val="auto"/>
                <w:sz w:val="21"/>
                <w:szCs w:val="21"/>
              </w:rPr>
              <w:t>S等带有异臭的硫醚。若再改变某些化合物分子结构中S的</w:t>
            </w:r>
            <w:r>
              <w:rPr>
                <w:rFonts w:hint="eastAsia"/>
                <w:color w:val="auto"/>
                <w:sz w:val="21"/>
                <w:szCs w:val="21"/>
                <w:lang w:val="en-US" w:eastAsia="zh-CN"/>
              </w:rPr>
              <w:t>位置</w:t>
            </w:r>
            <w:r>
              <w:rPr>
                <w:rFonts w:ascii="Times New Roman" w:hAnsi="Times New Roman"/>
                <w:color w:val="auto"/>
                <w:sz w:val="21"/>
                <w:szCs w:val="21"/>
              </w:rPr>
              <w:t>，其臭味的性质也会改变。例如，将有烂洋葱臭味的乙基硫氰化物C</w:t>
            </w:r>
            <w:r>
              <w:rPr>
                <w:rFonts w:ascii="Times New Roman" w:hAnsi="Times New Roman"/>
                <w:color w:val="auto"/>
                <w:sz w:val="21"/>
                <w:szCs w:val="21"/>
                <w:vertAlign w:val="subscript"/>
              </w:rPr>
              <w:t>2</w:t>
            </w:r>
            <w:r>
              <w:rPr>
                <w:rFonts w:ascii="Times New Roman" w:hAnsi="Times New Roman"/>
                <w:color w:val="auto"/>
                <w:sz w:val="21"/>
                <w:szCs w:val="21"/>
              </w:rPr>
              <w:t>H</w:t>
            </w:r>
            <w:r>
              <w:rPr>
                <w:rFonts w:ascii="Times New Roman" w:hAnsi="Times New Roman"/>
                <w:color w:val="auto"/>
                <w:sz w:val="21"/>
                <w:szCs w:val="21"/>
                <w:vertAlign w:val="subscript"/>
              </w:rPr>
              <w:t>5</w:t>
            </w:r>
            <w:r>
              <w:rPr>
                <w:rFonts w:ascii="Times New Roman" w:hAnsi="Times New Roman"/>
                <w:color w:val="auto"/>
                <w:sz w:val="21"/>
                <w:szCs w:val="21"/>
              </w:rPr>
              <w:t>SCN中S与N的位置对调，就会变成芥末臭味的硫代异氰酸酯C</w:t>
            </w:r>
            <w:r>
              <w:rPr>
                <w:rFonts w:ascii="Times New Roman" w:hAnsi="Times New Roman"/>
                <w:color w:val="auto"/>
                <w:sz w:val="21"/>
                <w:szCs w:val="21"/>
                <w:vertAlign w:val="subscript"/>
              </w:rPr>
              <w:t>2</w:t>
            </w:r>
            <w:r>
              <w:rPr>
                <w:rFonts w:ascii="Times New Roman" w:hAnsi="Times New Roman"/>
                <w:color w:val="auto"/>
                <w:sz w:val="21"/>
                <w:szCs w:val="21"/>
              </w:rPr>
              <w:t>H</w:t>
            </w:r>
            <w:r>
              <w:rPr>
                <w:rFonts w:ascii="Times New Roman" w:hAnsi="Times New Roman"/>
                <w:color w:val="auto"/>
                <w:sz w:val="21"/>
                <w:szCs w:val="21"/>
                <w:vertAlign w:val="subscript"/>
              </w:rPr>
              <w:t>5</w:t>
            </w:r>
            <w:r>
              <w:rPr>
                <w:rFonts w:ascii="Times New Roman" w:hAnsi="Times New Roman"/>
                <w:color w:val="auto"/>
                <w:sz w:val="21"/>
                <w:szCs w:val="21"/>
              </w:rPr>
              <w:t>NCS。各种化合物分子结构中的硫（=S）、巯基（-SH）和硫氰基（-SCN），是形成恶臭的原子团，通称为“发臭团”。另有一些有机物如苯酚、甲醛、丙酮和酪酸等，其分子结构虽不含硫，但含有羟基、醛基、羰基和羧基，也散发各种臭味，起“发臭团”的作用。</w:t>
            </w:r>
          </w:p>
          <w:p w14:paraId="1DCAD378">
            <w:pPr>
              <w:snapToGrid w:val="0"/>
              <w:spacing w:line="480" w:lineRule="exact"/>
              <w:ind w:firstLine="420" w:firstLineChars="200"/>
              <w:rPr>
                <w:rFonts w:ascii="Times New Roman" w:hAnsi="Times New Roman"/>
                <w:color w:val="auto"/>
                <w:sz w:val="21"/>
                <w:szCs w:val="21"/>
              </w:rPr>
            </w:pPr>
            <w:r>
              <w:rPr>
                <w:rFonts w:hint="eastAsia" w:ascii="宋体" w:hAnsi="宋体" w:cs="宋体"/>
                <w:color w:val="auto"/>
                <w:sz w:val="21"/>
                <w:szCs w:val="21"/>
              </w:rPr>
              <w:t>③</w:t>
            </w:r>
            <w:r>
              <w:rPr>
                <w:rFonts w:ascii="Times New Roman" w:hAnsi="Times New Roman"/>
                <w:color w:val="auto"/>
                <w:sz w:val="21"/>
                <w:szCs w:val="21"/>
              </w:rPr>
              <w:t>嗅觉机制</w:t>
            </w:r>
          </w:p>
          <w:p w14:paraId="6CDAAB61">
            <w:pPr>
              <w:snapToGrid w:val="0"/>
              <w:spacing w:line="480" w:lineRule="exact"/>
              <w:ind w:firstLine="420" w:firstLineChars="200"/>
              <w:rPr>
                <w:rFonts w:ascii="Times New Roman" w:hAnsi="Times New Roman"/>
                <w:color w:val="auto"/>
                <w:sz w:val="21"/>
                <w:szCs w:val="21"/>
              </w:rPr>
            </w:pPr>
            <w:r>
              <w:rPr>
                <w:rFonts w:ascii="Times New Roman" w:hAnsi="Times New Roman"/>
                <w:color w:val="auto"/>
                <w:sz w:val="21"/>
                <w:szCs w:val="21"/>
              </w:rPr>
              <w:t>恶臭通过人体的嗅觉器官发生作用。人的鼻腔上部有嗅上皮，它由嗅觉细胞（感觉细胞）、支持细胞和基底细胞形成的嗅粘膜以及嗅粘液表面所构成。在嗅觉细胞末端有嗅小胞，并伸出嗅纤毛到嗅粘液表面下的粘液中。从嗅觉细胞伸出嗅神经进入嗅球，经两条通路传入大脑的嗅觉中枢。</w:t>
            </w:r>
          </w:p>
          <w:p w14:paraId="0D3AF33B">
            <w:pPr>
              <w:snapToGrid w:val="0"/>
              <w:spacing w:line="480" w:lineRule="exact"/>
              <w:ind w:firstLine="420" w:firstLineChars="200"/>
              <w:rPr>
                <w:rFonts w:ascii="Times New Roman" w:hAnsi="Times New Roman"/>
                <w:color w:val="auto"/>
                <w:sz w:val="21"/>
                <w:szCs w:val="21"/>
              </w:rPr>
            </w:pPr>
            <w:r>
              <w:rPr>
                <w:rFonts w:hint="eastAsia" w:ascii="宋体" w:hAnsi="宋体" w:cs="宋体"/>
                <w:color w:val="auto"/>
                <w:sz w:val="21"/>
                <w:szCs w:val="21"/>
              </w:rPr>
              <w:t>④</w:t>
            </w:r>
            <w:r>
              <w:rPr>
                <w:rFonts w:ascii="Times New Roman" w:hAnsi="Times New Roman"/>
                <w:color w:val="auto"/>
                <w:sz w:val="21"/>
                <w:szCs w:val="21"/>
              </w:rPr>
              <w:t>危害</w:t>
            </w:r>
          </w:p>
          <w:p w14:paraId="71994B4A">
            <w:pPr>
              <w:snapToGrid w:val="0"/>
              <w:spacing w:line="480" w:lineRule="exact"/>
              <w:ind w:firstLine="420" w:firstLineChars="200"/>
              <w:rPr>
                <w:rFonts w:ascii="Times New Roman" w:hAnsi="Times New Roman"/>
                <w:color w:val="auto"/>
                <w:sz w:val="21"/>
                <w:szCs w:val="21"/>
              </w:rPr>
            </w:pPr>
            <w:r>
              <w:rPr>
                <w:rFonts w:ascii="Times New Roman" w:hAnsi="Times New Roman"/>
                <w:color w:val="auto"/>
                <w:sz w:val="21"/>
                <w:szCs w:val="21"/>
              </w:rPr>
              <w:t>a.危害呼吸系统。人们突然闻到恶臭，就会产生反射性的抑制吸气，使呼吸次数减少，深度变浅，甚至会暂时停止吸气，即所谓“闭气”，妨碍正常呼吸功能。</w:t>
            </w:r>
          </w:p>
          <w:p w14:paraId="0578A8C5">
            <w:pPr>
              <w:snapToGrid w:val="0"/>
              <w:spacing w:line="480" w:lineRule="exact"/>
              <w:ind w:firstLine="420" w:firstLineChars="200"/>
              <w:rPr>
                <w:rFonts w:ascii="Times New Roman" w:hAnsi="Times New Roman"/>
                <w:color w:val="auto"/>
                <w:sz w:val="21"/>
                <w:szCs w:val="21"/>
              </w:rPr>
            </w:pPr>
            <w:r>
              <w:rPr>
                <w:rFonts w:ascii="Times New Roman" w:hAnsi="Times New Roman"/>
                <w:color w:val="auto"/>
                <w:sz w:val="21"/>
                <w:szCs w:val="21"/>
              </w:rPr>
              <w:t>b.危害循环系统。随着呼吸的变化，会出现脉搏和血压的变化。如氨等刺激性臭气会使血压出现先下降后上升，脉搏先减慢后加快的现象。</w:t>
            </w:r>
          </w:p>
          <w:p w14:paraId="6FDBE584">
            <w:pPr>
              <w:snapToGrid w:val="0"/>
              <w:spacing w:line="480" w:lineRule="exact"/>
              <w:ind w:firstLine="420" w:firstLineChars="200"/>
              <w:rPr>
                <w:rFonts w:ascii="Times New Roman" w:hAnsi="Times New Roman"/>
                <w:color w:val="auto"/>
                <w:sz w:val="21"/>
                <w:szCs w:val="21"/>
              </w:rPr>
            </w:pPr>
            <w:r>
              <w:rPr>
                <w:rFonts w:ascii="Times New Roman" w:hAnsi="Times New Roman"/>
                <w:color w:val="auto"/>
                <w:sz w:val="21"/>
                <w:szCs w:val="21"/>
              </w:rPr>
              <w:t>c.危害消化系统。经常接触恶臭，会使人厌食、恶心，甚至呕吐，进而发展为消化功能减退。</w:t>
            </w:r>
          </w:p>
          <w:p w14:paraId="20AC8CEE">
            <w:pPr>
              <w:snapToGrid w:val="0"/>
              <w:spacing w:line="480" w:lineRule="exact"/>
              <w:ind w:firstLine="420" w:firstLineChars="200"/>
              <w:rPr>
                <w:rFonts w:ascii="Times New Roman" w:hAnsi="Times New Roman"/>
                <w:color w:val="auto"/>
                <w:sz w:val="21"/>
                <w:szCs w:val="21"/>
              </w:rPr>
            </w:pPr>
            <w:r>
              <w:rPr>
                <w:rFonts w:ascii="Times New Roman" w:hAnsi="Times New Roman"/>
                <w:color w:val="auto"/>
                <w:sz w:val="21"/>
                <w:szCs w:val="21"/>
              </w:rPr>
              <w:t>d.危害内分泌系统。经常受恶臭刺激，会使内分泌系统的分泌功能紊乱，影响机体的代谢活动。</w:t>
            </w:r>
          </w:p>
          <w:p w14:paraId="05259446">
            <w:pPr>
              <w:snapToGrid w:val="0"/>
              <w:spacing w:line="480" w:lineRule="exact"/>
              <w:ind w:firstLine="420" w:firstLineChars="200"/>
              <w:rPr>
                <w:rFonts w:ascii="Times New Roman" w:hAnsi="Times New Roman"/>
                <w:color w:val="auto"/>
                <w:sz w:val="21"/>
                <w:szCs w:val="21"/>
              </w:rPr>
            </w:pPr>
            <w:r>
              <w:rPr>
                <w:rFonts w:ascii="Times New Roman" w:hAnsi="Times New Roman"/>
                <w:color w:val="auto"/>
                <w:sz w:val="21"/>
                <w:szCs w:val="21"/>
              </w:rPr>
              <w:t>e.危害神经系统。长期受到一种或几种低浓度恶臭物质的刺激，会引起嗅觉脱失、嗅觉疲劳等障碍。“久闻而不知其臭”，使嗅觉丧失了第一道防御功能，但脑神经仍不断受到刺激和损伤，最后导致大脑皮层兴奋和抑制的调节功能失调。</w:t>
            </w:r>
          </w:p>
          <w:p w14:paraId="3F414BA3">
            <w:pPr>
              <w:snapToGrid w:val="0"/>
              <w:spacing w:line="480" w:lineRule="exact"/>
              <w:ind w:firstLine="420" w:firstLineChars="200"/>
              <w:rPr>
                <w:rFonts w:ascii="Times New Roman" w:hAnsi="Times New Roman"/>
                <w:color w:val="auto"/>
                <w:sz w:val="21"/>
                <w:szCs w:val="21"/>
              </w:rPr>
            </w:pPr>
            <w:r>
              <w:rPr>
                <w:rFonts w:ascii="Times New Roman" w:hAnsi="Times New Roman"/>
                <w:color w:val="auto"/>
                <w:sz w:val="21"/>
                <w:szCs w:val="21"/>
              </w:rPr>
              <w:t>f.对精神的影响。恶臭使人精神烦躁不安，思想不集中，工作效率减低，判断力和记忆力下降，影响大脑的思考活动。</w:t>
            </w:r>
          </w:p>
          <w:p w14:paraId="15E02CFF">
            <w:pPr>
              <w:snapToGrid w:val="0"/>
              <w:spacing w:line="480" w:lineRule="exact"/>
              <w:ind w:firstLine="420" w:firstLineChars="200"/>
              <w:rPr>
                <w:rFonts w:ascii="Times New Roman" w:hAnsi="Times New Roman"/>
                <w:color w:val="auto"/>
                <w:sz w:val="21"/>
                <w:szCs w:val="21"/>
              </w:rPr>
            </w:pPr>
            <w:r>
              <w:rPr>
                <w:rFonts w:ascii="Times New Roman" w:hAnsi="Times New Roman"/>
                <w:color w:val="auto"/>
                <w:sz w:val="21"/>
                <w:szCs w:val="21"/>
              </w:rPr>
              <w:fldChar w:fldCharType="begin"/>
            </w:r>
            <w:r>
              <w:rPr>
                <w:rFonts w:ascii="Times New Roman" w:hAnsi="Times New Roman"/>
                <w:color w:val="auto"/>
                <w:sz w:val="21"/>
                <w:szCs w:val="21"/>
              </w:rPr>
              <w:instrText xml:space="preserve"> = 5 \* GB3 </w:instrText>
            </w:r>
            <w:r>
              <w:rPr>
                <w:rFonts w:ascii="Times New Roman" w:hAnsi="Times New Roman"/>
                <w:color w:val="auto"/>
                <w:sz w:val="21"/>
                <w:szCs w:val="21"/>
              </w:rPr>
              <w:fldChar w:fldCharType="separate"/>
            </w:r>
            <w:r>
              <w:rPr>
                <w:rFonts w:hint="eastAsia" w:ascii="宋体" w:hAnsi="宋体" w:cs="宋体"/>
                <w:color w:val="auto"/>
                <w:sz w:val="21"/>
                <w:szCs w:val="21"/>
              </w:rPr>
              <w:t>⑤</w:t>
            </w:r>
            <w:r>
              <w:rPr>
                <w:rFonts w:ascii="Times New Roman" w:hAnsi="Times New Roman"/>
                <w:color w:val="auto"/>
                <w:sz w:val="21"/>
                <w:szCs w:val="21"/>
              </w:rPr>
              <w:fldChar w:fldCharType="end"/>
            </w:r>
            <w:r>
              <w:rPr>
                <w:rFonts w:ascii="Times New Roman" w:hAnsi="Times New Roman"/>
                <w:color w:val="auto"/>
                <w:sz w:val="21"/>
                <w:szCs w:val="21"/>
              </w:rPr>
              <w:t>影响分析</w:t>
            </w:r>
          </w:p>
          <w:p w14:paraId="14380870">
            <w:pPr>
              <w:snapToGrid w:val="0"/>
              <w:spacing w:line="500" w:lineRule="exact"/>
              <w:ind w:firstLine="420" w:firstLineChars="200"/>
              <w:rPr>
                <w:rFonts w:ascii="Times New Roman" w:hAnsi="Times New Roman"/>
                <w:color w:val="auto"/>
                <w:sz w:val="21"/>
                <w:szCs w:val="21"/>
              </w:rPr>
            </w:pPr>
            <w:r>
              <w:rPr>
                <w:rFonts w:hint="eastAsia" w:ascii="Times New Roman" w:hAnsi="Times New Roman" w:eastAsia="宋体" w:cs="Times New Roman"/>
                <w:color w:val="auto"/>
                <w:sz w:val="21"/>
                <w:szCs w:val="21"/>
                <w:lang w:val="en-US" w:eastAsia="zh-CN"/>
              </w:rPr>
              <w:t>项目建成后主要产生异味的原料主要为</w:t>
            </w:r>
            <w:r>
              <w:rPr>
                <w:rFonts w:hint="eastAsia" w:cs="Times New Roman"/>
                <w:color w:val="auto"/>
                <w:sz w:val="21"/>
                <w:szCs w:val="21"/>
                <w:lang w:val="en-US" w:eastAsia="zh-CN"/>
              </w:rPr>
              <w:t>水性油墨、胶水</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水性油墨、胶水储存时均密封在原料包装桶中，使用过程在密闭的印刷复合间进行</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故</w:t>
            </w:r>
            <w:r>
              <w:rPr>
                <w:rFonts w:hint="eastAsia" w:ascii="Times New Roman" w:hAnsi="Times New Roman" w:eastAsia="宋体" w:cs="Times New Roman"/>
                <w:color w:val="auto"/>
                <w:sz w:val="21"/>
                <w:szCs w:val="21"/>
                <w:lang w:val="en-US" w:eastAsia="zh-CN"/>
              </w:rPr>
              <w:t>本项目恶臭基本不会对周围环境产生较大影响，但仍应加强污染控制管理，严防出现非正常排放，为使恶臭对周围环境影响减至最低，建议对厂区建筑物进行合理布局，建设绿化隔离带使厂界和周围保护目标恶臭影响降至最低。</w:t>
            </w:r>
            <w:r>
              <w:rPr>
                <w:rFonts w:ascii="Times New Roman" w:hAnsi="Times New Roman"/>
                <w:color w:val="auto"/>
                <w:sz w:val="21"/>
                <w:szCs w:val="21"/>
              </w:rPr>
              <w:t>为了减少恶臭对周围环境的影响，建设项目采取如下措施：</w:t>
            </w:r>
          </w:p>
          <w:p w14:paraId="723351AC">
            <w:pPr>
              <w:snapToGrid w:val="0"/>
              <w:spacing w:line="500" w:lineRule="exact"/>
              <w:ind w:firstLine="420" w:firstLineChars="200"/>
              <w:rPr>
                <w:rFonts w:ascii="Times New Roman" w:hAnsi="Times New Roman"/>
                <w:color w:val="auto"/>
                <w:sz w:val="21"/>
                <w:szCs w:val="21"/>
              </w:rPr>
            </w:pPr>
            <w:r>
              <w:rPr>
                <w:rFonts w:hint="eastAsia" w:ascii="宋体" w:hAnsi="宋体" w:cs="宋体"/>
                <w:color w:val="auto"/>
                <w:sz w:val="21"/>
                <w:szCs w:val="21"/>
              </w:rPr>
              <w:t>①</w:t>
            </w:r>
            <w:r>
              <w:rPr>
                <w:rFonts w:hint="eastAsia"/>
                <w:color w:val="auto"/>
                <w:sz w:val="21"/>
                <w:szCs w:val="21"/>
                <w:lang w:val="en-US" w:eastAsia="zh-CN"/>
              </w:rPr>
              <w:t>项目印刷、复合</w:t>
            </w:r>
            <w:r>
              <w:rPr>
                <w:rFonts w:ascii="Times New Roman" w:hAnsi="Times New Roman"/>
                <w:color w:val="auto"/>
                <w:sz w:val="21"/>
                <w:szCs w:val="21"/>
              </w:rPr>
              <w:t>工段产生的有机废气经风机收集后</w:t>
            </w:r>
            <w:r>
              <w:rPr>
                <w:rFonts w:hint="eastAsia" w:ascii="Times New Roman" w:hAnsi="Times New Roman"/>
                <w:color w:val="auto"/>
                <w:sz w:val="21"/>
                <w:szCs w:val="21"/>
                <w:lang w:val="en-US" w:eastAsia="zh-CN"/>
              </w:rPr>
              <w:t>通</w:t>
            </w:r>
            <w:r>
              <w:rPr>
                <w:rFonts w:ascii="Times New Roman" w:hAnsi="Times New Roman"/>
                <w:color w:val="auto"/>
                <w:sz w:val="21"/>
                <w:szCs w:val="21"/>
              </w:rPr>
              <w:t>过一套两级活性炭处置后</w:t>
            </w:r>
            <w:r>
              <w:rPr>
                <w:rFonts w:hint="eastAsia" w:ascii="Times New Roman" w:hAnsi="Times New Roman"/>
                <w:color w:val="auto"/>
                <w:sz w:val="21"/>
                <w:szCs w:val="21"/>
                <w:lang w:val="en-US" w:eastAsia="zh-CN"/>
              </w:rPr>
              <w:t>达标</w:t>
            </w:r>
            <w:r>
              <w:rPr>
                <w:rFonts w:ascii="Times New Roman" w:hAnsi="Times New Roman"/>
                <w:color w:val="auto"/>
                <w:sz w:val="21"/>
                <w:szCs w:val="21"/>
              </w:rPr>
              <w:t>排放，强化设计、管理，提高收集率；</w:t>
            </w:r>
          </w:p>
          <w:p w14:paraId="44336769">
            <w:pPr>
              <w:snapToGrid w:val="0"/>
              <w:spacing w:line="500" w:lineRule="exact"/>
              <w:ind w:firstLine="420" w:firstLineChars="200"/>
              <w:rPr>
                <w:rFonts w:ascii="Times New Roman" w:hAnsi="Times New Roman"/>
                <w:color w:val="auto"/>
                <w:sz w:val="21"/>
                <w:szCs w:val="21"/>
              </w:rPr>
            </w:pPr>
            <w:r>
              <w:rPr>
                <w:rFonts w:hint="eastAsia" w:ascii="宋体" w:hAnsi="宋体" w:cs="宋体"/>
                <w:color w:val="auto"/>
                <w:sz w:val="21"/>
                <w:szCs w:val="21"/>
              </w:rPr>
              <w:t>②</w:t>
            </w:r>
            <w:r>
              <w:rPr>
                <w:rFonts w:ascii="Times New Roman" w:hAnsi="Times New Roman"/>
                <w:color w:val="auto"/>
                <w:sz w:val="21"/>
                <w:szCs w:val="21"/>
              </w:rPr>
              <w:t>生产车间加大车间机械通风风量，原料</w:t>
            </w:r>
            <w:r>
              <w:rPr>
                <w:rFonts w:hint="eastAsia" w:ascii="Times New Roman" w:hAnsi="Times New Roman"/>
                <w:color w:val="auto"/>
                <w:sz w:val="21"/>
                <w:szCs w:val="21"/>
                <w:lang w:val="en-US" w:eastAsia="zh-CN"/>
              </w:rPr>
              <w:t>包装桶</w:t>
            </w:r>
            <w:r>
              <w:rPr>
                <w:rFonts w:ascii="Times New Roman" w:hAnsi="Times New Roman"/>
                <w:color w:val="auto"/>
                <w:sz w:val="21"/>
                <w:szCs w:val="21"/>
              </w:rPr>
              <w:t>保持密闭；</w:t>
            </w:r>
          </w:p>
          <w:p w14:paraId="3CAA0A69">
            <w:pPr>
              <w:snapToGrid w:val="0"/>
              <w:spacing w:line="500" w:lineRule="exact"/>
              <w:ind w:firstLine="420" w:firstLineChars="200"/>
              <w:rPr>
                <w:rFonts w:ascii="Times New Roman" w:hAnsi="Times New Roman"/>
                <w:color w:val="auto"/>
                <w:sz w:val="21"/>
                <w:szCs w:val="21"/>
              </w:rPr>
            </w:pPr>
            <w:r>
              <w:rPr>
                <w:rFonts w:hint="eastAsia" w:ascii="宋体" w:hAnsi="宋体" w:cs="宋体"/>
                <w:color w:val="auto"/>
                <w:sz w:val="21"/>
                <w:szCs w:val="21"/>
              </w:rPr>
              <w:t>③</w:t>
            </w:r>
            <w:r>
              <w:rPr>
                <w:rFonts w:ascii="Times New Roman" w:hAnsi="Times New Roman"/>
                <w:color w:val="auto"/>
                <w:sz w:val="21"/>
                <w:szCs w:val="21"/>
              </w:rPr>
              <w:t>泵和阀门使用质量好的垫片，以减少跑、冒、滴、漏。</w:t>
            </w:r>
          </w:p>
          <w:p w14:paraId="0968511F">
            <w:pPr>
              <w:keepNext w:val="0"/>
              <w:keepLines w:val="0"/>
              <w:pageBreakBefore w:val="0"/>
              <w:tabs>
                <w:tab w:val="left" w:pos="1155"/>
              </w:tabs>
              <w:kinsoku/>
              <w:wordWrap/>
              <w:overflowPunct/>
              <w:topLinePunct w:val="0"/>
              <w:autoSpaceDE/>
              <w:autoSpaceDN/>
              <w:bidi w:val="0"/>
              <w:adjustRightInd w:val="0"/>
              <w:snapToGrid w:val="0"/>
              <w:spacing w:line="480" w:lineRule="exact"/>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ascii="Times New Roman" w:hAnsi="Times New Roman"/>
                <w:color w:val="auto"/>
                <w:sz w:val="21"/>
                <w:szCs w:val="21"/>
              </w:rPr>
              <w:t>采取以上措施后，项目恶臭</w:t>
            </w:r>
            <w:r>
              <w:rPr>
                <w:rFonts w:hint="eastAsia" w:ascii="Times New Roman" w:hAnsi="Times New Roman"/>
                <w:color w:val="auto"/>
                <w:sz w:val="21"/>
                <w:szCs w:val="21"/>
                <w:lang w:val="en-US" w:eastAsia="zh-CN"/>
              </w:rPr>
              <w:t>气体</w:t>
            </w:r>
            <w:r>
              <w:rPr>
                <w:rFonts w:ascii="Times New Roman" w:hAnsi="Times New Roman"/>
                <w:color w:val="auto"/>
                <w:sz w:val="21"/>
                <w:szCs w:val="21"/>
              </w:rPr>
              <w:t>对周围环境的影响将大大降低，本项目恶臭对周边环境影响可接受</w:t>
            </w:r>
            <w:r>
              <w:rPr>
                <w:rFonts w:hint="default" w:ascii="Times New Roman" w:hAnsi="Times New Roman" w:eastAsia="宋体" w:cs="Times New Roman"/>
                <w:color w:val="auto"/>
                <w:sz w:val="21"/>
                <w:szCs w:val="21"/>
                <w:highlight w:val="none"/>
                <w:lang w:val="en-US" w:eastAsia="zh-CN"/>
              </w:rPr>
              <w:t>。</w:t>
            </w:r>
          </w:p>
          <w:p w14:paraId="7F858A5E">
            <w:pPr>
              <w:keepNext w:val="0"/>
              <w:keepLines w:val="0"/>
              <w:pageBreakBefore w:val="0"/>
              <w:tabs>
                <w:tab w:val="left" w:pos="1155"/>
              </w:tabs>
              <w:kinsoku/>
              <w:wordWrap/>
              <w:overflowPunct/>
              <w:topLinePunct w:val="0"/>
              <w:autoSpaceDE/>
              <w:autoSpaceDN/>
              <w:bidi w:val="0"/>
              <w:adjustRightInd w:val="0"/>
              <w:snapToGrid w:val="0"/>
              <w:spacing w:line="48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val="en-US" w:eastAsia="zh-CN"/>
              </w:rPr>
              <w:t>废气排放环境影响分析</w:t>
            </w:r>
          </w:p>
          <w:p w14:paraId="18B16EB7">
            <w:pPr>
              <w:keepNext w:val="0"/>
              <w:keepLines w:val="0"/>
              <w:pageBreakBefore w:val="0"/>
              <w:tabs>
                <w:tab w:val="left" w:pos="1155"/>
              </w:tabs>
              <w:kinsoku/>
              <w:wordWrap/>
              <w:overflowPunct/>
              <w:topLinePunct w:val="0"/>
              <w:autoSpaceDE/>
              <w:autoSpaceDN/>
              <w:bidi w:val="0"/>
              <w:adjustRightInd w:val="0"/>
              <w:snapToGrid w:val="0"/>
              <w:spacing w:line="48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常州市目前属于环境空气质量不达标区，为改善大气环境质量，常州市印发、实施了多项改善大气环境质量、强化废气排放管控的方案和举措，在积极采取管控措施后，常州市环境空气质量将得到持续改善。</w:t>
            </w:r>
          </w:p>
          <w:p w14:paraId="062A3675">
            <w:pPr>
              <w:keepNext w:val="0"/>
              <w:keepLines w:val="0"/>
              <w:pageBreakBefore w:val="0"/>
              <w:tabs>
                <w:tab w:val="left" w:pos="1155"/>
              </w:tabs>
              <w:kinsoku/>
              <w:wordWrap/>
              <w:overflowPunct/>
              <w:topLinePunct w:val="0"/>
              <w:autoSpaceDE/>
              <w:autoSpaceDN/>
              <w:bidi w:val="0"/>
              <w:adjustRightInd w:val="0"/>
              <w:snapToGrid w:val="0"/>
              <w:spacing w:line="48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本项目排放的大气污染物</w:t>
            </w:r>
            <w:r>
              <w:rPr>
                <w:rFonts w:hint="eastAsia" w:ascii="Times New Roman" w:hAnsi="Times New Roman" w:eastAsia="宋体" w:cs="Times New Roman"/>
                <w:color w:val="auto"/>
                <w:sz w:val="21"/>
                <w:szCs w:val="21"/>
                <w:highlight w:val="none"/>
                <w:lang w:val="en-US" w:eastAsia="zh-CN"/>
              </w:rPr>
              <w:t>主要</w:t>
            </w:r>
            <w:r>
              <w:rPr>
                <w:rFonts w:hint="default" w:ascii="Times New Roman" w:hAnsi="Times New Roman" w:eastAsia="宋体" w:cs="Times New Roman"/>
                <w:color w:val="auto"/>
                <w:sz w:val="21"/>
                <w:szCs w:val="21"/>
                <w:highlight w:val="none"/>
                <w:lang w:val="en-US" w:eastAsia="zh-CN"/>
              </w:rPr>
              <w:t>为</w:t>
            </w:r>
            <w:r>
              <w:rPr>
                <w:rFonts w:hint="eastAsia" w:ascii="Times New Roman" w:hAnsi="Times New Roman" w:eastAsia="宋体" w:cs="Times New Roman"/>
                <w:color w:val="auto"/>
                <w:sz w:val="21"/>
                <w:szCs w:val="21"/>
                <w:highlight w:val="none"/>
                <w:lang w:val="en-US" w:eastAsia="zh-CN"/>
              </w:rPr>
              <w:t>非甲烷总烃</w:t>
            </w:r>
            <w:r>
              <w:rPr>
                <w:rFonts w:hint="default" w:ascii="Times New Roman" w:hAnsi="Times New Roman" w:eastAsia="宋体" w:cs="Times New Roman"/>
                <w:color w:val="auto"/>
                <w:sz w:val="21"/>
                <w:szCs w:val="21"/>
                <w:highlight w:val="none"/>
                <w:lang w:val="en-US" w:eastAsia="zh-CN"/>
              </w:rPr>
              <w:t>，针对各产污环节，均采取了合适可行的污染治理措施，经收集处理后的污染物排放强度较低，且本项目满足大气卫生防护距离设置要求，故本项目废气排放的环境影响较小。</w:t>
            </w:r>
          </w:p>
          <w:p w14:paraId="5E0AFAD2">
            <w:pPr>
              <w:keepNext w:val="0"/>
              <w:keepLines w:val="0"/>
              <w:pageBreakBefore w:val="0"/>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b/>
                <w:color w:val="auto"/>
                <w:sz w:val="21"/>
                <w:szCs w:val="21"/>
              </w:rPr>
            </w:pPr>
            <w:r>
              <w:rPr>
                <w:rFonts w:hint="eastAsia" w:cs="Times New Roman"/>
                <w:b/>
                <w:color w:val="auto"/>
                <w:sz w:val="21"/>
                <w:szCs w:val="21"/>
                <w:lang w:eastAsia="zh-CN"/>
              </w:rPr>
              <w:t>二</w:t>
            </w:r>
            <w:r>
              <w:rPr>
                <w:rFonts w:hint="default" w:ascii="Times New Roman" w:hAnsi="Times New Roman" w:cs="Times New Roman"/>
                <w:b/>
                <w:color w:val="auto"/>
                <w:sz w:val="21"/>
                <w:szCs w:val="21"/>
              </w:rPr>
              <w:t>、废水</w:t>
            </w:r>
          </w:p>
          <w:p w14:paraId="79AB35B8">
            <w:pPr>
              <w:keepNext w:val="0"/>
              <w:keepLines w:val="0"/>
              <w:pageBreakBefore w:val="0"/>
              <w:widowControl w:val="0"/>
              <w:kinsoku/>
              <w:wordWrap/>
              <w:overflowPunct/>
              <w:topLinePunct w:val="0"/>
              <w:autoSpaceDE/>
              <w:autoSpaceDN/>
              <w:bidi w:val="0"/>
              <w:adjustRightInd w:val="0"/>
              <w:snapToGrid w:val="0"/>
              <w:spacing w:line="480" w:lineRule="exact"/>
              <w:ind w:firstLine="422" w:firstLineChars="200"/>
              <w:textAlignment w:val="auto"/>
              <w:rPr>
                <w:rFonts w:hint="default" w:ascii="Times New Roman" w:hAnsi="Times New Roman" w:cs="Times New Roman"/>
                <w:b w:val="0"/>
                <w:bCs/>
                <w:color w:val="auto"/>
                <w:sz w:val="21"/>
                <w:szCs w:val="21"/>
              </w:rPr>
            </w:pPr>
            <w:r>
              <w:rPr>
                <w:rFonts w:hint="default" w:ascii="Times New Roman" w:hAnsi="Times New Roman" w:eastAsia="宋体" w:cs="Times New Roman"/>
                <w:b/>
                <w:color w:val="auto"/>
                <w:sz w:val="21"/>
                <w:szCs w:val="21"/>
                <w:lang w:val="en-US" w:eastAsia="zh-CN"/>
              </w:rPr>
              <w:t>1、</w:t>
            </w:r>
            <w:r>
              <w:rPr>
                <w:rFonts w:hint="default" w:ascii="Times New Roman" w:hAnsi="Times New Roman" w:eastAsia="宋体" w:cs="Times New Roman"/>
                <w:b/>
                <w:bCs/>
                <w:color w:val="auto"/>
                <w:sz w:val="21"/>
                <w:szCs w:val="21"/>
                <w:lang w:val="en-US" w:eastAsia="zh-CN"/>
              </w:rPr>
              <w:t xml:space="preserve">废水污染源强分析 </w:t>
            </w:r>
          </w:p>
          <w:p w14:paraId="118AB35C">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textAlignment w:val="auto"/>
              <w:rPr>
                <w:b/>
                <w:bCs/>
                <w:color w:val="auto"/>
                <w:sz w:val="21"/>
                <w:szCs w:val="21"/>
              </w:rPr>
            </w:pPr>
            <w:r>
              <w:rPr>
                <w:rFonts w:hint="eastAsia" w:cs="Times New Roman"/>
                <w:color w:val="auto"/>
                <w:sz w:val="21"/>
                <w:szCs w:val="21"/>
                <w:lang w:val="en-US" w:eastAsia="zh-CN"/>
              </w:rPr>
              <w:t>根据前文分析</w:t>
            </w:r>
            <w:r>
              <w:rPr>
                <w:color w:val="auto"/>
                <w:sz w:val="21"/>
                <w:szCs w:val="21"/>
              </w:rPr>
              <w:t>，</w:t>
            </w:r>
            <w:r>
              <w:rPr>
                <w:rFonts w:hint="eastAsia"/>
                <w:color w:val="auto"/>
                <w:sz w:val="21"/>
                <w:szCs w:val="21"/>
                <w:lang w:val="en-US" w:eastAsia="zh-CN"/>
              </w:rPr>
              <w:t>项目</w:t>
            </w:r>
            <w:r>
              <w:rPr>
                <w:color w:val="auto"/>
                <w:sz w:val="21"/>
                <w:szCs w:val="21"/>
              </w:rPr>
              <w:t>生活污水排放量为</w:t>
            </w:r>
            <w:r>
              <w:rPr>
                <w:rFonts w:hint="eastAsia"/>
                <w:color w:val="auto"/>
                <w:sz w:val="21"/>
                <w:szCs w:val="21"/>
                <w:lang w:val="en-US" w:eastAsia="zh-CN"/>
              </w:rPr>
              <w:t>480</w:t>
            </w:r>
            <w:r>
              <w:rPr>
                <w:color w:val="auto"/>
                <w:sz w:val="21"/>
                <w:szCs w:val="21"/>
              </w:rPr>
              <w:t>t/a，主要污染物为：COD、SS、氨氮、</w:t>
            </w:r>
            <w:r>
              <w:rPr>
                <w:rFonts w:hint="eastAsia"/>
                <w:color w:val="auto"/>
                <w:sz w:val="21"/>
                <w:szCs w:val="21"/>
              </w:rPr>
              <w:t>TN</w:t>
            </w:r>
            <w:r>
              <w:rPr>
                <w:color w:val="auto"/>
                <w:sz w:val="21"/>
                <w:szCs w:val="21"/>
              </w:rPr>
              <w:t>、</w:t>
            </w:r>
            <w:r>
              <w:rPr>
                <w:rFonts w:hint="eastAsia"/>
                <w:color w:val="auto"/>
                <w:sz w:val="21"/>
                <w:szCs w:val="21"/>
              </w:rPr>
              <w:t>TP</w:t>
            </w:r>
            <w:r>
              <w:rPr>
                <w:color w:val="auto"/>
                <w:sz w:val="21"/>
                <w:szCs w:val="21"/>
              </w:rPr>
              <w:t>产生浓度分别为</w:t>
            </w:r>
            <w:r>
              <w:rPr>
                <w:rFonts w:hint="eastAsia"/>
                <w:color w:val="auto"/>
                <w:sz w:val="21"/>
                <w:szCs w:val="21"/>
                <w:lang w:val="en-US" w:eastAsia="zh-CN"/>
              </w:rPr>
              <w:t>3</w:t>
            </w:r>
            <w:r>
              <w:rPr>
                <w:color w:val="auto"/>
                <w:sz w:val="21"/>
                <w:szCs w:val="21"/>
              </w:rPr>
              <w:t>00mg/L、</w:t>
            </w:r>
            <w:r>
              <w:rPr>
                <w:rFonts w:hint="eastAsia"/>
                <w:color w:val="auto"/>
                <w:sz w:val="21"/>
                <w:szCs w:val="21"/>
              </w:rPr>
              <w:t>2</w:t>
            </w:r>
            <w:r>
              <w:rPr>
                <w:rFonts w:hint="eastAsia"/>
                <w:color w:val="auto"/>
                <w:sz w:val="21"/>
                <w:szCs w:val="21"/>
                <w:lang w:val="en-US" w:eastAsia="zh-CN"/>
              </w:rPr>
              <w:t>0</w:t>
            </w:r>
            <w:r>
              <w:rPr>
                <w:color w:val="auto"/>
                <w:sz w:val="21"/>
                <w:szCs w:val="21"/>
              </w:rPr>
              <w:t>0mg/L、</w:t>
            </w:r>
            <w:r>
              <w:rPr>
                <w:rFonts w:hint="eastAsia"/>
                <w:color w:val="auto"/>
                <w:sz w:val="21"/>
                <w:szCs w:val="21"/>
                <w:lang w:val="en-US" w:eastAsia="zh-CN"/>
              </w:rPr>
              <w:t>20</w:t>
            </w:r>
            <w:r>
              <w:rPr>
                <w:color w:val="auto"/>
                <w:sz w:val="21"/>
                <w:szCs w:val="21"/>
              </w:rPr>
              <w:t>mg/L、</w:t>
            </w:r>
            <w:r>
              <w:rPr>
                <w:rFonts w:hint="eastAsia"/>
                <w:color w:val="auto"/>
                <w:sz w:val="21"/>
                <w:szCs w:val="21"/>
                <w:lang w:val="en-US" w:eastAsia="zh-CN"/>
              </w:rPr>
              <w:t>40</w:t>
            </w:r>
            <w:r>
              <w:rPr>
                <w:color w:val="auto"/>
                <w:sz w:val="21"/>
                <w:szCs w:val="21"/>
              </w:rPr>
              <w:t>mg/L、</w:t>
            </w:r>
            <w:r>
              <w:rPr>
                <w:rFonts w:hint="eastAsia"/>
                <w:color w:val="auto"/>
                <w:sz w:val="21"/>
                <w:szCs w:val="21"/>
                <w:lang w:val="en-US" w:eastAsia="zh-CN"/>
              </w:rPr>
              <w:t>3</w:t>
            </w:r>
            <w:r>
              <w:rPr>
                <w:color w:val="auto"/>
                <w:sz w:val="21"/>
                <w:szCs w:val="21"/>
              </w:rPr>
              <w:t>mg/L。</w:t>
            </w:r>
          </w:p>
          <w:p w14:paraId="67EEC765">
            <w:pPr>
              <w:keepNext w:val="0"/>
              <w:keepLines w:val="0"/>
              <w:pageBreakBefore w:val="0"/>
              <w:widowControl w:val="0"/>
              <w:kinsoku/>
              <w:wordWrap/>
              <w:overflowPunct/>
              <w:topLinePunct w:val="0"/>
              <w:autoSpaceDE/>
              <w:autoSpaceDN/>
              <w:bidi w:val="0"/>
              <w:adjustRightInd w:val="0"/>
              <w:snapToGrid w:val="0"/>
              <w:spacing w:line="480" w:lineRule="exact"/>
              <w:ind w:firstLine="422" w:firstLineChars="200"/>
              <w:textAlignment w:val="auto"/>
              <w:rPr>
                <w:b/>
                <w:bCs/>
                <w:color w:val="auto"/>
                <w:sz w:val="21"/>
                <w:szCs w:val="21"/>
              </w:rPr>
            </w:pPr>
            <w:r>
              <w:rPr>
                <w:rFonts w:hint="eastAsia"/>
                <w:b/>
                <w:bCs/>
                <w:color w:val="auto"/>
                <w:sz w:val="21"/>
                <w:szCs w:val="21"/>
                <w:lang w:val="en-US" w:eastAsia="zh-CN"/>
              </w:rPr>
              <w:t>2、</w:t>
            </w:r>
            <w:r>
              <w:rPr>
                <w:b/>
                <w:bCs/>
                <w:color w:val="auto"/>
                <w:sz w:val="21"/>
                <w:szCs w:val="21"/>
              </w:rPr>
              <w:t>污染防治措施</w:t>
            </w:r>
          </w:p>
          <w:p w14:paraId="3CEBC290">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厂区实现雨污分流。本项目生活污水</w:t>
            </w:r>
            <w:r>
              <w:rPr>
                <w:rFonts w:hint="default" w:ascii="Times New Roman" w:hAnsi="Times New Roman" w:cs="Times New Roman"/>
                <w:color w:val="auto"/>
                <w:sz w:val="21"/>
                <w:szCs w:val="21"/>
                <w:lang w:val="en-US" w:eastAsia="zh-CN"/>
              </w:rPr>
              <w:t>收集后</w:t>
            </w:r>
            <w:r>
              <w:rPr>
                <w:rFonts w:hint="default" w:ascii="Times New Roman" w:hAnsi="Times New Roman" w:cs="Times New Roman"/>
                <w:color w:val="auto"/>
                <w:sz w:val="21"/>
                <w:szCs w:val="21"/>
              </w:rPr>
              <w:t>接管进入</w:t>
            </w:r>
            <w:r>
              <w:rPr>
                <w:rFonts w:hint="eastAsia" w:cs="Times New Roman"/>
                <w:color w:val="auto"/>
                <w:sz w:val="21"/>
                <w:szCs w:val="21"/>
                <w:lang w:eastAsia="zh-CN"/>
              </w:rPr>
              <w:t>常州市金坛区溪城污水处理有限公司</w:t>
            </w:r>
            <w:r>
              <w:rPr>
                <w:rFonts w:hint="default" w:ascii="Times New Roman" w:hAnsi="Times New Roman" w:cs="Times New Roman"/>
                <w:color w:val="auto"/>
                <w:sz w:val="21"/>
                <w:szCs w:val="21"/>
              </w:rPr>
              <w:t>集中处理。</w:t>
            </w:r>
            <w:r>
              <w:rPr>
                <w:rFonts w:hint="default" w:ascii="Times New Roman" w:hAnsi="Times New Roman" w:cs="Times New Roman"/>
                <w:color w:val="auto"/>
                <w:sz w:val="21"/>
                <w:szCs w:val="21"/>
              </w:rPr>
              <w:br w:type="textWrapping"/>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b/>
                <w:bCs/>
                <w:color w:val="auto"/>
                <w:sz w:val="21"/>
                <w:szCs w:val="21"/>
                <w:lang w:val="en-US" w:eastAsia="zh-CN"/>
              </w:rPr>
              <w:t>3、</w:t>
            </w:r>
            <w:r>
              <w:rPr>
                <w:rFonts w:hint="default" w:ascii="Times New Roman" w:hAnsi="Times New Roman" w:cs="Times New Roman"/>
                <w:b/>
                <w:bCs/>
                <w:color w:val="auto"/>
                <w:sz w:val="21"/>
                <w:szCs w:val="21"/>
              </w:rPr>
              <w:t>接管可行性分析</w:t>
            </w:r>
          </w:p>
          <w:p w14:paraId="3A85000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22" w:firstLineChars="200"/>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b/>
                <w:bCs/>
                <w:color w:val="auto"/>
                <w:kern w:val="0"/>
                <w:sz w:val="21"/>
                <w:szCs w:val="21"/>
                <w:lang w:val="en-US" w:eastAsia="zh-CN"/>
              </w:rPr>
              <w:t>1</w:t>
            </w: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b/>
                <w:bCs/>
                <w:color w:val="auto"/>
                <w:kern w:val="0"/>
                <w:sz w:val="21"/>
                <w:szCs w:val="21"/>
              </w:rPr>
              <w:t>废水水质可行性分析</w:t>
            </w:r>
          </w:p>
          <w:p w14:paraId="3A85001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20" w:firstLineChars="200"/>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项目废水中主要含有COD、SS、NH</w:t>
            </w:r>
            <w:r>
              <w:rPr>
                <w:rFonts w:hint="default" w:ascii="Times New Roman" w:hAnsi="Times New Roman" w:cs="Times New Roman"/>
                <w:color w:val="auto"/>
                <w:kern w:val="0"/>
                <w:sz w:val="21"/>
                <w:szCs w:val="21"/>
                <w:vertAlign w:val="subscript"/>
              </w:rPr>
              <w:t>3</w:t>
            </w:r>
            <w:r>
              <w:rPr>
                <w:rFonts w:hint="default" w:ascii="Times New Roman" w:hAnsi="Times New Roman" w:cs="Times New Roman"/>
                <w:color w:val="auto"/>
                <w:kern w:val="0"/>
                <w:sz w:val="21"/>
                <w:szCs w:val="21"/>
              </w:rPr>
              <w:t>-N、TP、TN等常规指标，</w:t>
            </w:r>
            <w:r>
              <w:rPr>
                <w:rFonts w:hint="default" w:ascii="Times New Roman" w:hAnsi="Times New Roman" w:cs="Times New Roman"/>
                <w:color w:val="auto"/>
                <w:kern w:val="0"/>
                <w:sz w:val="21"/>
                <w:szCs w:val="21"/>
                <w:lang w:val="en-US" w:eastAsia="zh-CN"/>
              </w:rPr>
              <w:t>排放</w:t>
            </w:r>
            <w:r>
              <w:rPr>
                <w:rFonts w:hint="default" w:ascii="Times New Roman" w:hAnsi="Times New Roman" w:cs="Times New Roman"/>
                <w:color w:val="auto"/>
                <w:kern w:val="0"/>
                <w:sz w:val="21"/>
                <w:szCs w:val="21"/>
              </w:rPr>
              <w:t>浓度为</w:t>
            </w:r>
            <w:r>
              <w:rPr>
                <w:rFonts w:hint="default" w:ascii="Times New Roman" w:hAnsi="Times New Roman" w:cs="Times New Roman"/>
                <w:color w:val="auto"/>
                <w:sz w:val="21"/>
                <w:szCs w:val="21"/>
                <w:lang w:val="en-US" w:eastAsia="zh-CN"/>
              </w:rPr>
              <w:t xml:space="preserve">COD </w:t>
            </w:r>
            <w:r>
              <w:rPr>
                <w:rFonts w:hint="eastAsia" w:ascii="Times New Roman" w:hAnsi="Times New Roman" w:cs="Times New Roman"/>
                <w:color w:val="auto"/>
                <w:sz w:val="21"/>
                <w:szCs w:val="21"/>
                <w:lang w:val="en-US" w:eastAsia="zh-CN"/>
              </w:rPr>
              <w:t>30</w:t>
            </w:r>
            <w:r>
              <w:rPr>
                <w:rFonts w:hint="default" w:ascii="Times New Roman" w:hAnsi="Times New Roman" w:cs="Times New Roman"/>
                <w:color w:val="auto"/>
                <w:sz w:val="21"/>
                <w:szCs w:val="21"/>
                <w:lang w:val="en-US" w:eastAsia="zh-CN"/>
              </w:rPr>
              <w:t>0mg/L、SS 200mg/L、NH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 20mg/L、TP 3mg/L、TN 40mg/L</w:t>
            </w:r>
            <w:r>
              <w:rPr>
                <w:rFonts w:hint="default" w:ascii="Times New Roman" w:hAnsi="Times New Roman" w:cs="Times New Roman"/>
                <w:color w:val="auto"/>
                <w:kern w:val="0"/>
                <w:sz w:val="21"/>
                <w:szCs w:val="21"/>
              </w:rPr>
              <w:t>，均可达到接管标准，可生化性好，</w:t>
            </w:r>
            <w:r>
              <w:rPr>
                <w:rFonts w:hint="eastAsia" w:cs="Times New Roman"/>
                <w:color w:val="auto"/>
                <w:kern w:val="0"/>
                <w:sz w:val="21"/>
                <w:szCs w:val="21"/>
                <w:lang w:eastAsia="zh-CN"/>
              </w:rPr>
              <w:t>常州市金坛区溪城污水处理有限公司</w:t>
            </w:r>
            <w:r>
              <w:rPr>
                <w:rFonts w:hint="default" w:ascii="Times New Roman" w:hAnsi="Times New Roman" w:cs="Times New Roman"/>
                <w:color w:val="auto"/>
                <w:kern w:val="0"/>
                <w:sz w:val="21"/>
                <w:szCs w:val="21"/>
              </w:rPr>
              <w:t>对本项目废水去除效果较好，能做到达标排放。</w:t>
            </w:r>
          </w:p>
          <w:p w14:paraId="3A85001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500" w:lineRule="exact"/>
              <w:ind w:left="0" w:right="0" w:firstLine="422" w:firstLineChars="200"/>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lang w:eastAsia="zh-CN"/>
              </w:rPr>
              <w:t>（</w:t>
            </w:r>
            <w:r>
              <w:rPr>
                <w:rFonts w:hint="eastAsia" w:ascii="Times New Roman" w:hAnsi="Times New Roman" w:cs="Times New Roman"/>
                <w:b/>
                <w:bCs/>
                <w:color w:val="auto"/>
                <w:kern w:val="0"/>
                <w:sz w:val="21"/>
                <w:szCs w:val="21"/>
                <w:lang w:val="en-US" w:eastAsia="zh-CN"/>
              </w:rPr>
              <w:t>2</w:t>
            </w: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b/>
                <w:bCs/>
                <w:color w:val="auto"/>
                <w:kern w:val="0"/>
                <w:sz w:val="21"/>
                <w:szCs w:val="21"/>
              </w:rPr>
              <w:t>污水处理厂处理负荷可行性分析</w:t>
            </w:r>
          </w:p>
          <w:p w14:paraId="71371D8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20" w:firstLineChars="200"/>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eastAsia="zh-CN"/>
              </w:rPr>
              <w:t>常州市金坛区溪城污水处理有限公司</w:t>
            </w:r>
            <w:r>
              <w:rPr>
                <w:rFonts w:hint="default" w:ascii="Times New Roman" w:hAnsi="Times New Roman" w:eastAsia="宋体" w:cs="Times New Roman"/>
                <w:color w:val="auto"/>
                <w:kern w:val="0"/>
                <w:sz w:val="21"/>
                <w:szCs w:val="21"/>
              </w:rPr>
              <w:t>处理能力为</w:t>
            </w:r>
            <w:r>
              <w:rPr>
                <w:rFonts w:hint="eastAsia" w:cs="Times New Roman"/>
                <w:color w:val="auto"/>
                <w:kern w:val="0"/>
                <w:sz w:val="21"/>
                <w:szCs w:val="21"/>
                <w:lang w:val="en-US" w:eastAsia="zh-CN"/>
              </w:rPr>
              <w:t>2</w:t>
            </w:r>
            <w:r>
              <w:rPr>
                <w:rFonts w:hint="default" w:ascii="Times New Roman" w:hAnsi="Times New Roman" w:eastAsia="宋体" w:cs="Times New Roman"/>
                <w:color w:val="auto"/>
                <w:kern w:val="0"/>
                <w:sz w:val="21"/>
                <w:szCs w:val="21"/>
              </w:rPr>
              <w:t>万</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eastAsia="宋体" w:cs="Times New Roman"/>
                <w:b w:val="0"/>
                <w:bCs w:val="0"/>
                <w:color w:val="auto"/>
                <w:kern w:val="2"/>
                <w:sz w:val="21"/>
                <w:szCs w:val="21"/>
                <w:vertAlign w:val="superscript"/>
                <w:lang w:val="en-US" w:eastAsia="zh-CN" w:bidi="ar-SA"/>
              </w:rPr>
              <w:t>3</w:t>
            </w:r>
            <w:r>
              <w:rPr>
                <w:rFonts w:hint="default" w:ascii="Times New Roman" w:hAnsi="Times New Roman" w:eastAsia="宋体" w:cs="Times New Roman"/>
                <w:color w:val="auto"/>
                <w:kern w:val="0"/>
                <w:sz w:val="21"/>
                <w:szCs w:val="21"/>
              </w:rPr>
              <w:t>/d，据调查，目前污水处理厂实际接纳水量约为</w:t>
            </w:r>
            <w:r>
              <w:rPr>
                <w:rFonts w:hint="eastAsia" w:cs="Times New Roman"/>
                <w:color w:val="auto"/>
                <w:kern w:val="0"/>
                <w:sz w:val="21"/>
                <w:szCs w:val="21"/>
                <w:lang w:val="en-US" w:eastAsia="zh-CN"/>
              </w:rPr>
              <w:t>1.8</w:t>
            </w:r>
            <w:r>
              <w:rPr>
                <w:rFonts w:hint="default" w:ascii="Times New Roman" w:hAnsi="Times New Roman" w:eastAsia="宋体" w:cs="Times New Roman"/>
                <w:color w:val="auto"/>
                <w:kern w:val="0"/>
                <w:sz w:val="21"/>
                <w:szCs w:val="21"/>
              </w:rPr>
              <w:t>万</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eastAsia="宋体" w:cs="Times New Roman"/>
                <w:b w:val="0"/>
                <w:bCs w:val="0"/>
                <w:color w:val="auto"/>
                <w:kern w:val="2"/>
                <w:sz w:val="21"/>
                <w:szCs w:val="21"/>
                <w:vertAlign w:val="superscript"/>
                <w:lang w:val="en-US" w:eastAsia="zh-CN" w:bidi="ar-SA"/>
              </w:rPr>
              <w:t>3</w:t>
            </w:r>
            <w:r>
              <w:rPr>
                <w:rFonts w:hint="default" w:ascii="Times New Roman" w:hAnsi="Times New Roman" w:eastAsia="宋体" w:cs="Times New Roman"/>
                <w:color w:val="auto"/>
                <w:kern w:val="0"/>
                <w:sz w:val="21"/>
                <w:szCs w:val="21"/>
              </w:rPr>
              <w:t>/d（包括企业生活污水及镇区居民生活污水），尚有0.</w:t>
            </w:r>
            <w:r>
              <w:rPr>
                <w:rFonts w:hint="eastAsia" w:cs="Times New Roman"/>
                <w:color w:val="auto"/>
                <w:kern w:val="0"/>
                <w:sz w:val="21"/>
                <w:szCs w:val="21"/>
                <w:lang w:val="en-US" w:eastAsia="zh-CN"/>
              </w:rPr>
              <w:t>2</w:t>
            </w:r>
            <w:r>
              <w:rPr>
                <w:rFonts w:hint="default" w:ascii="Times New Roman" w:hAnsi="Times New Roman" w:eastAsia="宋体" w:cs="Times New Roman"/>
                <w:color w:val="auto"/>
                <w:kern w:val="0"/>
                <w:sz w:val="21"/>
                <w:szCs w:val="21"/>
              </w:rPr>
              <w:t>万</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eastAsia="宋体" w:cs="Times New Roman"/>
                <w:b w:val="0"/>
                <w:bCs w:val="0"/>
                <w:color w:val="auto"/>
                <w:kern w:val="2"/>
                <w:sz w:val="21"/>
                <w:szCs w:val="21"/>
                <w:vertAlign w:val="superscript"/>
                <w:lang w:val="en-US" w:eastAsia="zh-CN" w:bidi="ar-SA"/>
              </w:rPr>
              <w:t>3</w:t>
            </w:r>
            <w:r>
              <w:rPr>
                <w:rFonts w:hint="default" w:ascii="Times New Roman" w:hAnsi="Times New Roman" w:eastAsia="宋体" w:cs="Times New Roman"/>
                <w:color w:val="auto"/>
                <w:kern w:val="0"/>
                <w:sz w:val="21"/>
                <w:szCs w:val="21"/>
              </w:rPr>
              <w:t>/d的余量。</w:t>
            </w:r>
          </w:p>
          <w:p w14:paraId="0A9E8E7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本项目</w:t>
            </w:r>
            <w:r>
              <w:rPr>
                <w:rFonts w:hint="default" w:ascii="Times New Roman" w:hAnsi="Times New Roman" w:eastAsia="宋体" w:cs="Times New Roman"/>
                <w:color w:val="auto"/>
                <w:kern w:val="0"/>
                <w:sz w:val="21"/>
                <w:szCs w:val="21"/>
              </w:rPr>
              <w:t>污水接管排放量约</w:t>
            </w:r>
            <w:r>
              <w:rPr>
                <w:rFonts w:hint="eastAsia" w:ascii="Times New Roman" w:hAnsi="Times New Roman" w:cs="Times New Roman"/>
                <w:color w:val="auto"/>
                <w:kern w:val="0"/>
                <w:sz w:val="21"/>
                <w:szCs w:val="21"/>
                <w:lang w:val="en-US" w:eastAsia="zh-CN"/>
              </w:rPr>
              <w:t>1.</w:t>
            </w:r>
            <w:r>
              <w:rPr>
                <w:rFonts w:hint="eastAsia" w:cs="Times New Roman"/>
                <w:color w:val="auto"/>
                <w:kern w:val="0"/>
                <w:sz w:val="21"/>
                <w:szCs w:val="21"/>
                <w:lang w:val="en-US" w:eastAsia="zh-CN"/>
              </w:rPr>
              <w:t>6</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eastAsia="宋体" w:cs="Times New Roman"/>
                <w:b w:val="0"/>
                <w:bCs w:val="0"/>
                <w:color w:val="auto"/>
                <w:kern w:val="2"/>
                <w:sz w:val="21"/>
                <w:szCs w:val="21"/>
                <w:vertAlign w:val="superscript"/>
                <w:lang w:val="en-US" w:eastAsia="zh-CN" w:bidi="ar-SA"/>
              </w:rPr>
              <w:t>3</w:t>
            </w:r>
            <w:r>
              <w:rPr>
                <w:rFonts w:hint="default" w:ascii="Times New Roman" w:hAnsi="Times New Roman" w:eastAsia="宋体" w:cs="Times New Roman"/>
                <w:color w:val="auto"/>
                <w:kern w:val="0"/>
                <w:sz w:val="21"/>
                <w:szCs w:val="21"/>
              </w:rPr>
              <w:t>/d，占</w:t>
            </w:r>
            <w:r>
              <w:rPr>
                <w:rFonts w:hint="eastAsia" w:cs="Times New Roman"/>
                <w:color w:val="auto"/>
                <w:kern w:val="0"/>
                <w:sz w:val="21"/>
                <w:szCs w:val="21"/>
                <w:lang w:eastAsia="zh-CN"/>
              </w:rPr>
              <w:t>常州市金坛区溪城污水处理有限公司</w:t>
            </w:r>
            <w:r>
              <w:rPr>
                <w:rFonts w:hint="default" w:ascii="Times New Roman" w:hAnsi="Times New Roman" w:eastAsia="宋体" w:cs="Times New Roman"/>
                <w:color w:val="auto"/>
                <w:kern w:val="0"/>
                <w:sz w:val="21"/>
                <w:szCs w:val="21"/>
              </w:rPr>
              <w:t>剩余处理能力的</w:t>
            </w:r>
            <w:r>
              <w:rPr>
                <w:rFonts w:hint="eastAsia" w:ascii="Times New Roman" w:hAnsi="Times New Roman" w:cs="Times New Roman"/>
                <w:color w:val="auto"/>
                <w:kern w:val="0"/>
                <w:sz w:val="21"/>
                <w:szCs w:val="21"/>
                <w:lang w:val="en-US" w:eastAsia="zh-CN"/>
              </w:rPr>
              <w:t>0.</w:t>
            </w:r>
            <w:r>
              <w:rPr>
                <w:rFonts w:hint="eastAsia" w:cs="Times New Roman"/>
                <w:color w:val="auto"/>
                <w:kern w:val="0"/>
                <w:sz w:val="21"/>
                <w:szCs w:val="21"/>
                <w:lang w:val="en-US" w:eastAsia="zh-CN"/>
              </w:rPr>
              <w:t>08</w:t>
            </w:r>
            <w:r>
              <w:rPr>
                <w:rFonts w:hint="default" w:ascii="Times New Roman" w:hAnsi="Times New Roman" w:eastAsia="宋体" w:cs="Times New Roman"/>
                <w:color w:val="auto"/>
                <w:kern w:val="0"/>
                <w:sz w:val="21"/>
                <w:szCs w:val="21"/>
              </w:rPr>
              <w:t>%。因此，从水量分析，</w:t>
            </w:r>
            <w:r>
              <w:rPr>
                <w:rFonts w:hint="eastAsia" w:cs="Times New Roman"/>
                <w:color w:val="auto"/>
                <w:kern w:val="0"/>
                <w:sz w:val="21"/>
                <w:szCs w:val="21"/>
                <w:lang w:eastAsia="zh-CN"/>
              </w:rPr>
              <w:t>常州市金坛区溪城污水处理有限公司</w:t>
            </w:r>
            <w:r>
              <w:rPr>
                <w:rFonts w:hint="default" w:ascii="Times New Roman" w:hAnsi="Times New Roman" w:eastAsia="宋体" w:cs="Times New Roman"/>
                <w:color w:val="auto"/>
                <w:kern w:val="0"/>
                <w:sz w:val="21"/>
                <w:szCs w:val="21"/>
              </w:rPr>
              <w:t>接纳</w:t>
            </w:r>
            <w:r>
              <w:rPr>
                <w:rFonts w:hint="default" w:ascii="Times New Roman" w:hAnsi="Times New Roman" w:eastAsia="宋体" w:cs="Times New Roman"/>
                <w:color w:val="auto"/>
                <w:kern w:val="0"/>
                <w:sz w:val="21"/>
                <w:szCs w:val="21"/>
                <w:lang w:val="en-US" w:eastAsia="zh-CN"/>
              </w:rPr>
              <w:t>本项目</w:t>
            </w:r>
            <w:r>
              <w:rPr>
                <w:rFonts w:hint="default" w:ascii="Times New Roman" w:hAnsi="Times New Roman" w:eastAsia="宋体" w:cs="Times New Roman"/>
                <w:color w:val="auto"/>
                <w:kern w:val="0"/>
                <w:sz w:val="21"/>
                <w:szCs w:val="21"/>
              </w:rPr>
              <w:t>废水是可行的。</w:t>
            </w:r>
          </w:p>
          <w:p w14:paraId="3A85001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22" w:firstLineChars="200"/>
              <w:textAlignment w:val="auto"/>
              <w:rPr>
                <w:rFonts w:hint="default" w:ascii="Times New Roman" w:hAnsi="Times New Roman" w:eastAsia="宋体" w:cs="Times New Roman"/>
                <w:b/>
                <w:bCs/>
                <w:color w:val="auto"/>
                <w:kern w:val="0"/>
                <w:sz w:val="21"/>
                <w:szCs w:val="21"/>
              </w:rPr>
            </w:pPr>
            <w:r>
              <w:rPr>
                <w:rFonts w:hint="default" w:ascii="Times New Roman" w:hAnsi="Times New Roman" w:cs="Times New Roman"/>
                <w:b/>
                <w:bCs/>
                <w:color w:val="auto"/>
                <w:kern w:val="0"/>
                <w:sz w:val="21"/>
                <w:szCs w:val="21"/>
                <w:lang w:eastAsia="zh-CN"/>
              </w:rPr>
              <w:t>（</w:t>
            </w:r>
            <w:r>
              <w:rPr>
                <w:rFonts w:hint="eastAsia" w:ascii="Times New Roman" w:hAnsi="Times New Roman" w:cs="Times New Roman"/>
                <w:b/>
                <w:bCs/>
                <w:color w:val="auto"/>
                <w:kern w:val="0"/>
                <w:sz w:val="21"/>
                <w:szCs w:val="21"/>
                <w:lang w:val="en-US" w:eastAsia="zh-CN"/>
              </w:rPr>
              <w:t>3</w:t>
            </w:r>
            <w:r>
              <w:rPr>
                <w:rFonts w:hint="default" w:ascii="Times New Roman" w:hAnsi="Times New Roman"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rPr>
              <w:t>污水处理厂处理工艺可行性分析</w:t>
            </w:r>
          </w:p>
          <w:p w14:paraId="4FC91574">
            <w:pPr>
              <w:keepNext w:val="0"/>
              <w:keepLines w:val="0"/>
              <w:pageBreakBefore w:val="0"/>
              <w:widowControl/>
              <w:suppressLineNumbers w:val="0"/>
              <w:kinsoku/>
              <w:wordWrap/>
              <w:overflowPunct/>
              <w:topLinePunct w:val="0"/>
              <w:autoSpaceDE/>
              <w:autoSpaceDN/>
              <w:bidi w:val="0"/>
              <w:adjustRightInd/>
              <w:snapToGrid/>
              <w:spacing w:line="500" w:lineRule="exact"/>
              <w:ind w:firstLine="380" w:firstLineChars="200"/>
              <w:jc w:val="left"/>
              <w:textAlignment w:val="auto"/>
              <w:rPr>
                <w:rFonts w:hint="default" w:ascii="Times New Roman" w:hAnsi="Times New Roman" w:eastAsia="宋体" w:cs="Times New Roman"/>
                <w:b w:val="0"/>
                <w:bCs/>
                <w:color w:val="auto"/>
                <w:spacing w:val="-10"/>
                <w:kern w:val="2"/>
                <w:sz w:val="21"/>
                <w:szCs w:val="21"/>
                <w:lang w:val="en-US" w:eastAsia="zh-CN" w:bidi="ar-SA"/>
              </w:rPr>
            </w:pPr>
            <w:r>
              <w:rPr>
                <w:rFonts w:hint="eastAsia" w:ascii="Times New Roman" w:hAnsi="Times New Roman" w:eastAsia="宋体" w:cs="Times New Roman"/>
                <w:b w:val="0"/>
                <w:bCs/>
                <w:color w:val="auto"/>
                <w:spacing w:val="-10"/>
                <w:kern w:val="2"/>
                <w:sz w:val="21"/>
                <w:szCs w:val="21"/>
                <w:lang w:val="en-US" w:eastAsia="zh-CN" w:bidi="ar-SA"/>
              </w:rPr>
              <w:t>金坛溪城污水</w:t>
            </w:r>
            <w:r>
              <w:rPr>
                <w:rFonts w:hint="eastAsia" w:cs="Times New Roman"/>
                <w:b w:val="0"/>
                <w:bCs/>
                <w:color w:val="auto"/>
                <w:spacing w:val="-10"/>
                <w:kern w:val="2"/>
                <w:sz w:val="21"/>
                <w:szCs w:val="21"/>
                <w:lang w:val="en-US" w:eastAsia="zh-CN" w:bidi="ar-SA"/>
              </w:rPr>
              <w:t>处理有限公司</w:t>
            </w:r>
            <w:r>
              <w:rPr>
                <w:rFonts w:hint="eastAsia" w:ascii="Times New Roman" w:hAnsi="Times New Roman" w:eastAsia="宋体" w:cs="Times New Roman"/>
                <w:b w:val="0"/>
                <w:bCs/>
                <w:color w:val="auto"/>
                <w:spacing w:val="-10"/>
                <w:kern w:val="2"/>
                <w:sz w:val="21"/>
                <w:szCs w:val="21"/>
                <w:lang w:val="en-US" w:eastAsia="zh-CN" w:bidi="ar-SA"/>
              </w:rPr>
              <w:t>主要采用</w:t>
            </w:r>
            <w:r>
              <w:rPr>
                <w:rFonts w:hint="default" w:ascii="Times New Roman" w:hAnsi="Times New Roman" w:eastAsia="宋体" w:cs="Times New Roman"/>
                <w:bCs/>
                <w:color w:val="auto"/>
                <w:sz w:val="21"/>
                <w:szCs w:val="21"/>
                <w:highlight w:val="none"/>
                <w:lang w:val="en-US" w:eastAsia="zh-CN"/>
              </w:rPr>
              <w:t>A+AAO+AO</w:t>
            </w:r>
            <w:r>
              <w:rPr>
                <w:rFonts w:hint="eastAsia" w:ascii="Times New Roman" w:hAnsi="Times New Roman" w:eastAsia="宋体" w:cs="Times New Roman"/>
                <w:b w:val="0"/>
                <w:bCs/>
                <w:color w:val="auto"/>
                <w:spacing w:val="-10"/>
                <w:kern w:val="2"/>
                <w:sz w:val="21"/>
                <w:szCs w:val="21"/>
                <w:lang w:val="en-US" w:eastAsia="zh-CN" w:bidi="ar-SA"/>
              </w:rPr>
              <w:t>工艺，该污水</w:t>
            </w:r>
            <w:r>
              <w:rPr>
                <w:rFonts w:hint="eastAsia" w:cs="Times New Roman"/>
                <w:b w:val="0"/>
                <w:bCs/>
                <w:color w:val="auto"/>
                <w:spacing w:val="-10"/>
                <w:kern w:val="2"/>
                <w:sz w:val="21"/>
                <w:szCs w:val="21"/>
                <w:lang w:val="en-US" w:eastAsia="zh-CN" w:bidi="ar-SA"/>
              </w:rPr>
              <w:t>处理有限公司</w:t>
            </w:r>
            <w:r>
              <w:rPr>
                <w:rFonts w:hint="eastAsia" w:ascii="Times New Roman" w:hAnsi="Times New Roman" w:eastAsia="宋体" w:cs="Times New Roman"/>
                <w:b w:val="0"/>
                <w:bCs/>
                <w:color w:val="auto"/>
                <w:spacing w:val="-10"/>
                <w:kern w:val="2"/>
                <w:sz w:val="21"/>
                <w:szCs w:val="21"/>
                <w:lang w:val="en-US" w:eastAsia="zh-CN" w:bidi="ar-SA"/>
              </w:rPr>
              <w:t>50%尾水排入通济河，50%尾水回用至向阳河北侧的生态湿地</w:t>
            </w:r>
            <w:r>
              <w:rPr>
                <w:rFonts w:hint="default" w:ascii="Times New Roman" w:hAnsi="Times New Roman" w:eastAsia="宋体" w:cs="Times New Roman"/>
                <w:b w:val="0"/>
                <w:bCs/>
                <w:color w:val="auto"/>
                <w:spacing w:val="-10"/>
                <w:kern w:val="2"/>
                <w:sz w:val="21"/>
                <w:szCs w:val="21"/>
                <w:lang w:val="en-US" w:eastAsia="zh-CN" w:bidi="ar-SA"/>
              </w:rPr>
              <w:t>。</w:t>
            </w:r>
          </w:p>
          <w:p w14:paraId="2E8FA7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bCs w:val="0"/>
                <w:color w:val="auto"/>
                <w:sz w:val="21"/>
                <w:szCs w:val="21"/>
                <w:highlight w:val="none"/>
                <w:lang w:val="en-US" w:eastAsia="zh-CN"/>
              </w:rPr>
            </w:pPr>
            <w:r>
              <w:rPr>
                <w:color w:val="auto"/>
              </w:rPr>
              <w:drawing>
                <wp:inline distT="0" distB="0" distL="114300" distR="114300">
                  <wp:extent cx="4919345" cy="1825625"/>
                  <wp:effectExtent l="0" t="0" r="3175" b="317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6"/>
                          <a:stretch>
                            <a:fillRect/>
                          </a:stretch>
                        </pic:blipFill>
                        <pic:spPr>
                          <a:xfrm>
                            <a:off x="0" y="0"/>
                            <a:ext cx="4919345" cy="1825625"/>
                          </a:xfrm>
                          <a:prstGeom prst="rect">
                            <a:avLst/>
                          </a:prstGeom>
                          <a:noFill/>
                          <a:ln>
                            <a:noFill/>
                          </a:ln>
                        </pic:spPr>
                      </pic:pic>
                    </a:graphicData>
                  </a:graphic>
                </wp:inline>
              </w:drawing>
            </w:r>
          </w:p>
          <w:p w14:paraId="3B69FA7D">
            <w:pPr>
              <w:adjustRightInd w:val="0"/>
              <w:snapToGrid w:val="0"/>
              <w:spacing w:line="500" w:lineRule="exact"/>
              <w:jc w:val="center"/>
              <w:rPr>
                <w:rFonts w:hint="default" w:ascii="Times New Roman" w:hAnsi="Times New Roman" w:eastAsia="宋体" w:cs="Times New Roman"/>
                <w:b w:val="0"/>
                <w:bCs/>
                <w:color w:val="auto"/>
                <w:spacing w:val="-10"/>
                <w:szCs w:val="21"/>
                <w:lang w:val="en-US" w:eastAsia="zh-CN"/>
              </w:rPr>
            </w:pPr>
            <w:r>
              <w:rPr>
                <w:rFonts w:hint="eastAsia" w:cs="Times New Roman"/>
                <w:b/>
                <w:bCs w:val="0"/>
                <w:color w:val="auto"/>
                <w:sz w:val="21"/>
                <w:szCs w:val="21"/>
                <w:highlight w:val="none"/>
                <w:lang w:val="en-US" w:eastAsia="zh-CN"/>
              </w:rPr>
              <w:t xml:space="preserve">图4-2 </w:t>
            </w:r>
            <w:r>
              <w:rPr>
                <w:rFonts w:hint="default" w:ascii="Times New Roman" w:hAnsi="Times New Roman" w:eastAsia="宋体" w:cs="Times New Roman"/>
                <w:b/>
                <w:bCs w:val="0"/>
                <w:color w:val="auto"/>
                <w:sz w:val="21"/>
                <w:szCs w:val="21"/>
                <w:highlight w:val="none"/>
                <w:lang w:val="en-US" w:eastAsia="zh-CN"/>
              </w:rPr>
              <w:t>常州市金坛区溪城污水处理有限公司</w:t>
            </w:r>
            <w:r>
              <w:rPr>
                <w:rFonts w:hint="eastAsia" w:cs="Times New Roman"/>
                <w:b/>
                <w:bCs w:val="0"/>
                <w:color w:val="auto"/>
                <w:sz w:val="21"/>
                <w:szCs w:val="21"/>
                <w:highlight w:val="none"/>
                <w:lang w:val="en-US" w:eastAsia="zh-CN"/>
              </w:rPr>
              <w:t>污水处理工艺流程图</w:t>
            </w:r>
          </w:p>
          <w:p w14:paraId="3A85001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20" w:firstLineChars="200"/>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本项目废水主要污染物为COD、SS、NH</w:t>
            </w:r>
            <w:r>
              <w:rPr>
                <w:rFonts w:hint="eastAsia" w:ascii="Times New Roman" w:hAnsi="Times New Roman" w:eastAsia="宋体" w:cs="Times New Roman"/>
                <w:color w:val="auto"/>
                <w:kern w:val="0"/>
                <w:sz w:val="21"/>
                <w:szCs w:val="21"/>
                <w:vertAlign w:val="subscript"/>
              </w:rPr>
              <w:t>3</w:t>
            </w:r>
            <w:r>
              <w:rPr>
                <w:rFonts w:hint="eastAsia" w:ascii="Times New Roman" w:hAnsi="Times New Roman" w:eastAsia="宋体" w:cs="Times New Roman"/>
                <w:color w:val="auto"/>
                <w:kern w:val="0"/>
                <w:sz w:val="21"/>
                <w:szCs w:val="21"/>
              </w:rPr>
              <w:t>-N、TP和TN，水质简单，可生化性好，从废水排放达标分析结果可知，废水水质满足</w:t>
            </w:r>
            <w:r>
              <w:rPr>
                <w:rFonts w:hint="eastAsia" w:cs="Times New Roman"/>
                <w:color w:val="auto"/>
                <w:kern w:val="0"/>
                <w:sz w:val="21"/>
                <w:szCs w:val="21"/>
                <w:lang w:eastAsia="zh-CN"/>
              </w:rPr>
              <w:t>常州市金坛区溪城污水处理有限公司</w:t>
            </w:r>
            <w:r>
              <w:rPr>
                <w:rFonts w:hint="eastAsia" w:ascii="Times New Roman" w:hAnsi="Times New Roman" w:eastAsia="宋体" w:cs="Times New Roman"/>
                <w:color w:val="auto"/>
                <w:kern w:val="0"/>
                <w:sz w:val="21"/>
                <w:szCs w:val="21"/>
              </w:rPr>
              <w:t>接管水质要求</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即从处理工艺上接管可行。</w:t>
            </w:r>
          </w:p>
          <w:p w14:paraId="3A85001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20" w:firstLineChars="200"/>
              <w:textAlignment w:val="auto"/>
              <w:rPr>
                <w:rFonts w:hint="eastAsia"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eastAsia="zh-CN"/>
              </w:rPr>
              <w:t>（</w:t>
            </w:r>
            <w:r>
              <w:rPr>
                <w:rFonts w:hint="eastAsia" w:ascii="Times New Roman" w:hAnsi="Times New Roman" w:eastAsia="宋体" w:cs="Times New Roman"/>
                <w:color w:val="auto"/>
                <w:kern w:val="0"/>
                <w:sz w:val="21"/>
                <w:szCs w:val="21"/>
              </w:rPr>
              <w:t>4）管网配套情况</w:t>
            </w:r>
          </w:p>
          <w:p w14:paraId="3A8500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20" w:firstLineChars="200"/>
              <w:textAlignment w:val="auto"/>
              <w:rPr>
                <w:rFonts w:hint="eastAsia"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常州市</w:t>
            </w:r>
            <w:r>
              <w:rPr>
                <w:rFonts w:hint="eastAsia" w:ascii="Times New Roman" w:hAnsi="Times New Roman" w:eastAsia="宋体" w:cs="Times New Roman"/>
                <w:color w:val="auto"/>
                <w:kern w:val="0"/>
                <w:sz w:val="21"/>
                <w:szCs w:val="21"/>
                <w:lang w:val="en-US" w:eastAsia="zh-CN"/>
              </w:rPr>
              <w:t>金坛溪城污水处理有限公司</w:t>
            </w:r>
            <w:r>
              <w:rPr>
                <w:rFonts w:hint="default" w:ascii="Times New Roman" w:hAnsi="Times New Roman" w:eastAsia="宋体" w:cs="Times New Roman"/>
                <w:color w:val="auto"/>
                <w:kern w:val="0"/>
                <w:sz w:val="21"/>
                <w:szCs w:val="21"/>
                <w:lang w:val="en-US" w:eastAsia="zh-CN"/>
              </w:rPr>
              <w:t>位于金坛区直溪工业区张地墩</w:t>
            </w:r>
            <w:r>
              <w:rPr>
                <w:rFonts w:hint="eastAsia"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主要收纳金坛区直溪镇以及朱林金西工业园生活污水和少量工业废水</w:t>
            </w:r>
            <w:r>
              <w:rPr>
                <w:rFonts w:hint="eastAsia" w:ascii="Times New Roman" w:hAnsi="Times New Roman" w:eastAsia="宋体" w:cs="Times New Roman"/>
                <w:color w:val="auto"/>
                <w:kern w:val="0"/>
                <w:sz w:val="21"/>
                <w:szCs w:val="21"/>
                <w:lang w:val="en-US" w:eastAsia="zh-CN"/>
              </w:rPr>
              <w:t>，覆盖面积约40平方公里，服务人口约7.3万人</w:t>
            </w:r>
            <w:r>
              <w:rPr>
                <w:rFonts w:hint="eastAsia" w:ascii="Times New Roman" w:hAnsi="Times New Roman" w:eastAsia="宋体" w:cs="Times New Roman"/>
                <w:color w:val="auto"/>
                <w:kern w:val="0"/>
                <w:sz w:val="21"/>
                <w:szCs w:val="21"/>
              </w:rPr>
              <w:t>。本项目所在地属于该污水处理厂的服务范围内，目前项目所在地的污水管网已经铺设到位，本项目废水可由市政污水管网接入，最终纳入</w:t>
            </w:r>
            <w:r>
              <w:rPr>
                <w:rFonts w:hint="eastAsia" w:ascii="Times New Roman" w:hAnsi="Times New Roman" w:eastAsia="宋体" w:cs="Times New Roman"/>
                <w:color w:val="auto"/>
                <w:kern w:val="0"/>
                <w:sz w:val="21"/>
                <w:szCs w:val="21"/>
                <w:lang w:eastAsia="zh-CN"/>
              </w:rPr>
              <w:t>常州市金坛区溪城污水处理有限公司</w:t>
            </w:r>
            <w:r>
              <w:rPr>
                <w:rFonts w:hint="eastAsia" w:ascii="Times New Roman" w:hAnsi="Times New Roman" w:eastAsia="宋体" w:cs="Times New Roman"/>
                <w:color w:val="auto"/>
                <w:kern w:val="0"/>
                <w:sz w:val="21"/>
                <w:szCs w:val="21"/>
              </w:rPr>
              <w:t>集中处理。</w:t>
            </w:r>
          </w:p>
          <w:p w14:paraId="7C28CF6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20" w:firstLineChars="200"/>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rPr>
              <w:t>根据以上分析，综合考虑污水管网铺设情况、污水处理厂接纳能力及水质浓度达标情况等因素，本项目污水接入</w:t>
            </w:r>
            <w:r>
              <w:rPr>
                <w:rFonts w:hint="eastAsia" w:cs="Times New Roman"/>
                <w:color w:val="auto"/>
                <w:kern w:val="0"/>
                <w:sz w:val="21"/>
                <w:szCs w:val="21"/>
                <w:lang w:eastAsia="zh-CN"/>
              </w:rPr>
              <w:t>常州市金坛区溪城污水处理有限公司</w:t>
            </w:r>
            <w:r>
              <w:rPr>
                <w:rFonts w:hint="eastAsia" w:ascii="Times New Roman" w:hAnsi="Times New Roman" w:eastAsia="宋体" w:cs="Times New Roman"/>
                <w:color w:val="auto"/>
                <w:kern w:val="0"/>
                <w:sz w:val="21"/>
                <w:szCs w:val="21"/>
              </w:rPr>
              <w:t>集中处理是可行的。</w:t>
            </w:r>
          </w:p>
          <w:p w14:paraId="426C6A9D">
            <w:pPr>
              <w:adjustRightInd w:val="0"/>
              <w:snapToGrid w:val="0"/>
              <w:spacing w:line="500" w:lineRule="exact"/>
              <w:ind w:firstLine="422" w:firstLineChars="200"/>
              <w:rPr>
                <w:rFonts w:hint="default" w:ascii="Times New Roman" w:hAnsi="Times New Roman" w:eastAsia="宋体" w:cs="Times New Roman"/>
                <w:b/>
                <w:bCs w:val="0"/>
                <w:color w:val="auto"/>
                <w:sz w:val="21"/>
                <w:szCs w:val="21"/>
                <w:highlight w:val="none"/>
                <w:lang w:val="en-US" w:eastAsia="zh-CN"/>
              </w:rPr>
            </w:pPr>
            <w:r>
              <w:rPr>
                <w:rFonts w:hint="eastAsia" w:cs="Times New Roman"/>
                <w:b/>
                <w:bCs w:val="0"/>
                <w:color w:val="auto"/>
                <w:sz w:val="21"/>
                <w:szCs w:val="21"/>
                <w:highlight w:val="none"/>
                <w:lang w:val="en-US" w:eastAsia="zh-CN"/>
              </w:rPr>
              <w:t>4、</w:t>
            </w:r>
            <w:r>
              <w:rPr>
                <w:rFonts w:hint="default" w:ascii="Times New Roman" w:hAnsi="Times New Roman" w:eastAsia="宋体" w:cs="Times New Roman"/>
                <w:b/>
                <w:bCs w:val="0"/>
                <w:color w:val="auto"/>
                <w:sz w:val="21"/>
                <w:szCs w:val="21"/>
                <w:highlight w:val="none"/>
                <w:lang w:val="en-US" w:eastAsia="zh-CN"/>
              </w:rPr>
              <w:t>废水排放情况</w:t>
            </w:r>
          </w:p>
          <w:p w14:paraId="5F21FEED">
            <w:pPr>
              <w:adjustRightInd w:val="0"/>
              <w:snapToGrid w:val="0"/>
              <w:spacing w:line="500" w:lineRule="exact"/>
              <w:ind w:firstLine="420" w:firstLineChars="200"/>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w:t>
            </w:r>
            <w:r>
              <w:rPr>
                <w:rFonts w:hint="default" w:ascii="Times New Roman" w:hAnsi="Times New Roman" w:eastAsia="宋体" w:cs="Times New Roman"/>
                <w:bCs/>
                <w:color w:val="auto"/>
                <w:sz w:val="21"/>
                <w:szCs w:val="21"/>
                <w:highlight w:val="none"/>
                <w:lang w:val="en-US" w:eastAsia="zh-CN"/>
              </w:rPr>
              <w:t>废水排放情况汇总</w:t>
            </w:r>
          </w:p>
          <w:p w14:paraId="197695F0">
            <w:pPr>
              <w:adjustRightInd w:val="0"/>
              <w:snapToGrid w:val="0"/>
              <w:spacing w:line="500" w:lineRule="exact"/>
              <w:ind w:firstLine="420" w:firstLineChars="20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本项目生活污水接管进入</w:t>
            </w:r>
            <w:r>
              <w:rPr>
                <w:rFonts w:hint="eastAsia" w:cs="Times New Roman"/>
                <w:bCs/>
                <w:color w:val="auto"/>
                <w:sz w:val="21"/>
                <w:szCs w:val="21"/>
                <w:highlight w:val="none"/>
                <w:lang w:val="en-US" w:eastAsia="zh-CN"/>
              </w:rPr>
              <w:t>常州市金坛区溪城污水处理有限公司</w:t>
            </w:r>
            <w:r>
              <w:rPr>
                <w:rFonts w:hint="default" w:ascii="Times New Roman" w:hAnsi="Times New Roman" w:eastAsia="宋体" w:cs="Times New Roman"/>
                <w:bCs/>
                <w:color w:val="auto"/>
                <w:sz w:val="21"/>
                <w:szCs w:val="21"/>
                <w:highlight w:val="none"/>
                <w:lang w:val="en-US" w:eastAsia="zh-CN"/>
              </w:rPr>
              <w:t>集中处理</w:t>
            </w:r>
            <w:r>
              <w:rPr>
                <w:rFonts w:hint="eastAsia"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废水产生及排放情况见</w:t>
            </w:r>
            <w:r>
              <w:rPr>
                <w:rFonts w:hint="eastAsia" w:ascii="Times New Roman" w:hAnsi="Times New Roman" w:eastAsia="宋体" w:cs="Times New Roman"/>
                <w:bCs/>
                <w:color w:val="auto"/>
                <w:sz w:val="21"/>
                <w:szCs w:val="21"/>
                <w:highlight w:val="none"/>
                <w:lang w:val="en-US" w:eastAsia="zh-CN"/>
              </w:rPr>
              <w:t>下</w:t>
            </w:r>
            <w:r>
              <w:rPr>
                <w:rFonts w:hint="default" w:ascii="Times New Roman" w:hAnsi="Times New Roman" w:eastAsia="宋体" w:cs="Times New Roman"/>
                <w:bCs/>
                <w:color w:val="auto"/>
                <w:sz w:val="21"/>
                <w:szCs w:val="21"/>
                <w:highlight w:val="none"/>
                <w:lang w:val="en-US" w:eastAsia="zh-CN"/>
              </w:rPr>
              <w:t>表。</w:t>
            </w:r>
          </w:p>
          <w:p w14:paraId="4D877C91">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b/>
                <w:bCs/>
                <w:color w:val="auto"/>
                <w:sz w:val="21"/>
                <w:szCs w:val="21"/>
              </w:rPr>
            </w:pPr>
            <w:r>
              <w:rPr>
                <w:b/>
                <w:bCs/>
                <w:color w:val="auto"/>
                <w:sz w:val="21"/>
                <w:szCs w:val="21"/>
              </w:rPr>
              <w:t>表4-</w:t>
            </w:r>
            <w:r>
              <w:rPr>
                <w:rFonts w:hint="eastAsia"/>
                <w:b/>
                <w:bCs/>
                <w:color w:val="auto"/>
                <w:sz w:val="21"/>
                <w:szCs w:val="21"/>
                <w:lang w:val="en-US" w:eastAsia="zh-CN"/>
              </w:rPr>
              <w:t>10</w:t>
            </w:r>
            <w:r>
              <w:rPr>
                <w:b/>
                <w:bCs/>
                <w:color w:val="auto"/>
                <w:sz w:val="21"/>
                <w:szCs w:val="21"/>
              </w:rPr>
              <w:t>本项目废水污染物排放情况表</w:t>
            </w:r>
          </w:p>
          <w:tbl>
            <w:tblPr>
              <w:tblStyle w:val="31"/>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79"/>
              <w:gridCol w:w="838"/>
              <w:gridCol w:w="838"/>
              <w:gridCol w:w="844"/>
              <w:gridCol w:w="1104"/>
              <w:gridCol w:w="714"/>
              <w:gridCol w:w="714"/>
              <w:gridCol w:w="782"/>
              <w:gridCol w:w="788"/>
              <w:gridCol w:w="903"/>
            </w:tblGrid>
            <w:tr w14:paraId="21E99F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restart"/>
                  <w:vAlign w:val="center"/>
                </w:tcPr>
                <w:p w14:paraId="77A177BD">
                  <w:pPr>
                    <w:tabs>
                      <w:tab w:val="left" w:pos="6840"/>
                    </w:tabs>
                    <w:spacing w:line="270" w:lineRule="exact"/>
                    <w:jc w:val="center"/>
                    <w:rPr>
                      <w:b/>
                      <w:bCs/>
                      <w:color w:val="auto"/>
                      <w:sz w:val="21"/>
                      <w:szCs w:val="21"/>
                    </w:rPr>
                  </w:pPr>
                  <w:r>
                    <w:rPr>
                      <w:b/>
                      <w:bCs/>
                      <w:color w:val="auto"/>
                      <w:sz w:val="21"/>
                      <w:szCs w:val="21"/>
                    </w:rPr>
                    <w:t>废水产生源</w:t>
                  </w:r>
                </w:p>
              </w:tc>
              <w:tc>
                <w:tcPr>
                  <w:tcW w:w="1534" w:type="pct"/>
                  <w:gridSpan w:val="3"/>
                  <w:vAlign w:val="center"/>
                </w:tcPr>
                <w:p w14:paraId="61D3CD38">
                  <w:pPr>
                    <w:tabs>
                      <w:tab w:val="left" w:pos="6840"/>
                    </w:tabs>
                    <w:spacing w:line="270" w:lineRule="exact"/>
                    <w:jc w:val="center"/>
                    <w:rPr>
                      <w:b/>
                      <w:bCs/>
                      <w:color w:val="auto"/>
                      <w:sz w:val="21"/>
                      <w:szCs w:val="21"/>
                    </w:rPr>
                  </w:pPr>
                  <w:r>
                    <w:rPr>
                      <w:b/>
                      <w:bCs/>
                      <w:color w:val="auto"/>
                      <w:sz w:val="21"/>
                      <w:szCs w:val="21"/>
                    </w:rPr>
                    <w:t>污染物产生情况</w:t>
                  </w:r>
                </w:p>
              </w:tc>
              <w:tc>
                <w:tcPr>
                  <w:tcW w:w="672" w:type="pct"/>
                  <w:vMerge w:val="restart"/>
                  <w:vAlign w:val="center"/>
                </w:tcPr>
                <w:p w14:paraId="6308BFA3">
                  <w:pPr>
                    <w:tabs>
                      <w:tab w:val="left" w:pos="6840"/>
                    </w:tabs>
                    <w:spacing w:line="270" w:lineRule="exact"/>
                    <w:jc w:val="center"/>
                    <w:rPr>
                      <w:b/>
                      <w:bCs/>
                      <w:color w:val="auto"/>
                      <w:sz w:val="21"/>
                      <w:szCs w:val="21"/>
                    </w:rPr>
                  </w:pPr>
                  <w:r>
                    <w:rPr>
                      <w:b/>
                      <w:bCs/>
                      <w:color w:val="auto"/>
                      <w:sz w:val="21"/>
                      <w:szCs w:val="21"/>
                    </w:rPr>
                    <w:t>拟采取</w:t>
                  </w:r>
                </w:p>
                <w:p w14:paraId="2E1812C8">
                  <w:pPr>
                    <w:tabs>
                      <w:tab w:val="left" w:pos="6840"/>
                    </w:tabs>
                    <w:spacing w:line="270" w:lineRule="exact"/>
                    <w:jc w:val="center"/>
                    <w:rPr>
                      <w:b/>
                      <w:bCs/>
                      <w:color w:val="auto"/>
                      <w:sz w:val="21"/>
                      <w:szCs w:val="21"/>
                    </w:rPr>
                  </w:pPr>
                  <w:r>
                    <w:rPr>
                      <w:b/>
                      <w:bCs/>
                      <w:color w:val="auto"/>
                      <w:sz w:val="21"/>
                      <w:szCs w:val="21"/>
                    </w:rPr>
                    <w:t>措施</w:t>
                  </w:r>
                </w:p>
              </w:tc>
              <w:tc>
                <w:tcPr>
                  <w:tcW w:w="1346" w:type="pct"/>
                  <w:gridSpan w:val="3"/>
                  <w:vAlign w:val="center"/>
                </w:tcPr>
                <w:p w14:paraId="2D77AD27">
                  <w:pPr>
                    <w:tabs>
                      <w:tab w:val="left" w:pos="6840"/>
                    </w:tabs>
                    <w:spacing w:line="270" w:lineRule="exact"/>
                    <w:jc w:val="center"/>
                    <w:rPr>
                      <w:b/>
                      <w:bCs/>
                      <w:color w:val="auto"/>
                      <w:sz w:val="21"/>
                      <w:szCs w:val="21"/>
                    </w:rPr>
                  </w:pPr>
                  <w:r>
                    <w:rPr>
                      <w:b/>
                      <w:bCs/>
                      <w:color w:val="auto"/>
                      <w:sz w:val="21"/>
                      <w:szCs w:val="21"/>
                    </w:rPr>
                    <w:t>污染物排放情况</w:t>
                  </w:r>
                </w:p>
              </w:tc>
              <w:tc>
                <w:tcPr>
                  <w:tcW w:w="480" w:type="pct"/>
                  <w:vMerge w:val="restart"/>
                  <w:vAlign w:val="center"/>
                </w:tcPr>
                <w:p w14:paraId="0A4D7AA5">
                  <w:pPr>
                    <w:tabs>
                      <w:tab w:val="left" w:pos="6840"/>
                    </w:tabs>
                    <w:spacing w:line="270" w:lineRule="exact"/>
                    <w:jc w:val="center"/>
                    <w:rPr>
                      <w:b/>
                      <w:bCs/>
                      <w:color w:val="auto"/>
                      <w:sz w:val="21"/>
                      <w:szCs w:val="21"/>
                    </w:rPr>
                  </w:pPr>
                  <w:r>
                    <w:rPr>
                      <w:rFonts w:hint="eastAsia"/>
                      <w:b/>
                      <w:bCs/>
                      <w:color w:val="auto"/>
                      <w:sz w:val="21"/>
                      <w:szCs w:val="21"/>
                    </w:rPr>
                    <w:t>浓度</w:t>
                  </w:r>
                </w:p>
                <w:p w14:paraId="777DB5F0">
                  <w:pPr>
                    <w:tabs>
                      <w:tab w:val="left" w:pos="6840"/>
                    </w:tabs>
                    <w:spacing w:line="270" w:lineRule="exact"/>
                    <w:jc w:val="center"/>
                    <w:rPr>
                      <w:b/>
                      <w:bCs/>
                      <w:color w:val="auto"/>
                      <w:sz w:val="21"/>
                      <w:szCs w:val="21"/>
                    </w:rPr>
                  </w:pPr>
                  <w:r>
                    <w:rPr>
                      <w:rFonts w:hint="eastAsia"/>
                      <w:b/>
                      <w:bCs/>
                      <w:color w:val="auto"/>
                      <w:sz w:val="21"/>
                      <w:szCs w:val="21"/>
                    </w:rPr>
                    <w:t>标准</w:t>
                  </w:r>
                  <w:r>
                    <w:rPr>
                      <w:b/>
                      <w:bCs/>
                      <w:color w:val="auto"/>
                      <w:sz w:val="21"/>
                      <w:szCs w:val="21"/>
                    </w:rPr>
                    <w:t>(mg/L)</w:t>
                  </w:r>
                </w:p>
              </w:tc>
              <w:tc>
                <w:tcPr>
                  <w:tcW w:w="550" w:type="pct"/>
                  <w:vMerge w:val="restart"/>
                  <w:vAlign w:val="center"/>
                </w:tcPr>
                <w:p w14:paraId="3EEA89EB">
                  <w:pPr>
                    <w:tabs>
                      <w:tab w:val="left" w:pos="6840"/>
                    </w:tabs>
                    <w:spacing w:line="270" w:lineRule="exact"/>
                    <w:jc w:val="center"/>
                    <w:rPr>
                      <w:b/>
                      <w:bCs/>
                      <w:color w:val="auto"/>
                      <w:sz w:val="21"/>
                      <w:szCs w:val="21"/>
                    </w:rPr>
                  </w:pPr>
                  <w:r>
                    <w:rPr>
                      <w:b/>
                      <w:bCs/>
                      <w:color w:val="auto"/>
                      <w:sz w:val="21"/>
                      <w:szCs w:val="21"/>
                    </w:rPr>
                    <w:t>排放方式与去向</w:t>
                  </w:r>
                </w:p>
              </w:tc>
            </w:tr>
            <w:tr w14:paraId="1F9D2B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57EE00C3">
                  <w:pPr>
                    <w:tabs>
                      <w:tab w:val="left" w:pos="6840"/>
                    </w:tabs>
                    <w:spacing w:line="270" w:lineRule="exact"/>
                    <w:jc w:val="center"/>
                    <w:rPr>
                      <w:b/>
                      <w:bCs/>
                      <w:color w:val="auto"/>
                      <w:sz w:val="21"/>
                      <w:szCs w:val="21"/>
                    </w:rPr>
                  </w:pPr>
                </w:p>
              </w:tc>
              <w:tc>
                <w:tcPr>
                  <w:tcW w:w="510" w:type="pct"/>
                  <w:vAlign w:val="center"/>
                </w:tcPr>
                <w:p w14:paraId="0E6452A6">
                  <w:pPr>
                    <w:tabs>
                      <w:tab w:val="left" w:pos="6840"/>
                    </w:tabs>
                    <w:spacing w:line="270" w:lineRule="exact"/>
                    <w:jc w:val="center"/>
                    <w:rPr>
                      <w:b/>
                      <w:bCs/>
                      <w:color w:val="auto"/>
                      <w:sz w:val="21"/>
                      <w:szCs w:val="21"/>
                    </w:rPr>
                  </w:pPr>
                  <w:r>
                    <w:rPr>
                      <w:b/>
                      <w:bCs/>
                      <w:color w:val="auto"/>
                      <w:sz w:val="21"/>
                      <w:szCs w:val="21"/>
                    </w:rPr>
                    <w:t>污染物</w:t>
                  </w:r>
                </w:p>
                <w:p w14:paraId="6AF018D8">
                  <w:pPr>
                    <w:tabs>
                      <w:tab w:val="left" w:pos="6840"/>
                    </w:tabs>
                    <w:spacing w:line="270" w:lineRule="exact"/>
                    <w:jc w:val="center"/>
                    <w:rPr>
                      <w:b/>
                      <w:bCs/>
                      <w:color w:val="auto"/>
                      <w:sz w:val="21"/>
                      <w:szCs w:val="21"/>
                    </w:rPr>
                  </w:pPr>
                  <w:r>
                    <w:rPr>
                      <w:b/>
                      <w:bCs/>
                      <w:color w:val="auto"/>
                      <w:sz w:val="21"/>
                      <w:szCs w:val="21"/>
                    </w:rPr>
                    <w:t>名称</w:t>
                  </w:r>
                </w:p>
              </w:tc>
              <w:tc>
                <w:tcPr>
                  <w:tcW w:w="510" w:type="pct"/>
                  <w:vAlign w:val="center"/>
                </w:tcPr>
                <w:p w14:paraId="6B917664">
                  <w:pPr>
                    <w:tabs>
                      <w:tab w:val="left" w:pos="6840"/>
                    </w:tabs>
                    <w:spacing w:line="270" w:lineRule="exact"/>
                    <w:jc w:val="center"/>
                    <w:rPr>
                      <w:b/>
                      <w:bCs/>
                      <w:color w:val="auto"/>
                      <w:sz w:val="21"/>
                      <w:szCs w:val="21"/>
                    </w:rPr>
                  </w:pPr>
                  <w:r>
                    <w:rPr>
                      <w:b/>
                      <w:bCs/>
                      <w:color w:val="auto"/>
                      <w:sz w:val="21"/>
                      <w:szCs w:val="21"/>
                    </w:rPr>
                    <w:t>浓度</w:t>
                  </w:r>
                </w:p>
                <w:p w14:paraId="55BD35CF">
                  <w:pPr>
                    <w:tabs>
                      <w:tab w:val="left" w:pos="6840"/>
                    </w:tabs>
                    <w:spacing w:line="270" w:lineRule="exact"/>
                    <w:jc w:val="center"/>
                    <w:rPr>
                      <w:b/>
                      <w:bCs/>
                      <w:color w:val="auto"/>
                      <w:sz w:val="21"/>
                      <w:szCs w:val="21"/>
                    </w:rPr>
                  </w:pPr>
                  <w:r>
                    <w:rPr>
                      <w:b/>
                      <w:bCs/>
                      <w:color w:val="auto"/>
                      <w:sz w:val="21"/>
                      <w:szCs w:val="21"/>
                    </w:rPr>
                    <w:t>mg/L</w:t>
                  </w:r>
                </w:p>
              </w:tc>
              <w:tc>
                <w:tcPr>
                  <w:tcW w:w="513" w:type="pct"/>
                  <w:vAlign w:val="center"/>
                </w:tcPr>
                <w:p w14:paraId="6CE8CAC7">
                  <w:pPr>
                    <w:tabs>
                      <w:tab w:val="left" w:pos="6840"/>
                    </w:tabs>
                    <w:spacing w:line="270" w:lineRule="exact"/>
                    <w:jc w:val="center"/>
                    <w:rPr>
                      <w:b/>
                      <w:bCs/>
                      <w:color w:val="auto"/>
                      <w:sz w:val="21"/>
                      <w:szCs w:val="21"/>
                    </w:rPr>
                  </w:pPr>
                  <w:r>
                    <w:rPr>
                      <w:b/>
                      <w:bCs/>
                      <w:color w:val="auto"/>
                      <w:sz w:val="21"/>
                      <w:szCs w:val="21"/>
                    </w:rPr>
                    <w:t>产生量</w:t>
                  </w:r>
                </w:p>
                <w:p w14:paraId="5269931E">
                  <w:pPr>
                    <w:tabs>
                      <w:tab w:val="left" w:pos="6840"/>
                    </w:tabs>
                    <w:spacing w:line="270" w:lineRule="exact"/>
                    <w:jc w:val="center"/>
                    <w:rPr>
                      <w:b/>
                      <w:bCs/>
                      <w:color w:val="auto"/>
                      <w:sz w:val="21"/>
                      <w:szCs w:val="21"/>
                    </w:rPr>
                  </w:pPr>
                  <w:r>
                    <w:rPr>
                      <w:b/>
                      <w:bCs/>
                      <w:color w:val="auto"/>
                      <w:sz w:val="21"/>
                      <w:szCs w:val="21"/>
                    </w:rPr>
                    <w:t>t/a</w:t>
                  </w:r>
                </w:p>
              </w:tc>
              <w:tc>
                <w:tcPr>
                  <w:tcW w:w="672" w:type="pct"/>
                  <w:vMerge w:val="continue"/>
                  <w:vAlign w:val="center"/>
                </w:tcPr>
                <w:p w14:paraId="3D28D907">
                  <w:pPr>
                    <w:tabs>
                      <w:tab w:val="left" w:pos="6840"/>
                    </w:tabs>
                    <w:spacing w:line="270" w:lineRule="exact"/>
                    <w:jc w:val="center"/>
                    <w:rPr>
                      <w:b/>
                      <w:bCs/>
                      <w:color w:val="auto"/>
                      <w:sz w:val="21"/>
                      <w:szCs w:val="21"/>
                    </w:rPr>
                  </w:pPr>
                </w:p>
              </w:tc>
              <w:tc>
                <w:tcPr>
                  <w:tcW w:w="435" w:type="pct"/>
                  <w:vAlign w:val="center"/>
                </w:tcPr>
                <w:p w14:paraId="0190D020">
                  <w:pPr>
                    <w:tabs>
                      <w:tab w:val="left" w:pos="6840"/>
                    </w:tabs>
                    <w:spacing w:line="270" w:lineRule="exact"/>
                    <w:jc w:val="center"/>
                    <w:rPr>
                      <w:b/>
                      <w:bCs/>
                      <w:color w:val="auto"/>
                      <w:sz w:val="21"/>
                      <w:szCs w:val="21"/>
                    </w:rPr>
                  </w:pPr>
                  <w:r>
                    <w:rPr>
                      <w:b/>
                      <w:bCs/>
                      <w:color w:val="auto"/>
                      <w:sz w:val="21"/>
                      <w:szCs w:val="21"/>
                    </w:rPr>
                    <w:t>污染物</w:t>
                  </w:r>
                </w:p>
                <w:p w14:paraId="0498DAF4">
                  <w:pPr>
                    <w:tabs>
                      <w:tab w:val="left" w:pos="6840"/>
                    </w:tabs>
                    <w:spacing w:line="270" w:lineRule="exact"/>
                    <w:jc w:val="center"/>
                    <w:rPr>
                      <w:b/>
                      <w:bCs/>
                      <w:color w:val="auto"/>
                      <w:sz w:val="21"/>
                      <w:szCs w:val="21"/>
                    </w:rPr>
                  </w:pPr>
                  <w:r>
                    <w:rPr>
                      <w:b/>
                      <w:bCs/>
                      <w:color w:val="auto"/>
                      <w:sz w:val="21"/>
                      <w:szCs w:val="21"/>
                    </w:rPr>
                    <w:t>名称</w:t>
                  </w:r>
                </w:p>
              </w:tc>
              <w:tc>
                <w:tcPr>
                  <w:tcW w:w="435" w:type="pct"/>
                  <w:vAlign w:val="center"/>
                </w:tcPr>
                <w:p w14:paraId="7DB64FCF">
                  <w:pPr>
                    <w:tabs>
                      <w:tab w:val="left" w:pos="6840"/>
                    </w:tabs>
                    <w:spacing w:line="270" w:lineRule="exact"/>
                    <w:jc w:val="center"/>
                    <w:rPr>
                      <w:b/>
                      <w:bCs/>
                      <w:color w:val="auto"/>
                      <w:sz w:val="21"/>
                      <w:szCs w:val="21"/>
                    </w:rPr>
                  </w:pPr>
                  <w:r>
                    <w:rPr>
                      <w:b/>
                      <w:bCs/>
                      <w:color w:val="auto"/>
                      <w:sz w:val="21"/>
                      <w:szCs w:val="21"/>
                    </w:rPr>
                    <w:t>浓度</w:t>
                  </w:r>
                </w:p>
                <w:p w14:paraId="1EA96624">
                  <w:pPr>
                    <w:tabs>
                      <w:tab w:val="left" w:pos="6840"/>
                    </w:tabs>
                    <w:spacing w:line="270" w:lineRule="exact"/>
                    <w:jc w:val="center"/>
                    <w:rPr>
                      <w:b/>
                      <w:bCs/>
                      <w:color w:val="auto"/>
                      <w:sz w:val="21"/>
                      <w:szCs w:val="21"/>
                    </w:rPr>
                  </w:pPr>
                  <w:r>
                    <w:rPr>
                      <w:b/>
                      <w:bCs/>
                      <w:color w:val="auto"/>
                      <w:sz w:val="21"/>
                      <w:szCs w:val="21"/>
                    </w:rPr>
                    <w:t>mg/L</w:t>
                  </w:r>
                </w:p>
              </w:tc>
              <w:tc>
                <w:tcPr>
                  <w:tcW w:w="476" w:type="pct"/>
                  <w:vAlign w:val="center"/>
                </w:tcPr>
                <w:p w14:paraId="60F70E4E">
                  <w:pPr>
                    <w:tabs>
                      <w:tab w:val="left" w:pos="6840"/>
                    </w:tabs>
                    <w:spacing w:line="270" w:lineRule="exact"/>
                    <w:jc w:val="center"/>
                    <w:rPr>
                      <w:b/>
                      <w:bCs/>
                      <w:color w:val="auto"/>
                      <w:sz w:val="21"/>
                      <w:szCs w:val="21"/>
                    </w:rPr>
                  </w:pPr>
                  <w:r>
                    <w:rPr>
                      <w:b/>
                      <w:bCs/>
                      <w:color w:val="auto"/>
                      <w:sz w:val="21"/>
                      <w:szCs w:val="21"/>
                    </w:rPr>
                    <w:t>排放量</w:t>
                  </w:r>
                </w:p>
                <w:p w14:paraId="7CBE5AAF">
                  <w:pPr>
                    <w:tabs>
                      <w:tab w:val="left" w:pos="6840"/>
                    </w:tabs>
                    <w:spacing w:line="270" w:lineRule="exact"/>
                    <w:jc w:val="center"/>
                    <w:rPr>
                      <w:b/>
                      <w:bCs/>
                      <w:color w:val="auto"/>
                      <w:sz w:val="21"/>
                      <w:szCs w:val="21"/>
                    </w:rPr>
                  </w:pPr>
                  <w:r>
                    <w:rPr>
                      <w:b/>
                      <w:bCs/>
                      <w:color w:val="auto"/>
                      <w:sz w:val="21"/>
                      <w:szCs w:val="21"/>
                    </w:rPr>
                    <w:t>t/a</w:t>
                  </w:r>
                </w:p>
              </w:tc>
              <w:tc>
                <w:tcPr>
                  <w:tcW w:w="480" w:type="pct"/>
                  <w:vMerge w:val="continue"/>
                  <w:vAlign w:val="center"/>
                </w:tcPr>
                <w:p w14:paraId="381DC2B9">
                  <w:pPr>
                    <w:tabs>
                      <w:tab w:val="left" w:pos="6840"/>
                    </w:tabs>
                    <w:spacing w:line="270" w:lineRule="exact"/>
                    <w:jc w:val="center"/>
                    <w:rPr>
                      <w:color w:val="auto"/>
                      <w:sz w:val="21"/>
                      <w:szCs w:val="21"/>
                    </w:rPr>
                  </w:pPr>
                </w:p>
              </w:tc>
              <w:tc>
                <w:tcPr>
                  <w:tcW w:w="550" w:type="pct"/>
                  <w:vMerge w:val="continue"/>
                  <w:vAlign w:val="center"/>
                </w:tcPr>
                <w:p w14:paraId="73581EAD">
                  <w:pPr>
                    <w:tabs>
                      <w:tab w:val="left" w:pos="6840"/>
                    </w:tabs>
                    <w:spacing w:line="270" w:lineRule="exact"/>
                    <w:jc w:val="center"/>
                    <w:rPr>
                      <w:color w:val="auto"/>
                      <w:sz w:val="21"/>
                      <w:szCs w:val="21"/>
                    </w:rPr>
                  </w:pPr>
                </w:p>
              </w:tc>
            </w:tr>
            <w:tr w14:paraId="1B9CDE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restart"/>
                  <w:vAlign w:val="center"/>
                </w:tcPr>
                <w:p w14:paraId="567B406A">
                  <w:pPr>
                    <w:tabs>
                      <w:tab w:val="left" w:pos="6840"/>
                    </w:tabs>
                    <w:spacing w:line="270" w:lineRule="exact"/>
                    <w:jc w:val="center"/>
                    <w:rPr>
                      <w:rFonts w:hint="default" w:eastAsia="宋体"/>
                      <w:color w:val="auto"/>
                      <w:sz w:val="21"/>
                      <w:szCs w:val="21"/>
                      <w:lang w:val="en-US" w:eastAsia="zh-CN"/>
                    </w:rPr>
                  </w:pPr>
                  <w:r>
                    <w:rPr>
                      <w:color w:val="auto"/>
                      <w:sz w:val="21"/>
                      <w:szCs w:val="21"/>
                    </w:rPr>
                    <w:t>生活污水</w:t>
                  </w:r>
                  <w:r>
                    <w:rPr>
                      <w:rFonts w:hint="eastAsia"/>
                      <w:color w:val="auto"/>
                      <w:sz w:val="21"/>
                      <w:szCs w:val="21"/>
                      <w:lang w:val="en-US" w:eastAsia="zh-CN"/>
                    </w:rPr>
                    <w:t>480</w:t>
                  </w:r>
                </w:p>
                <w:p w14:paraId="730327EB">
                  <w:pPr>
                    <w:tabs>
                      <w:tab w:val="left" w:pos="6840"/>
                    </w:tabs>
                    <w:spacing w:line="270" w:lineRule="exact"/>
                    <w:jc w:val="center"/>
                    <w:rPr>
                      <w:color w:val="auto"/>
                      <w:sz w:val="21"/>
                      <w:szCs w:val="21"/>
                    </w:rPr>
                  </w:pPr>
                  <w:r>
                    <w:rPr>
                      <w:color w:val="auto"/>
                      <w:sz w:val="21"/>
                      <w:szCs w:val="21"/>
                    </w:rPr>
                    <w:t>t/a</w:t>
                  </w:r>
                </w:p>
              </w:tc>
              <w:tc>
                <w:tcPr>
                  <w:tcW w:w="510" w:type="pct"/>
                  <w:vAlign w:val="center"/>
                </w:tcPr>
                <w:p w14:paraId="77A9ED37">
                  <w:pPr>
                    <w:tabs>
                      <w:tab w:val="left" w:pos="6840"/>
                    </w:tabs>
                    <w:spacing w:line="270" w:lineRule="exact"/>
                    <w:jc w:val="center"/>
                    <w:rPr>
                      <w:color w:val="auto"/>
                      <w:sz w:val="21"/>
                      <w:szCs w:val="21"/>
                    </w:rPr>
                  </w:pPr>
                  <w:r>
                    <w:rPr>
                      <w:color w:val="auto"/>
                      <w:sz w:val="21"/>
                      <w:szCs w:val="21"/>
                    </w:rPr>
                    <w:t>COD</w:t>
                  </w:r>
                </w:p>
              </w:tc>
              <w:tc>
                <w:tcPr>
                  <w:tcW w:w="510" w:type="pct"/>
                  <w:vAlign w:val="center"/>
                </w:tcPr>
                <w:p w14:paraId="1A73AEE6">
                  <w:pPr>
                    <w:tabs>
                      <w:tab w:val="left" w:pos="6840"/>
                    </w:tabs>
                    <w:spacing w:line="27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300</w:t>
                  </w:r>
                </w:p>
              </w:tc>
              <w:tc>
                <w:tcPr>
                  <w:tcW w:w="862" w:type="dxa"/>
                  <w:vAlign w:val="center"/>
                </w:tcPr>
                <w:p w14:paraId="504AAD69">
                  <w:pPr>
                    <w:tabs>
                      <w:tab w:val="left" w:pos="6840"/>
                    </w:tabs>
                    <w:spacing w:line="27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0.1440 </w:t>
                  </w:r>
                </w:p>
              </w:tc>
              <w:tc>
                <w:tcPr>
                  <w:tcW w:w="672" w:type="pct"/>
                  <w:vMerge w:val="restart"/>
                  <w:vAlign w:val="center"/>
                </w:tcPr>
                <w:p w14:paraId="2499746F">
                  <w:pPr>
                    <w:tabs>
                      <w:tab w:val="left" w:pos="6840"/>
                    </w:tabs>
                    <w:spacing w:line="270" w:lineRule="exact"/>
                    <w:jc w:val="center"/>
                    <w:rPr>
                      <w:rFonts w:hint="default" w:eastAsia="宋体"/>
                      <w:color w:val="auto"/>
                      <w:sz w:val="21"/>
                      <w:szCs w:val="21"/>
                      <w:lang w:val="en-US" w:eastAsia="zh-CN"/>
                    </w:rPr>
                  </w:pPr>
                  <w:r>
                    <w:rPr>
                      <w:rFonts w:hint="eastAsia"/>
                      <w:color w:val="auto"/>
                      <w:sz w:val="21"/>
                      <w:szCs w:val="21"/>
                      <w:lang w:val="en-US" w:eastAsia="zh-CN"/>
                    </w:rPr>
                    <w:t>化粪池</w:t>
                  </w:r>
                </w:p>
              </w:tc>
              <w:tc>
                <w:tcPr>
                  <w:tcW w:w="435" w:type="pct"/>
                  <w:vAlign w:val="center"/>
                </w:tcPr>
                <w:p w14:paraId="7CFA5C1B">
                  <w:pPr>
                    <w:tabs>
                      <w:tab w:val="left" w:pos="6840"/>
                    </w:tabs>
                    <w:spacing w:line="270" w:lineRule="exact"/>
                    <w:jc w:val="center"/>
                    <w:rPr>
                      <w:color w:val="auto"/>
                      <w:sz w:val="21"/>
                      <w:szCs w:val="21"/>
                    </w:rPr>
                  </w:pPr>
                  <w:r>
                    <w:rPr>
                      <w:color w:val="auto"/>
                      <w:sz w:val="21"/>
                      <w:szCs w:val="21"/>
                    </w:rPr>
                    <w:t>COD</w:t>
                  </w:r>
                </w:p>
              </w:tc>
              <w:tc>
                <w:tcPr>
                  <w:tcW w:w="752" w:type="dxa"/>
                  <w:vAlign w:val="center"/>
                </w:tcPr>
                <w:p w14:paraId="760AF418">
                  <w:pPr>
                    <w:tabs>
                      <w:tab w:val="left" w:pos="6840"/>
                    </w:tabs>
                    <w:spacing w:line="270" w:lineRule="exact"/>
                    <w:jc w:val="center"/>
                    <w:rPr>
                      <w:color w:val="auto"/>
                      <w:sz w:val="21"/>
                      <w:szCs w:val="21"/>
                    </w:rPr>
                  </w:pPr>
                  <w:r>
                    <w:rPr>
                      <w:rFonts w:hint="eastAsia"/>
                      <w:color w:val="auto"/>
                      <w:sz w:val="21"/>
                      <w:szCs w:val="21"/>
                      <w:lang w:val="en-US" w:eastAsia="zh-CN"/>
                    </w:rPr>
                    <w:t>3</w:t>
                  </w:r>
                  <w:r>
                    <w:rPr>
                      <w:color w:val="auto"/>
                      <w:sz w:val="21"/>
                      <w:szCs w:val="21"/>
                    </w:rPr>
                    <w:t>00</w:t>
                  </w:r>
                </w:p>
              </w:tc>
              <w:tc>
                <w:tcPr>
                  <w:tcW w:w="782" w:type="dxa"/>
                  <w:vAlign w:val="center"/>
                </w:tcPr>
                <w:p w14:paraId="226DD0AC">
                  <w:pPr>
                    <w:tabs>
                      <w:tab w:val="left" w:pos="6840"/>
                    </w:tabs>
                    <w:spacing w:line="270" w:lineRule="exact"/>
                    <w:jc w:val="center"/>
                    <w:rPr>
                      <w:color w:val="auto"/>
                      <w:sz w:val="21"/>
                      <w:szCs w:val="21"/>
                    </w:rPr>
                  </w:pPr>
                  <w:r>
                    <w:rPr>
                      <w:rFonts w:hint="eastAsia" w:ascii="Times New Roman" w:hAnsi="Times New Roman" w:cs="Times New Roman"/>
                      <w:color w:val="auto"/>
                      <w:sz w:val="21"/>
                      <w:szCs w:val="21"/>
                      <w:lang w:val="en-US" w:eastAsia="zh-CN"/>
                    </w:rPr>
                    <w:t xml:space="preserve">0.1440 </w:t>
                  </w:r>
                </w:p>
              </w:tc>
              <w:tc>
                <w:tcPr>
                  <w:tcW w:w="480" w:type="pct"/>
                  <w:vAlign w:val="center"/>
                </w:tcPr>
                <w:p w14:paraId="61B01F14">
                  <w:pPr>
                    <w:adjustRightInd w:val="0"/>
                    <w:snapToGrid w:val="0"/>
                    <w:jc w:val="center"/>
                    <w:rPr>
                      <w:rFonts w:hint="default"/>
                      <w:color w:val="auto"/>
                      <w:sz w:val="21"/>
                      <w:szCs w:val="21"/>
                      <w:lang w:val="en-US"/>
                    </w:rPr>
                  </w:pPr>
                  <w:r>
                    <w:rPr>
                      <w:rFonts w:hint="eastAsia"/>
                      <w:color w:val="auto"/>
                      <w:sz w:val="21"/>
                      <w:szCs w:val="21"/>
                      <w:lang w:val="en-US" w:eastAsia="zh-CN"/>
                    </w:rPr>
                    <w:t>500</w:t>
                  </w:r>
                </w:p>
              </w:tc>
              <w:tc>
                <w:tcPr>
                  <w:tcW w:w="550" w:type="pct"/>
                  <w:vMerge w:val="restart"/>
                  <w:vAlign w:val="center"/>
                </w:tcPr>
                <w:p w14:paraId="3B333BEF">
                  <w:pPr>
                    <w:tabs>
                      <w:tab w:val="left" w:pos="6840"/>
                    </w:tabs>
                    <w:spacing w:line="270" w:lineRule="exact"/>
                    <w:jc w:val="center"/>
                    <w:rPr>
                      <w:rFonts w:hint="eastAsia" w:eastAsia="宋体"/>
                      <w:color w:val="auto"/>
                      <w:sz w:val="21"/>
                      <w:szCs w:val="21"/>
                      <w:lang w:eastAsia="zh-CN"/>
                    </w:rPr>
                  </w:pPr>
                  <w:r>
                    <w:rPr>
                      <w:color w:val="auto"/>
                      <w:sz w:val="21"/>
                      <w:szCs w:val="21"/>
                    </w:rPr>
                    <w:t>接管进入产生</w:t>
                  </w:r>
                  <w:r>
                    <w:rPr>
                      <w:rFonts w:hint="eastAsia"/>
                      <w:color w:val="auto"/>
                      <w:sz w:val="21"/>
                      <w:szCs w:val="21"/>
                      <w:lang w:eastAsia="zh-CN"/>
                    </w:rPr>
                    <w:t>常州市金坛区溪城污水处理有限公司</w:t>
                  </w:r>
                </w:p>
              </w:tc>
            </w:tr>
            <w:tr w14:paraId="7F8A9A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40D460A9">
                  <w:pPr>
                    <w:tabs>
                      <w:tab w:val="left" w:pos="6840"/>
                    </w:tabs>
                    <w:spacing w:line="270" w:lineRule="exact"/>
                    <w:jc w:val="center"/>
                    <w:rPr>
                      <w:color w:val="auto"/>
                      <w:sz w:val="21"/>
                      <w:szCs w:val="21"/>
                    </w:rPr>
                  </w:pPr>
                </w:p>
              </w:tc>
              <w:tc>
                <w:tcPr>
                  <w:tcW w:w="510" w:type="pct"/>
                  <w:vAlign w:val="center"/>
                </w:tcPr>
                <w:p w14:paraId="32EFA197">
                  <w:pPr>
                    <w:tabs>
                      <w:tab w:val="left" w:pos="6840"/>
                    </w:tabs>
                    <w:spacing w:line="270" w:lineRule="exact"/>
                    <w:jc w:val="center"/>
                    <w:rPr>
                      <w:color w:val="auto"/>
                      <w:sz w:val="21"/>
                      <w:szCs w:val="21"/>
                    </w:rPr>
                  </w:pPr>
                  <w:r>
                    <w:rPr>
                      <w:color w:val="auto"/>
                      <w:sz w:val="21"/>
                      <w:szCs w:val="21"/>
                    </w:rPr>
                    <w:t>SS</w:t>
                  </w:r>
                </w:p>
              </w:tc>
              <w:tc>
                <w:tcPr>
                  <w:tcW w:w="510" w:type="pct"/>
                  <w:vAlign w:val="center"/>
                </w:tcPr>
                <w:p w14:paraId="72A9A935">
                  <w:pPr>
                    <w:tabs>
                      <w:tab w:val="left" w:pos="6840"/>
                    </w:tabs>
                    <w:spacing w:line="27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200</w:t>
                  </w:r>
                </w:p>
              </w:tc>
              <w:tc>
                <w:tcPr>
                  <w:tcW w:w="862" w:type="dxa"/>
                  <w:vAlign w:val="center"/>
                </w:tcPr>
                <w:p w14:paraId="31BA9BBF">
                  <w:pPr>
                    <w:tabs>
                      <w:tab w:val="left" w:pos="6840"/>
                    </w:tabs>
                    <w:spacing w:line="27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0.0960 </w:t>
                  </w:r>
                </w:p>
              </w:tc>
              <w:tc>
                <w:tcPr>
                  <w:tcW w:w="672" w:type="pct"/>
                  <w:vMerge w:val="continue"/>
                  <w:vAlign w:val="center"/>
                </w:tcPr>
                <w:p w14:paraId="070E66BA">
                  <w:pPr>
                    <w:tabs>
                      <w:tab w:val="left" w:pos="6840"/>
                    </w:tabs>
                    <w:spacing w:line="270" w:lineRule="exact"/>
                    <w:jc w:val="center"/>
                    <w:rPr>
                      <w:color w:val="auto"/>
                      <w:sz w:val="21"/>
                      <w:szCs w:val="21"/>
                    </w:rPr>
                  </w:pPr>
                </w:p>
              </w:tc>
              <w:tc>
                <w:tcPr>
                  <w:tcW w:w="435" w:type="pct"/>
                  <w:vAlign w:val="center"/>
                </w:tcPr>
                <w:p w14:paraId="3FF34CE9">
                  <w:pPr>
                    <w:tabs>
                      <w:tab w:val="left" w:pos="6840"/>
                    </w:tabs>
                    <w:spacing w:line="270" w:lineRule="exact"/>
                    <w:jc w:val="center"/>
                    <w:rPr>
                      <w:color w:val="auto"/>
                      <w:sz w:val="21"/>
                      <w:szCs w:val="21"/>
                    </w:rPr>
                  </w:pPr>
                  <w:r>
                    <w:rPr>
                      <w:color w:val="auto"/>
                      <w:sz w:val="21"/>
                      <w:szCs w:val="21"/>
                    </w:rPr>
                    <w:t>SS</w:t>
                  </w:r>
                </w:p>
              </w:tc>
              <w:tc>
                <w:tcPr>
                  <w:tcW w:w="752" w:type="dxa"/>
                  <w:vAlign w:val="center"/>
                </w:tcPr>
                <w:p w14:paraId="6CECDB21">
                  <w:pPr>
                    <w:tabs>
                      <w:tab w:val="left" w:pos="6840"/>
                    </w:tabs>
                    <w:spacing w:line="270" w:lineRule="exact"/>
                    <w:jc w:val="center"/>
                    <w:rPr>
                      <w:color w:val="auto"/>
                      <w:sz w:val="21"/>
                      <w:szCs w:val="21"/>
                    </w:rPr>
                  </w:pPr>
                  <w:r>
                    <w:rPr>
                      <w:rFonts w:hint="eastAsia"/>
                      <w:color w:val="auto"/>
                      <w:sz w:val="21"/>
                      <w:szCs w:val="21"/>
                    </w:rPr>
                    <w:t>2</w:t>
                  </w:r>
                  <w:r>
                    <w:rPr>
                      <w:rFonts w:hint="eastAsia"/>
                      <w:color w:val="auto"/>
                      <w:sz w:val="21"/>
                      <w:szCs w:val="21"/>
                      <w:lang w:val="en-US" w:eastAsia="zh-CN"/>
                    </w:rPr>
                    <w:t>0</w:t>
                  </w:r>
                  <w:r>
                    <w:rPr>
                      <w:color w:val="auto"/>
                      <w:sz w:val="21"/>
                      <w:szCs w:val="21"/>
                    </w:rPr>
                    <w:t>0</w:t>
                  </w:r>
                </w:p>
              </w:tc>
              <w:tc>
                <w:tcPr>
                  <w:tcW w:w="782" w:type="dxa"/>
                  <w:vAlign w:val="center"/>
                </w:tcPr>
                <w:p w14:paraId="1C426EC5">
                  <w:pPr>
                    <w:tabs>
                      <w:tab w:val="left" w:pos="6840"/>
                    </w:tabs>
                    <w:spacing w:line="270" w:lineRule="exact"/>
                    <w:jc w:val="center"/>
                    <w:rPr>
                      <w:color w:val="auto"/>
                      <w:sz w:val="21"/>
                      <w:szCs w:val="21"/>
                    </w:rPr>
                  </w:pPr>
                  <w:r>
                    <w:rPr>
                      <w:rFonts w:hint="eastAsia" w:ascii="Times New Roman" w:hAnsi="Times New Roman" w:cs="Times New Roman"/>
                      <w:color w:val="auto"/>
                      <w:sz w:val="21"/>
                      <w:szCs w:val="21"/>
                      <w:lang w:val="en-US" w:eastAsia="zh-CN"/>
                    </w:rPr>
                    <w:t xml:space="preserve">0.0960 </w:t>
                  </w:r>
                </w:p>
              </w:tc>
              <w:tc>
                <w:tcPr>
                  <w:tcW w:w="480" w:type="pct"/>
                  <w:vAlign w:val="center"/>
                </w:tcPr>
                <w:p w14:paraId="74B39F8D">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400</w:t>
                  </w:r>
                </w:p>
              </w:tc>
              <w:tc>
                <w:tcPr>
                  <w:tcW w:w="550" w:type="pct"/>
                  <w:vMerge w:val="continue"/>
                  <w:vAlign w:val="center"/>
                </w:tcPr>
                <w:p w14:paraId="685A5F00">
                  <w:pPr>
                    <w:tabs>
                      <w:tab w:val="left" w:pos="6840"/>
                    </w:tabs>
                    <w:spacing w:line="270" w:lineRule="exact"/>
                    <w:jc w:val="center"/>
                    <w:rPr>
                      <w:color w:val="auto"/>
                      <w:sz w:val="21"/>
                      <w:szCs w:val="21"/>
                    </w:rPr>
                  </w:pPr>
                </w:p>
              </w:tc>
            </w:tr>
            <w:tr w14:paraId="789228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32694B3A">
                  <w:pPr>
                    <w:tabs>
                      <w:tab w:val="left" w:pos="6840"/>
                    </w:tabs>
                    <w:spacing w:line="270" w:lineRule="exact"/>
                    <w:jc w:val="center"/>
                    <w:rPr>
                      <w:color w:val="auto"/>
                      <w:sz w:val="21"/>
                      <w:szCs w:val="21"/>
                    </w:rPr>
                  </w:pPr>
                </w:p>
              </w:tc>
              <w:tc>
                <w:tcPr>
                  <w:tcW w:w="510" w:type="pct"/>
                  <w:vAlign w:val="center"/>
                </w:tcPr>
                <w:p w14:paraId="73CF11B5">
                  <w:pPr>
                    <w:tabs>
                      <w:tab w:val="left" w:pos="6840"/>
                    </w:tabs>
                    <w:spacing w:line="270" w:lineRule="exact"/>
                    <w:jc w:val="center"/>
                    <w:rPr>
                      <w:color w:val="auto"/>
                      <w:sz w:val="21"/>
                      <w:szCs w:val="21"/>
                    </w:rPr>
                  </w:pPr>
                  <w:r>
                    <w:rPr>
                      <w:color w:val="auto"/>
                      <w:sz w:val="21"/>
                      <w:szCs w:val="21"/>
                    </w:rPr>
                    <w:t>NH</w:t>
                  </w:r>
                  <w:r>
                    <w:rPr>
                      <w:color w:val="auto"/>
                      <w:sz w:val="21"/>
                      <w:szCs w:val="21"/>
                      <w:vertAlign w:val="subscript"/>
                    </w:rPr>
                    <w:t>3</w:t>
                  </w:r>
                  <w:r>
                    <w:rPr>
                      <w:color w:val="auto"/>
                      <w:sz w:val="21"/>
                      <w:szCs w:val="21"/>
                    </w:rPr>
                    <w:t>-N</w:t>
                  </w:r>
                </w:p>
              </w:tc>
              <w:tc>
                <w:tcPr>
                  <w:tcW w:w="510" w:type="pct"/>
                  <w:vAlign w:val="center"/>
                </w:tcPr>
                <w:p w14:paraId="4AA8B7A6">
                  <w:pPr>
                    <w:tabs>
                      <w:tab w:val="left" w:pos="6840"/>
                    </w:tabs>
                    <w:spacing w:line="27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862" w:type="dxa"/>
                  <w:vAlign w:val="center"/>
                </w:tcPr>
                <w:p w14:paraId="74578621">
                  <w:pPr>
                    <w:tabs>
                      <w:tab w:val="left" w:pos="6840"/>
                    </w:tabs>
                    <w:spacing w:line="27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0.0096 </w:t>
                  </w:r>
                </w:p>
              </w:tc>
              <w:tc>
                <w:tcPr>
                  <w:tcW w:w="672" w:type="pct"/>
                  <w:vMerge w:val="continue"/>
                  <w:vAlign w:val="center"/>
                </w:tcPr>
                <w:p w14:paraId="32BEDC21">
                  <w:pPr>
                    <w:tabs>
                      <w:tab w:val="left" w:pos="6840"/>
                    </w:tabs>
                    <w:spacing w:line="270" w:lineRule="exact"/>
                    <w:jc w:val="center"/>
                    <w:rPr>
                      <w:color w:val="auto"/>
                      <w:sz w:val="21"/>
                      <w:szCs w:val="21"/>
                    </w:rPr>
                  </w:pPr>
                </w:p>
              </w:tc>
              <w:tc>
                <w:tcPr>
                  <w:tcW w:w="435" w:type="pct"/>
                  <w:vAlign w:val="center"/>
                </w:tcPr>
                <w:p w14:paraId="6090C6C1">
                  <w:pPr>
                    <w:tabs>
                      <w:tab w:val="left" w:pos="6840"/>
                    </w:tabs>
                    <w:spacing w:line="270" w:lineRule="exact"/>
                    <w:jc w:val="center"/>
                    <w:rPr>
                      <w:color w:val="auto"/>
                      <w:sz w:val="21"/>
                      <w:szCs w:val="21"/>
                    </w:rPr>
                  </w:pPr>
                  <w:r>
                    <w:rPr>
                      <w:color w:val="auto"/>
                      <w:sz w:val="21"/>
                      <w:szCs w:val="21"/>
                    </w:rPr>
                    <w:t>NH</w:t>
                  </w:r>
                  <w:r>
                    <w:rPr>
                      <w:color w:val="auto"/>
                      <w:sz w:val="21"/>
                      <w:szCs w:val="21"/>
                      <w:vertAlign w:val="subscript"/>
                    </w:rPr>
                    <w:t>3</w:t>
                  </w:r>
                  <w:r>
                    <w:rPr>
                      <w:color w:val="auto"/>
                      <w:sz w:val="21"/>
                      <w:szCs w:val="21"/>
                    </w:rPr>
                    <w:t>-N</w:t>
                  </w:r>
                </w:p>
              </w:tc>
              <w:tc>
                <w:tcPr>
                  <w:tcW w:w="752" w:type="dxa"/>
                  <w:vAlign w:val="center"/>
                </w:tcPr>
                <w:p w14:paraId="7F0F52F5">
                  <w:pPr>
                    <w:tabs>
                      <w:tab w:val="left" w:pos="6840"/>
                    </w:tabs>
                    <w:spacing w:line="270" w:lineRule="exact"/>
                    <w:jc w:val="center"/>
                    <w:rPr>
                      <w:color w:val="auto"/>
                      <w:sz w:val="21"/>
                      <w:szCs w:val="21"/>
                    </w:rPr>
                  </w:pPr>
                  <w:r>
                    <w:rPr>
                      <w:rFonts w:hint="eastAsia"/>
                      <w:color w:val="auto"/>
                      <w:sz w:val="21"/>
                      <w:szCs w:val="21"/>
                      <w:lang w:val="en-US" w:eastAsia="zh-CN"/>
                    </w:rPr>
                    <w:t>20</w:t>
                  </w:r>
                </w:p>
              </w:tc>
              <w:tc>
                <w:tcPr>
                  <w:tcW w:w="782" w:type="dxa"/>
                  <w:vAlign w:val="center"/>
                </w:tcPr>
                <w:p w14:paraId="3F8AAD74">
                  <w:pPr>
                    <w:tabs>
                      <w:tab w:val="left" w:pos="6840"/>
                    </w:tabs>
                    <w:spacing w:line="270" w:lineRule="exact"/>
                    <w:jc w:val="center"/>
                    <w:rPr>
                      <w:color w:val="auto"/>
                      <w:sz w:val="21"/>
                      <w:szCs w:val="21"/>
                    </w:rPr>
                  </w:pPr>
                  <w:r>
                    <w:rPr>
                      <w:rFonts w:hint="eastAsia" w:ascii="Times New Roman" w:hAnsi="Times New Roman" w:cs="Times New Roman"/>
                      <w:color w:val="auto"/>
                      <w:sz w:val="21"/>
                      <w:szCs w:val="21"/>
                      <w:lang w:val="en-US" w:eastAsia="zh-CN"/>
                    </w:rPr>
                    <w:t xml:space="preserve">0.0096 </w:t>
                  </w:r>
                </w:p>
              </w:tc>
              <w:tc>
                <w:tcPr>
                  <w:tcW w:w="480" w:type="pct"/>
                  <w:vAlign w:val="center"/>
                </w:tcPr>
                <w:p w14:paraId="3BBD617B">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45</w:t>
                  </w:r>
                </w:p>
              </w:tc>
              <w:tc>
                <w:tcPr>
                  <w:tcW w:w="550" w:type="pct"/>
                  <w:vMerge w:val="continue"/>
                  <w:vAlign w:val="center"/>
                </w:tcPr>
                <w:p w14:paraId="739EE394">
                  <w:pPr>
                    <w:tabs>
                      <w:tab w:val="left" w:pos="6840"/>
                    </w:tabs>
                    <w:spacing w:line="270" w:lineRule="exact"/>
                    <w:jc w:val="center"/>
                    <w:rPr>
                      <w:color w:val="auto"/>
                      <w:sz w:val="21"/>
                      <w:szCs w:val="21"/>
                    </w:rPr>
                  </w:pPr>
                </w:p>
              </w:tc>
            </w:tr>
            <w:tr w14:paraId="61858B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4B8D0837">
                  <w:pPr>
                    <w:tabs>
                      <w:tab w:val="left" w:pos="6840"/>
                    </w:tabs>
                    <w:spacing w:line="270" w:lineRule="exact"/>
                    <w:jc w:val="center"/>
                    <w:rPr>
                      <w:color w:val="auto"/>
                      <w:sz w:val="21"/>
                      <w:szCs w:val="21"/>
                    </w:rPr>
                  </w:pPr>
                </w:p>
              </w:tc>
              <w:tc>
                <w:tcPr>
                  <w:tcW w:w="881" w:type="dxa"/>
                  <w:vAlign w:val="center"/>
                </w:tcPr>
                <w:p w14:paraId="1BAD2911">
                  <w:pPr>
                    <w:tabs>
                      <w:tab w:val="left" w:pos="6840"/>
                    </w:tabs>
                    <w:spacing w:line="270" w:lineRule="exact"/>
                    <w:jc w:val="center"/>
                    <w:rPr>
                      <w:color w:val="auto"/>
                      <w:sz w:val="21"/>
                      <w:szCs w:val="21"/>
                    </w:rPr>
                  </w:pPr>
                  <w:r>
                    <w:rPr>
                      <w:color w:val="auto"/>
                      <w:sz w:val="21"/>
                      <w:szCs w:val="21"/>
                    </w:rPr>
                    <w:t>TP</w:t>
                  </w:r>
                </w:p>
              </w:tc>
              <w:tc>
                <w:tcPr>
                  <w:tcW w:w="881" w:type="dxa"/>
                  <w:vAlign w:val="center"/>
                </w:tcPr>
                <w:p w14:paraId="3D51A8B3">
                  <w:pPr>
                    <w:tabs>
                      <w:tab w:val="left" w:pos="6840"/>
                    </w:tabs>
                    <w:spacing w:line="27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862" w:type="dxa"/>
                  <w:vAlign w:val="center"/>
                </w:tcPr>
                <w:p w14:paraId="4B8452AB">
                  <w:pPr>
                    <w:tabs>
                      <w:tab w:val="left" w:pos="6840"/>
                    </w:tabs>
                    <w:spacing w:line="27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0.0014 </w:t>
                  </w:r>
                </w:p>
              </w:tc>
              <w:tc>
                <w:tcPr>
                  <w:tcW w:w="672" w:type="pct"/>
                  <w:vMerge w:val="continue"/>
                  <w:vAlign w:val="center"/>
                </w:tcPr>
                <w:p w14:paraId="34CA5706">
                  <w:pPr>
                    <w:tabs>
                      <w:tab w:val="left" w:pos="6840"/>
                    </w:tabs>
                    <w:spacing w:line="270" w:lineRule="exact"/>
                    <w:jc w:val="center"/>
                    <w:rPr>
                      <w:color w:val="auto"/>
                      <w:sz w:val="21"/>
                      <w:szCs w:val="21"/>
                    </w:rPr>
                  </w:pPr>
                </w:p>
              </w:tc>
              <w:tc>
                <w:tcPr>
                  <w:tcW w:w="752" w:type="dxa"/>
                  <w:vAlign w:val="center"/>
                </w:tcPr>
                <w:p w14:paraId="3996B32C">
                  <w:pPr>
                    <w:tabs>
                      <w:tab w:val="left" w:pos="6840"/>
                    </w:tabs>
                    <w:spacing w:line="270" w:lineRule="exact"/>
                    <w:jc w:val="center"/>
                    <w:rPr>
                      <w:color w:val="auto"/>
                      <w:sz w:val="21"/>
                      <w:szCs w:val="21"/>
                    </w:rPr>
                  </w:pPr>
                  <w:r>
                    <w:rPr>
                      <w:color w:val="auto"/>
                      <w:sz w:val="21"/>
                      <w:szCs w:val="21"/>
                    </w:rPr>
                    <w:t>TP</w:t>
                  </w:r>
                </w:p>
              </w:tc>
              <w:tc>
                <w:tcPr>
                  <w:tcW w:w="752" w:type="dxa"/>
                  <w:vAlign w:val="center"/>
                </w:tcPr>
                <w:p w14:paraId="0ADC6B31">
                  <w:pPr>
                    <w:jc w:val="center"/>
                    <w:rPr>
                      <w:rFonts w:hint="default" w:eastAsia="宋体"/>
                      <w:color w:val="auto"/>
                      <w:sz w:val="21"/>
                      <w:szCs w:val="21"/>
                      <w:lang w:val="en-US" w:eastAsia="zh-CN"/>
                    </w:rPr>
                  </w:pPr>
                  <w:r>
                    <w:rPr>
                      <w:rFonts w:hint="eastAsia"/>
                      <w:color w:val="auto"/>
                      <w:sz w:val="21"/>
                      <w:szCs w:val="21"/>
                      <w:lang w:val="en-US" w:eastAsia="zh-CN"/>
                    </w:rPr>
                    <w:t>3</w:t>
                  </w:r>
                </w:p>
              </w:tc>
              <w:tc>
                <w:tcPr>
                  <w:tcW w:w="782" w:type="dxa"/>
                  <w:vAlign w:val="center"/>
                </w:tcPr>
                <w:p w14:paraId="37A0E4F6">
                  <w:pPr>
                    <w:tabs>
                      <w:tab w:val="left" w:pos="6840"/>
                    </w:tabs>
                    <w:spacing w:line="270" w:lineRule="exact"/>
                    <w:jc w:val="center"/>
                    <w:rPr>
                      <w:rFonts w:hint="default"/>
                      <w:color w:val="auto"/>
                      <w:sz w:val="21"/>
                      <w:szCs w:val="21"/>
                      <w:lang w:val="en-US"/>
                    </w:rPr>
                  </w:pPr>
                  <w:r>
                    <w:rPr>
                      <w:rFonts w:hint="eastAsia" w:ascii="Times New Roman" w:hAnsi="Times New Roman" w:cs="Times New Roman"/>
                      <w:color w:val="auto"/>
                      <w:sz w:val="21"/>
                      <w:szCs w:val="21"/>
                      <w:lang w:val="en-US" w:eastAsia="zh-CN"/>
                    </w:rPr>
                    <w:t xml:space="preserve">0.0014 </w:t>
                  </w:r>
                </w:p>
              </w:tc>
              <w:tc>
                <w:tcPr>
                  <w:tcW w:w="480" w:type="pct"/>
                  <w:vAlign w:val="center"/>
                </w:tcPr>
                <w:p w14:paraId="285E4800">
                  <w:pPr>
                    <w:adjustRightInd w:val="0"/>
                    <w:snapToGrid w:val="0"/>
                    <w:jc w:val="center"/>
                    <w:rPr>
                      <w:rFonts w:hint="eastAsia" w:eastAsia="宋体"/>
                      <w:color w:val="auto"/>
                      <w:sz w:val="21"/>
                      <w:szCs w:val="21"/>
                      <w:lang w:eastAsia="zh-CN"/>
                    </w:rPr>
                  </w:pPr>
                  <w:r>
                    <w:rPr>
                      <w:rFonts w:hint="eastAsia"/>
                      <w:color w:val="auto"/>
                      <w:sz w:val="21"/>
                      <w:szCs w:val="21"/>
                      <w:lang w:val="en-US" w:eastAsia="zh-CN"/>
                    </w:rPr>
                    <w:t>8</w:t>
                  </w:r>
                </w:p>
              </w:tc>
              <w:tc>
                <w:tcPr>
                  <w:tcW w:w="550" w:type="pct"/>
                  <w:vMerge w:val="continue"/>
                  <w:vAlign w:val="center"/>
                </w:tcPr>
                <w:p w14:paraId="2AEEAFAE">
                  <w:pPr>
                    <w:tabs>
                      <w:tab w:val="left" w:pos="6840"/>
                    </w:tabs>
                    <w:spacing w:line="270" w:lineRule="exact"/>
                    <w:jc w:val="center"/>
                    <w:rPr>
                      <w:color w:val="auto"/>
                      <w:sz w:val="21"/>
                      <w:szCs w:val="21"/>
                    </w:rPr>
                  </w:pPr>
                </w:p>
              </w:tc>
            </w:tr>
            <w:tr w14:paraId="2CE88B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4A828095">
                  <w:pPr>
                    <w:tabs>
                      <w:tab w:val="left" w:pos="6840"/>
                    </w:tabs>
                    <w:spacing w:line="270" w:lineRule="exact"/>
                    <w:jc w:val="center"/>
                    <w:rPr>
                      <w:color w:val="auto"/>
                      <w:sz w:val="21"/>
                      <w:szCs w:val="21"/>
                    </w:rPr>
                  </w:pPr>
                </w:p>
              </w:tc>
              <w:tc>
                <w:tcPr>
                  <w:tcW w:w="881" w:type="dxa"/>
                  <w:vAlign w:val="center"/>
                </w:tcPr>
                <w:p w14:paraId="6A5E3B7A">
                  <w:pPr>
                    <w:tabs>
                      <w:tab w:val="left" w:pos="6840"/>
                    </w:tabs>
                    <w:spacing w:line="270" w:lineRule="exact"/>
                    <w:jc w:val="center"/>
                    <w:rPr>
                      <w:color w:val="auto"/>
                      <w:sz w:val="21"/>
                      <w:szCs w:val="21"/>
                    </w:rPr>
                  </w:pPr>
                  <w:r>
                    <w:rPr>
                      <w:color w:val="auto"/>
                      <w:sz w:val="21"/>
                      <w:szCs w:val="21"/>
                    </w:rPr>
                    <w:t>TN</w:t>
                  </w:r>
                </w:p>
              </w:tc>
              <w:tc>
                <w:tcPr>
                  <w:tcW w:w="881" w:type="dxa"/>
                  <w:vAlign w:val="center"/>
                </w:tcPr>
                <w:p w14:paraId="4A72476E">
                  <w:pPr>
                    <w:tabs>
                      <w:tab w:val="left" w:pos="6840"/>
                    </w:tabs>
                    <w:spacing w:line="27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862" w:type="dxa"/>
                  <w:vAlign w:val="center"/>
                </w:tcPr>
                <w:p w14:paraId="258541B0">
                  <w:pPr>
                    <w:tabs>
                      <w:tab w:val="left" w:pos="6840"/>
                    </w:tabs>
                    <w:spacing w:line="27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0.0192 </w:t>
                  </w:r>
                </w:p>
              </w:tc>
              <w:tc>
                <w:tcPr>
                  <w:tcW w:w="672" w:type="pct"/>
                  <w:vMerge w:val="continue"/>
                  <w:vAlign w:val="center"/>
                </w:tcPr>
                <w:p w14:paraId="6A05D10B">
                  <w:pPr>
                    <w:tabs>
                      <w:tab w:val="left" w:pos="6840"/>
                    </w:tabs>
                    <w:spacing w:line="270" w:lineRule="exact"/>
                    <w:jc w:val="center"/>
                    <w:rPr>
                      <w:color w:val="auto"/>
                      <w:sz w:val="21"/>
                      <w:szCs w:val="21"/>
                    </w:rPr>
                  </w:pPr>
                </w:p>
              </w:tc>
              <w:tc>
                <w:tcPr>
                  <w:tcW w:w="752" w:type="dxa"/>
                  <w:vAlign w:val="center"/>
                </w:tcPr>
                <w:p w14:paraId="62808A5E">
                  <w:pPr>
                    <w:tabs>
                      <w:tab w:val="left" w:pos="6840"/>
                    </w:tabs>
                    <w:spacing w:line="270" w:lineRule="exact"/>
                    <w:jc w:val="center"/>
                    <w:rPr>
                      <w:color w:val="auto"/>
                      <w:sz w:val="21"/>
                      <w:szCs w:val="21"/>
                    </w:rPr>
                  </w:pPr>
                  <w:r>
                    <w:rPr>
                      <w:color w:val="auto"/>
                      <w:sz w:val="21"/>
                      <w:szCs w:val="21"/>
                    </w:rPr>
                    <w:t>TN</w:t>
                  </w:r>
                </w:p>
              </w:tc>
              <w:tc>
                <w:tcPr>
                  <w:tcW w:w="752" w:type="dxa"/>
                  <w:vAlign w:val="center"/>
                </w:tcPr>
                <w:p w14:paraId="78E49F37">
                  <w:pPr>
                    <w:jc w:val="center"/>
                    <w:rPr>
                      <w:rFonts w:hint="eastAsia" w:eastAsia="宋体"/>
                      <w:color w:val="auto"/>
                      <w:sz w:val="21"/>
                      <w:szCs w:val="21"/>
                      <w:lang w:eastAsia="zh-CN"/>
                    </w:rPr>
                  </w:pPr>
                  <w:r>
                    <w:rPr>
                      <w:rFonts w:hint="eastAsia"/>
                      <w:color w:val="auto"/>
                      <w:sz w:val="21"/>
                      <w:szCs w:val="21"/>
                      <w:lang w:val="en-US" w:eastAsia="zh-CN"/>
                    </w:rPr>
                    <w:t>40</w:t>
                  </w:r>
                </w:p>
              </w:tc>
              <w:tc>
                <w:tcPr>
                  <w:tcW w:w="782" w:type="dxa"/>
                  <w:vAlign w:val="center"/>
                </w:tcPr>
                <w:p w14:paraId="359C2009">
                  <w:pPr>
                    <w:tabs>
                      <w:tab w:val="left" w:pos="6840"/>
                    </w:tabs>
                    <w:spacing w:line="270" w:lineRule="exact"/>
                    <w:jc w:val="center"/>
                    <w:rPr>
                      <w:color w:val="auto"/>
                      <w:sz w:val="21"/>
                      <w:szCs w:val="21"/>
                    </w:rPr>
                  </w:pPr>
                  <w:r>
                    <w:rPr>
                      <w:rFonts w:hint="eastAsia" w:ascii="Times New Roman" w:hAnsi="Times New Roman" w:cs="Times New Roman"/>
                      <w:color w:val="auto"/>
                      <w:sz w:val="21"/>
                      <w:szCs w:val="21"/>
                      <w:lang w:val="en-US" w:eastAsia="zh-CN"/>
                    </w:rPr>
                    <w:t xml:space="preserve">0.0192 </w:t>
                  </w:r>
                </w:p>
              </w:tc>
              <w:tc>
                <w:tcPr>
                  <w:tcW w:w="480" w:type="pct"/>
                  <w:vAlign w:val="center"/>
                </w:tcPr>
                <w:p w14:paraId="2E3BCE51">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70</w:t>
                  </w:r>
                </w:p>
              </w:tc>
              <w:tc>
                <w:tcPr>
                  <w:tcW w:w="550" w:type="pct"/>
                  <w:vMerge w:val="continue"/>
                  <w:vAlign w:val="center"/>
                </w:tcPr>
                <w:p w14:paraId="29ACA68F">
                  <w:pPr>
                    <w:tabs>
                      <w:tab w:val="left" w:pos="6840"/>
                    </w:tabs>
                    <w:spacing w:line="270" w:lineRule="exact"/>
                    <w:jc w:val="center"/>
                    <w:rPr>
                      <w:color w:val="auto"/>
                      <w:sz w:val="21"/>
                      <w:szCs w:val="21"/>
                    </w:rPr>
                  </w:pPr>
                </w:p>
              </w:tc>
            </w:tr>
          </w:tbl>
          <w:p w14:paraId="2CFA4A54">
            <w:pPr>
              <w:adjustRightInd w:val="0"/>
              <w:snapToGrid w:val="0"/>
              <w:spacing w:line="500" w:lineRule="exact"/>
              <w:ind w:firstLine="420" w:firstLineChars="200"/>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lang w:val="en-US" w:eastAsia="zh-CN"/>
              </w:rPr>
              <w:t>排放口基本信息</w:t>
            </w:r>
          </w:p>
          <w:p w14:paraId="284DEB88">
            <w:pPr>
              <w:adjustRightInd w:val="0"/>
              <w:snapToGrid w:val="0"/>
              <w:jc w:val="center"/>
              <w:rPr>
                <w:b/>
                <w:bCs/>
                <w:color w:val="auto"/>
                <w:sz w:val="21"/>
                <w:szCs w:val="21"/>
              </w:rPr>
            </w:pPr>
            <w:r>
              <w:rPr>
                <w:b/>
                <w:bCs/>
                <w:color w:val="auto"/>
                <w:sz w:val="21"/>
                <w:szCs w:val="21"/>
              </w:rPr>
              <w:t>表4-</w:t>
            </w:r>
            <w:r>
              <w:rPr>
                <w:rFonts w:hint="eastAsia"/>
                <w:b/>
                <w:bCs/>
                <w:color w:val="auto"/>
                <w:sz w:val="21"/>
                <w:szCs w:val="21"/>
              </w:rPr>
              <w:t>1</w:t>
            </w:r>
            <w:r>
              <w:rPr>
                <w:rFonts w:hint="eastAsia"/>
                <w:b/>
                <w:bCs/>
                <w:color w:val="auto"/>
                <w:sz w:val="21"/>
                <w:szCs w:val="21"/>
                <w:lang w:val="en-US" w:eastAsia="zh-CN"/>
              </w:rPr>
              <w:t>1</w:t>
            </w:r>
            <w:r>
              <w:rPr>
                <w:b/>
                <w:bCs/>
                <w:color w:val="auto"/>
                <w:sz w:val="21"/>
                <w:szCs w:val="21"/>
              </w:rPr>
              <w:t>废水间接排放口基本情况表</w:t>
            </w:r>
          </w:p>
          <w:tbl>
            <w:tblPr>
              <w:tblStyle w:val="31"/>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67"/>
              <w:gridCol w:w="721"/>
              <w:gridCol w:w="1232"/>
              <w:gridCol w:w="1229"/>
              <w:gridCol w:w="662"/>
              <w:gridCol w:w="987"/>
              <w:gridCol w:w="456"/>
              <w:gridCol w:w="499"/>
              <w:gridCol w:w="685"/>
              <w:gridCol w:w="1036"/>
              <w:gridCol w:w="427"/>
            </w:tblGrid>
            <w:tr w14:paraId="286EFA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restart"/>
                  <w:vAlign w:val="center"/>
                </w:tcPr>
                <w:p w14:paraId="1D964DAA">
                  <w:pPr>
                    <w:tabs>
                      <w:tab w:val="left" w:pos="6840"/>
                    </w:tabs>
                    <w:spacing w:line="270" w:lineRule="exact"/>
                    <w:jc w:val="center"/>
                    <w:rPr>
                      <w:b/>
                      <w:bCs/>
                      <w:color w:val="auto"/>
                      <w:sz w:val="21"/>
                      <w:szCs w:val="21"/>
                    </w:rPr>
                  </w:pPr>
                  <w:r>
                    <w:rPr>
                      <w:b/>
                      <w:bCs/>
                      <w:color w:val="auto"/>
                      <w:sz w:val="21"/>
                      <w:szCs w:val="21"/>
                    </w:rPr>
                    <w:t>序号</w:t>
                  </w:r>
                </w:p>
              </w:tc>
              <w:tc>
                <w:tcPr>
                  <w:tcW w:w="439" w:type="pct"/>
                  <w:vMerge w:val="restart"/>
                  <w:vAlign w:val="center"/>
                </w:tcPr>
                <w:p w14:paraId="05B1F1C1">
                  <w:pPr>
                    <w:tabs>
                      <w:tab w:val="left" w:pos="6840"/>
                    </w:tabs>
                    <w:spacing w:line="270" w:lineRule="exact"/>
                    <w:jc w:val="center"/>
                    <w:rPr>
                      <w:b/>
                      <w:bCs/>
                      <w:color w:val="auto"/>
                      <w:sz w:val="21"/>
                      <w:szCs w:val="21"/>
                    </w:rPr>
                  </w:pPr>
                  <w:r>
                    <w:rPr>
                      <w:b/>
                      <w:bCs/>
                      <w:color w:val="auto"/>
                      <w:sz w:val="21"/>
                      <w:szCs w:val="21"/>
                    </w:rPr>
                    <w:t>排放口</w:t>
                  </w:r>
                </w:p>
                <w:p w14:paraId="38F413D1">
                  <w:pPr>
                    <w:tabs>
                      <w:tab w:val="left" w:pos="6840"/>
                    </w:tabs>
                    <w:spacing w:line="270" w:lineRule="exact"/>
                    <w:jc w:val="center"/>
                    <w:rPr>
                      <w:b/>
                      <w:bCs/>
                      <w:color w:val="auto"/>
                      <w:sz w:val="21"/>
                      <w:szCs w:val="21"/>
                    </w:rPr>
                  </w:pPr>
                  <w:r>
                    <w:rPr>
                      <w:b/>
                      <w:bCs/>
                      <w:color w:val="auto"/>
                      <w:sz w:val="21"/>
                      <w:szCs w:val="21"/>
                    </w:rPr>
                    <w:t>编号</w:t>
                  </w:r>
                </w:p>
              </w:tc>
              <w:tc>
                <w:tcPr>
                  <w:tcW w:w="1500" w:type="pct"/>
                  <w:gridSpan w:val="2"/>
                  <w:vAlign w:val="center"/>
                </w:tcPr>
                <w:p w14:paraId="6FDAD1E6">
                  <w:pPr>
                    <w:tabs>
                      <w:tab w:val="left" w:pos="6840"/>
                    </w:tabs>
                    <w:spacing w:line="270" w:lineRule="exact"/>
                    <w:jc w:val="center"/>
                    <w:rPr>
                      <w:b/>
                      <w:bCs/>
                      <w:color w:val="auto"/>
                      <w:sz w:val="21"/>
                      <w:szCs w:val="21"/>
                    </w:rPr>
                  </w:pPr>
                  <w:r>
                    <w:rPr>
                      <w:b/>
                      <w:bCs/>
                      <w:color w:val="auto"/>
                      <w:sz w:val="21"/>
                      <w:szCs w:val="21"/>
                    </w:rPr>
                    <w:t>地理坐标</w:t>
                  </w:r>
                </w:p>
              </w:tc>
              <w:tc>
                <w:tcPr>
                  <w:tcW w:w="404" w:type="pct"/>
                  <w:vMerge w:val="restart"/>
                  <w:vAlign w:val="center"/>
                </w:tcPr>
                <w:p w14:paraId="388295B6">
                  <w:pPr>
                    <w:tabs>
                      <w:tab w:val="left" w:pos="6840"/>
                    </w:tabs>
                    <w:spacing w:line="270" w:lineRule="exact"/>
                    <w:jc w:val="center"/>
                    <w:rPr>
                      <w:b/>
                      <w:bCs/>
                      <w:color w:val="auto"/>
                      <w:sz w:val="21"/>
                      <w:szCs w:val="21"/>
                    </w:rPr>
                  </w:pPr>
                  <w:r>
                    <w:rPr>
                      <w:b/>
                      <w:bCs/>
                      <w:color w:val="auto"/>
                      <w:sz w:val="21"/>
                      <w:szCs w:val="21"/>
                    </w:rPr>
                    <w:t>排放</w:t>
                  </w:r>
                </w:p>
                <w:p w14:paraId="16988998">
                  <w:pPr>
                    <w:tabs>
                      <w:tab w:val="left" w:pos="6840"/>
                    </w:tabs>
                    <w:spacing w:line="270" w:lineRule="exact"/>
                    <w:jc w:val="center"/>
                    <w:rPr>
                      <w:b/>
                      <w:bCs/>
                      <w:color w:val="auto"/>
                      <w:sz w:val="21"/>
                      <w:szCs w:val="21"/>
                    </w:rPr>
                  </w:pPr>
                  <w:r>
                    <w:rPr>
                      <w:b/>
                      <w:bCs/>
                      <w:color w:val="auto"/>
                      <w:sz w:val="21"/>
                      <w:szCs w:val="21"/>
                    </w:rPr>
                    <w:t>去向</w:t>
                  </w:r>
                </w:p>
              </w:tc>
              <w:tc>
                <w:tcPr>
                  <w:tcW w:w="602" w:type="pct"/>
                  <w:vMerge w:val="restart"/>
                  <w:vAlign w:val="center"/>
                </w:tcPr>
                <w:p w14:paraId="27BC7067">
                  <w:pPr>
                    <w:tabs>
                      <w:tab w:val="left" w:pos="6840"/>
                    </w:tabs>
                    <w:spacing w:line="270" w:lineRule="exact"/>
                    <w:jc w:val="center"/>
                    <w:rPr>
                      <w:b/>
                      <w:bCs/>
                      <w:color w:val="auto"/>
                      <w:sz w:val="21"/>
                      <w:szCs w:val="21"/>
                    </w:rPr>
                  </w:pPr>
                  <w:r>
                    <w:rPr>
                      <w:b/>
                      <w:bCs/>
                      <w:color w:val="auto"/>
                      <w:sz w:val="21"/>
                      <w:szCs w:val="21"/>
                    </w:rPr>
                    <w:t>排放</w:t>
                  </w:r>
                </w:p>
                <w:p w14:paraId="24E31164">
                  <w:pPr>
                    <w:tabs>
                      <w:tab w:val="left" w:pos="6840"/>
                    </w:tabs>
                    <w:spacing w:line="270" w:lineRule="exact"/>
                    <w:jc w:val="center"/>
                    <w:rPr>
                      <w:b/>
                      <w:bCs/>
                      <w:color w:val="auto"/>
                      <w:sz w:val="21"/>
                      <w:szCs w:val="21"/>
                    </w:rPr>
                  </w:pPr>
                  <w:r>
                    <w:rPr>
                      <w:b/>
                      <w:bCs/>
                      <w:color w:val="auto"/>
                      <w:sz w:val="21"/>
                      <w:szCs w:val="21"/>
                    </w:rPr>
                    <w:t>规律</w:t>
                  </w:r>
                </w:p>
              </w:tc>
              <w:tc>
                <w:tcPr>
                  <w:tcW w:w="278" w:type="pct"/>
                  <w:vMerge w:val="restart"/>
                  <w:vAlign w:val="center"/>
                </w:tcPr>
                <w:p w14:paraId="76813B13">
                  <w:pPr>
                    <w:tabs>
                      <w:tab w:val="left" w:pos="6840"/>
                    </w:tabs>
                    <w:spacing w:line="270" w:lineRule="exact"/>
                    <w:jc w:val="center"/>
                    <w:rPr>
                      <w:b/>
                      <w:bCs/>
                      <w:color w:val="auto"/>
                      <w:sz w:val="21"/>
                      <w:szCs w:val="21"/>
                    </w:rPr>
                  </w:pPr>
                  <w:r>
                    <w:rPr>
                      <w:b/>
                      <w:bCs/>
                      <w:color w:val="auto"/>
                      <w:sz w:val="21"/>
                      <w:szCs w:val="21"/>
                    </w:rPr>
                    <w:t>间歇排放时段</w:t>
                  </w:r>
                </w:p>
              </w:tc>
              <w:tc>
                <w:tcPr>
                  <w:tcW w:w="1352" w:type="pct"/>
                  <w:gridSpan w:val="3"/>
                  <w:vAlign w:val="center"/>
                </w:tcPr>
                <w:p w14:paraId="123F1299">
                  <w:pPr>
                    <w:tabs>
                      <w:tab w:val="left" w:pos="6840"/>
                    </w:tabs>
                    <w:spacing w:line="270" w:lineRule="exact"/>
                    <w:jc w:val="center"/>
                    <w:rPr>
                      <w:b/>
                      <w:bCs/>
                      <w:color w:val="auto"/>
                      <w:sz w:val="21"/>
                      <w:szCs w:val="21"/>
                    </w:rPr>
                  </w:pPr>
                  <w:r>
                    <w:rPr>
                      <w:b/>
                      <w:bCs/>
                      <w:color w:val="auto"/>
                      <w:sz w:val="21"/>
                      <w:szCs w:val="21"/>
                    </w:rPr>
                    <w:t>受纳污水处理厂信息</w:t>
                  </w:r>
                </w:p>
              </w:tc>
              <w:tc>
                <w:tcPr>
                  <w:tcW w:w="260" w:type="pct"/>
                  <w:vMerge w:val="restart"/>
                  <w:vAlign w:val="center"/>
                </w:tcPr>
                <w:p w14:paraId="5F419414">
                  <w:pPr>
                    <w:tabs>
                      <w:tab w:val="left" w:pos="6840"/>
                    </w:tabs>
                    <w:spacing w:line="270" w:lineRule="exact"/>
                    <w:jc w:val="center"/>
                    <w:rPr>
                      <w:b/>
                      <w:bCs/>
                      <w:color w:val="auto"/>
                      <w:sz w:val="21"/>
                      <w:szCs w:val="21"/>
                    </w:rPr>
                  </w:pPr>
                  <w:r>
                    <w:rPr>
                      <w:rFonts w:hint="eastAsia"/>
                      <w:b/>
                      <w:bCs/>
                      <w:color w:val="auto"/>
                      <w:sz w:val="21"/>
                      <w:szCs w:val="21"/>
                    </w:rPr>
                    <w:t>排放口类型</w:t>
                  </w:r>
                </w:p>
              </w:tc>
            </w:tr>
            <w:tr w14:paraId="43A7B0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continue"/>
                  <w:vAlign w:val="center"/>
                </w:tcPr>
                <w:p w14:paraId="6C46995D">
                  <w:pPr>
                    <w:tabs>
                      <w:tab w:val="left" w:pos="6840"/>
                    </w:tabs>
                    <w:spacing w:line="270" w:lineRule="exact"/>
                    <w:jc w:val="center"/>
                    <w:rPr>
                      <w:b/>
                      <w:bCs/>
                      <w:color w:val="auto"/>
                      <w:sz w:val="21"/>
                      <w:szCs w:val="21"/>
                    </w:rPr>
                  </w:pPr>
                </w:p>
              </w:tc>
              <w:tc>
                <w:tcPr>
                  <w:tcW w:w="439" w:type="pct"/>
                  <w:vMerge w:val="continue"/>
                  <w:vAlign w:val="center"/>
                </w:tcPr>
                <w:p w14:paraId="7FF90C58">
                  <w:pPr>
                    <w:tabs>
                      <w:tab w:val="left" w:pos="6840"/>
                    </w:tabs>
                    <w:spacing w:line="270" w:lineRule="exact"/>
                    <w:jc w:val="center"/>
                    <w:rPr>
                      <w:b/>
                      <w:bCs/>
                      <w:color w:val="auto"/>
                      <w:sz w:val="21"/>
                      <w:szCs w:val="21"/>
                    </w:rPr>
                  </w:pPr>
                </w:p>
              </w:tc>
              <w:tc>
                <w:tcPr>
                  <w:tcW w:w="751" w:type="pct"/>
                  <w:vAlign w:val="center"/>
                </w:tcPr>
                <w:p w14:paraId="6175FE74">
                  <w:pPr>
                    <w:tabs>
                      <w:tab w:val="left" w:pos="6840"/>
                    </w:tabs>
                    <w:spacing w:line="270" w:lineRule="exact"/>
                    <w:jc w:val="center"/>
                    <w:rPr>
                      <w:b/>
                      <w:bCs/>
                      <w:color w:val="auto"/>
                      <w:sz w:val="21"/>
                      <w:szCs w:val="21"/>
                    </w:rPr>
                  </w:pPr>
                  <w:r>
                    <w:rPr>
                      <w:b/>
                      <w:bCs/>
                      <w:color w:val="auto"/>
                      <w:sz w:val="21"/>
                      <w:szCs w:val="21"/>
                    </w:rPr>
                    <w:t>经度</w:t>
                  </w:r>
                </w:p>
              </w:tc>
              <w:tc>
                <w:tcPr>
                  <w:tcW w:w="749" w:type="pct"/>
                  <w:vAlign w:val="center"/>
                </w:tcPr>
                <w:p w14:paraId="3FC27357">
                  <w:pPr>
                    <w:tabs>
                      <w:tab w:val="left" w:pos="6840"/>
                    </w:tabs>
                    <w:spacing w:line="270" w:lineRule="exact"/>
                    <w:jc w:val="center"/>
                    <w:rPr>
                      <w:b/>
                      <w:bCs/>
                      <w:color w:val="auto"/>
                      <w:sz w:val="21"/>
                      <w:szCs w:val="21"/>
                    </w:rPr>
                  </w:pPr>
                  <w:r>
                    <w:rPr>
                      <w:b/>
                      <w:bCs/>
                      <w:color w:val="auto"/>
                      <w:sz w:val="21"/>
                      <w:szCs w:val="21"/>
                    </w:rPr>
                    <w:t>纬度</w:t>
                  </w:r>
                </w:p>
              </w:tc>
              <w:tc>
                <w:tcPr>
                  <w:tcW w:w="404" w:type="pct"/>
                  <w:vMerge w:val="continue"/>
                  <w:vAlign w:val="center"/>
                </w:tcPr>
                <w:p w14:paraId="7A2B105D">
                  <w:pPr>
                    <w:tabs>
                      <w:tab w:val="left" w:pos="6840"/>
                    </w:tabs>
                    <w:spacing w:line="270" w:lineRule="exact"/>
                    <w:jc w:val="center"/>
                    <w:rPr>
                      <w:b/>
                      <w:bCs/>
                      <w:color w:val="auto"/>
                      <w:sz w:val="21"/>
                      <w:szCs w:val="21"/>
                    </w:rPr>
                  </w:pPr>
                </w:p>
              </w:tc>
              <w:tc>
                <w:tcPr>
                  <w:tcW w:w="602" w:type="pct"/>
                  <w:vMerge w:val="continue"/>
                  <w:vAlign w:val="center"/>
                </w:tcPr>
                <w:p w14:paraId="44E36374">
                  <w:pPr>
                    <w:tabs>
                      <w:tab w:val="left" w:pos="6840"/>
                    </w:tabs>
                    <w:spacing w:line="270" w:lineRule="exact"/>
                    <w:jc w:val="center"/>
                    <w:rPr>
                      <w:b/>
                      <w:bCs/>
                      <w:color w:val="auto"/>
                      <w:sz w:val="21"/>
                      <w:szCs w:val="21"/>
                    </w:rPr>
                  </w:pPr>
                </w:p>
              </w:tc>
              <w:tc>
                <w:tcPr>
                  <w:tcW w:w="278" w:type="pct"/>
                  <w:vMerge w:val="continue"/>
                  <w:vAlign w:val="center"/>
                </w:tcPr>
                <w:p w14:paraId="25148547">
                  <w:pPr>
                    <w:tabs>
                      <w:tab w:val="left" w:pos="6840"/>
                    </w:tabs>
                    <w:spacing w:line="270" w:lineRule="exact"/>
                    <w:jc w:val="center"/>
                    <w:rPr>
                      <w:b/>
                      <w:bCs/>
                      <w:color w:val="auto"/>
                      <w:sz w:val="21"/>
                      <w:szCs w:val="21"/>
                    </w:rPr>
                  </w:pPr>
                </w:p>
              </w:tc>
              <w:tc>
                <w:tcPr>
                  <w:tcW w:w="304" w:type="pct"/>
                  <w:vAlign w:val="center"/>
                </w:tcPr>
                <w:p w14:paraId="11522CA3">
                  <w:pPr>
                    <w:tabs>
                      <w:tab w:val="left" w:pos="6840"/>
                    </w:tabs>
                    <w:spacing w:line="270" w:lineRule="exact"/>
                    <w:jc w:val="center"/>
                    <w:rPr>
                      <w:b/>
                      <w:bCs/>
                      <w:color w:val="auto"/>
                      <w:sz w:val="21"/>
                      <w:szCs w:val="21"/>
                    </w:rPr>
                  </w:pPr>
                  <w:r>
                    <w:rPr>
                      <w:b/>
                      <w:bCs/>
                      <w:color w:val="auto"/>
                      <w:sz w:val="21"/>
                      <w:szCs w:val="21"/>
                    </w:rPr>
                    <w:t>名称</w:t>
                  </w:r>
                </w:p>
              </w:tc>
              <w:tc>
                <w:tcPr>
                  <w:tcW w:w="417" w:type="pct"/>
                  <w:vAlign w:val="center"/>
                </w:tcPr>
                <w:p w14:paraId="7D470A1A">
                  <w:pPr>
                    <w:tabs>
                      <w:tab w:val="left" w:pos="6840"/>
                    </w:tabs>
                    <w:spacing w:line="270" w:lineRule="exact"/>
                    <w:jc w:val="center"/>
                    <w:rPr>
                      <w:b/>
                      <w:bCs/>
                      <w:color w:val="auto"/>
                      <w:sz w:val="21"/>
                      <w:szCs w:val="21"/>
                    </w:rPr>
                  </w:pPr>
                  <w:r>
                    <w:rPr>
                      <w:b/>
                      <w:bCs/>
                      <w:color w:val="auto"/>
                      <w:sz w:val="21"/>
                      <w:szCs w:val="21"/>
                    </w:rPr>
                    <w:t>污染物</w:t>
                  </w:r>
                </w:p>
                <w:p w14:paraId="1FE1E62D">
                  <w:pPr>
                    <w:tabs>
                      <w:tab w:val="left" w:pos="6840"/>
                    </w:tabs>
                    <w:spacing w:line="270" w:lineRule="exact"/>
                    <w:jc w:val="center"/>
                    <w:rPr>
                      <w:b/>
                      <w:bCs/>
                      <w:color w:val="auto"/>
                      <w:sz w:val="21"/>
                      <w:szCs w:val="21"/>
                    </w:rPr>
                  </w:pPr>
                  <w:r>
                    <w:rPr>
                      <w:b/>
                      <w:bCs/>
                      <w:color w:val="auto"/>
                      <w:sz w:val="21"/>
                      <w:szCs w:val="21"/>
                    </w:rPr>
                    <w:t>种类</w:t>
                  </w:r>
                </w:p>
              </w:tc>
              <w:tc>
                <w:tcPr>
                  <w:tcW w:w="631" w:type="pct"/>
                  <w:vAlign w:val="center"/>
                </w:tcPr>
                <w:p w14:paraId="183AEC8F">
                  <w:pPr>
                    <w:jc w:val="center"/>
                    <w:rPr>
                      <w:b/>
                      <w:bCs/>
                      <w:color w:val="auto"/>
                      <w:kern w:val="0"/>
                      <w:sz w:val="21"/>
                      <w:szCs w:val="21"/>
                    </w:rPr>
                  </w:pPr>
                  <w:r>
                    <w:rPr>
                      <w:b/>
                      <w:bCs/>
                      <w:color w:val="auto"/>
                      <w:kern w:val="0"/>
                      <w:sz w:val="21"/>
                      <w:szCs w:val="21"/>
                    </w:rPr>
                    <w:t>国家或地方污染物排放</w:t>
                  </w:r>
                  <w:r>
                    <w:rPr>
                      <w:rFonts w:hint="eastAsia"/>
                      <w:b/>
                      <w:bCs/>
                      <w:color w:val="auto"/>
                      <w:kern w:val="0"/>
                      <w:sz w:val="21"/>
                      <w:szCs w:val="21"/>
                      <w:lang w:eastAsia="zh-CN"/>
                    </w:rPr>
                    <w:t>标准</w:t>
                  </w:r>
                  <w:r>
                    <w:rPr>
                      <w:b/>
                      <w:bCs/>
                      <w:color w:val="auto"/>
                      <w:kern w:val="0"/>
                      <w:sz w:val="21"/>
                      <w:szCs w:val="21"/>
                    </w:rPr>
                    <w:t>浓度限值</w:t>
                  </w:r>
                </w:p>
                <w:p w14:paraId="0064F562">
                  <w:pPr>
                    <w:jc w:val="center"/>
                    <w:rPr>
                      <w:b/>
                      <w:bCs/>
                      <w:color w:val="auto"/>
                      <w:kern w:val="0"/>
                      <w:sz w:val="21"/>
                      <w:szCs w:val="21"/>
                    </w:rPr>
                  </w:pPr>
                  <w:r>
                    <w:rPr>
                      <w:b/>
                      <w:bCs/>
                      <w:color w:val="auto"/>
                      <w:kern w:val="0"/>
                      <w:sz w:val="21"/>
                      <w:szCs w:val="21"/>
                    </w:rPr>
                    <w:t>（mg/L）</w:t>
                  </w:r>
                </w:p>
              </w:tc>
              <w:tc>
                <w:tcPr>
                  <w:tcW w:w="260" w:type="pct"/>
                  <w:vMerge w:val="continue"/>
                  <w:vAlign w:val="center"/>
                </w:tcPr>
                <w:p w14:paraId="0AEE448F">
                  <w:pPr>
                    <w:tabs>
                      <w:tab w:val="left" w:pos="6840"/>
                    </w:tabs>
                    <w:spacing w:line="270" w:lineRule="exact"/>
                    <w:jc w:val="center"/>
                    <w:rPr>
                      <w:b/>
                      <w:bCs/>
                      <w:color w:val="auto"/>
                      <w:sz w:val="21"/>
                      <w:szCs w:val="21"/>
                    </w:rPr>
                  </w:pPr>
                </w:p>
              </w:tc>
            </w:tr>
            <w:tr w14:paraId="05AE64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restart"/>
                  <w:vAlign w:val="center"/>
                </w:tcPr>
                <w:p w14:paraId="6A14A1A2">
                  <w:pPr>
                    <w:tabs>
                      <w:tab w:val="left" w:pos="6840"/>
                    </w:tabs>
                    <w:spacing w:line="270" w:lineRule="exact"/>
                    <w:jc w:val="center"/>
                    <w:rPr>
                      <w:color w:val="auto"/>
                      <w:sz w:val="21"/>
                      <w:szCs w:val="21"/>
                    </w:rPr>
                  </w:pPr>
                  <w:r>
                    <w:rPr>
                      <w:color w:val="auto"/>
                      <w:sz w:val="21"/>
                      <w:szCs w:val="21"/>
                    </w:rPr>
                    <w:t>1</w:t>
                  </w:r>
                </w:p>
              </w:tc>
              <w:tc>
                <w:tcPr>
                  <w:tcW w:w="439" w:type="pct"/>
                  <w:vMerge w:val="restart"/>
                  <w:vAlign w:val="center"/>
                </w:tcPr>
                <w:p w14:paraId="2EA68794">
                  <w:pPr>
                    <w:tabs>
                      <w:tab w:val="left" w:pos="6840"/>
                    </w:tabs>
                    <w:spacing w:line="270" w:lineRule="exact"/>
                    <w:jc w:val="center"/>
                    <w:rPr>
                      <w:color w:val="auto"/>
                      <w:sz w:val="21"/>
                      <w:szCs w:val="21"/>
                    </w:rPr>
                  </w:pPr>
                  <w:r>
                    <w:rPr>
                      <w:color w:val="auto"/>
                      <w:sz w:val="21"/>
                      <w:szCs w:val="21"/>
                    </w:rPr>
                    <w:t>DW001</w:t>
                  </w:r>
                </w:p>
              </w:tc>
              <w:tc>
                <w:tcPr>
                  <w:tcW w:w="751" w:type="pct"/>
                  <w:vMerge w:val="restart"/>
                  <w:vAlign w:val="center"/>
                </w:tcPr>
                <w:p w14:paraId="0E67A2FB">
                  <w:pPr>
                    <w:tabs>
                      <w:tab w:val="left" w:pos="6840"/>
                    </w:tabs>
                    <w:spacing w:line="27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119.432048</w:t>
                  </w:r>
                </w:p>
              </w:tc>
              <w:tc>
                <w:tcPr>
                  <w:tcW w:w="749" w:type="pct"/>
                  <w:vMerge w:val="restart"/>
                  <w:vAlign w:val="center"/>
                </w:tcPr>
                <w:p w14:paraId="0563EFCC">
                  <w:pPr>
                    <w:tabs>
                      <w:tab w:val="left" w:pos="6840"/>
                    </w:tabs>
                    <w:spacing w:line="27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31.737499</w:t>
                  </w:r>
                </w:p>
              </w:tc>
              <w:tc>
                <w:tcPr>
                  <w:tcW w:w="404" w:type="pct"/>
                  <w:vMerge w:val="restart"/>
                  <w:vAlign w:val="center"/>
                </w:tcPr>
                <w:p w14:paraId="4E2CFF8C">
                  <w:pPr>
                    <w:tabs>
                      <w:tab w:val="left" w:pos="6840"/>
                    </w:tabs>
                    <w:spacing w:line="270" w:lineRule="exact"/>
                    <w:jc w:val="center"/>
                    <w:rPr>
                      <w:color w:val="auto"/>
                      <w:sz w:val="21"/>
                      <w:szCs w:val="21"/>
                    </w:rPr>
                  </w:pPr>
                  <w:r>
                    <w:rPr>
                      <w:color w:val="auto"/>
                      <w:sz w:val="21"/>
                      <w:szCs w:val="21"/>
                    </w:rPr>
                    <w:t>进入城市污水处理厂</w:t>
                  </w:r>
                </w:p>
              </w:tc>
              <w:tc>
                <w:tcPr>
                  <w:tcW w:w="602" w:type="pct"/>
                  <w:vMerge w:val="restart"/>
                  <w:vAlign w:val="center"/>
                </w:tcPr>
                <w:p w14:paraId="36B8B4E5">
                  <w:pPr>
                    <w:tabs>
                      <w:tab w:val="left" w:pos="6840"/>
                    </w:tabs>
                    <w:spacing w:line="270" w:lineRule="exact"/>
                    <w:jc w:val="center"/>
                    <w:rPr>
                      <w:color w:val="auto"/>
                      <w:sz w:val="21"/>
                      <w:szCs w:val="21"/>
                    </w:rPr>
                  </w:pPr>
                  <w:r>
                    <w:rPr>
                      <w:color w:val="auto"/>
                      <w:sz w:val="21"/>
                      <w:szCs w:val="21"/>
                    </w:rPr>
                    <w:t>间断排放，排放期间流量不稳定且无规律，但不属于冲击型排放</w:t>
                  </w:r>
                </w:p>
              </w:tc>
              <w:tc>
                <w:tcPr>
                  <w:tcW w:w="278" w:type="pct"/>
                  <w:vMerge w:val="restart"/>
                  <w:vAlign w:val="center"/>
                </w:tcPr>
                <w:p w14:paraId="26AF3572">
                  <w:pPr>
                    <w:tabs>
                      <w:tab w:val="left" w:pos="6840"/>
                    </w:tabs>
                    <w:spacing w:line="270" w:lineRule="exact"/>
                    <w:jc w:val="center"/>
                    <w:rPr>
                      <w:color w:val="auto"/>
                      <w:sz w:val="21"/>
                      <w:szCs w:val="21"/>
                    </w:rPr>
                  </w:pPr>
                  <w:r>
                    <w:rPr>
                      <w:color w:val="auto"/>
                      <w:sz w:val="21"/>
                      <w:szCs w:val="21"/>
                    </w:rPr>
                    <w:t>/</w:t>
                  </w:r>
                </w:p>
              </w:tc>
              <w:tc>
                <w:tcPr>
                  <w:tcW w:w="304" w:type="pct"/>
                  <w:vMerge w:val="restart"/>
                  <w:vAlign w:val="center"/>
                </w:tcPr>
                <w:p w14:paraId="6B6D23B0">
                  <w:pPr>
                    <w:tabs>
                      <w:tab w:val="left" w:pos="6840"/>
                    </w:tabs>
                    <w:spacing w:line="270" w:lineRule="exact"/>
                    <w:jc w:val="center"/>
                    <w:rPr>
                      <w:rFonts w:hint="eastAsia" w:eastAsia="宋体"/>
                      <w:color w:val="auto"/>
                      <w:sz w:val="21"/>
                      <w:szCs w:val="21"/>
                      <w:lang w:eastAsia="zh-CN"/>
                    </w:rPr>
                  </w:pPr>
                  <w:r>
                    <w:rPr>
                      <w:rFonts w:hint="eastAsia"/>
                      <w:color w:val="auto"/>
                      <w:sz w:val="21"/>
                      <w:szCs w:val="21"/>
                      <w:lang w:eastAsia="zh-CN"/>
                    </w:rPr>
                    <w:t>常州市金坛区溪城污水处理有限公司</w:t>
                  </w:r>
                </w:p>
              </w:tc>
              <w:tc>
                <w:tcPr>
                  <w:tcW w:w="417" w:type="pct"/>
                  <w:vAlign w:val="center"/>
                </w:tcPr>
                <w:p w14:paraId="7F3507C6">
                  <w:pPr>
                    <w:tabs>
                      <w:tab w:val="left" w:pos="6840"/>
                    </w:tabs>
                    <w:spacing w:line="270" w:lineRule="exact"/>
                    <w:jc w:val="center"/>
                    <w:rPr>
                      <w:color w:val="auto"/>
                      <w:sz w:val="21"/>
                      <w:szCs w:val="21"/>
                    </w:rPr>
                  </w:pPr>
                  <w:r>
                    <w:rPr>
                      <w:color w:val="auto"/>
                      <w:sz w:val="21"/>
                      <w:szCs w:val="21"/>
                    </w:rPr>
                    <w:t>pH</w:t>
                  </w:r>
                </w:p>
              </w:tc>
              <w:tc>
                <w:tcPr>
                  <w:tcW w:w="631" w:type="pct"/>
                  <w:vAlign w:val="center"/>
                </w:tcPr>
                <w:p w14:paraId="48F6288D">
                  <w:pPr>
                    <w:tabs>
                      <w:tab w:val="left" w:pos="6840"/>
                    </w:tabs>
                    <w:spacing w:line="270" w:lineRule="exact"/>
                    <w:jc w:val="center"/>
                    <w:rPr>
                      <w:color w:val="auto"/>
                      <w:sz w:val="21"/>
                      <w:szCs w:val="21"/>
                    </w:rPr>
                  </w:pPr>
                  <w:r>
                    <w:rPr>
                      <w:color w:val="auto"/>
                      <w:sz w:val="21"/>
                      <w:szCs w:val="21"/>
                    </w:rPr>
                    <w:t>6~9</w:t>
                  </w:r>
                </w:p>
              </w:tc>
              <w:tc>
                <w:tcPr>
                  <w:tcW w:w="260" w:type="pct"/>
                  <w:vMerge w:val="restart"/>
                  <w:vAlign w:val="center"/>
                </w:tcPr>
                <w:p w14:paraId="55E28449">
                  <w:pPr>
                    <w:tabs>
                      <w:tab w:val="left" w:pos="6840"/>
                    </w:tabs>
                    <w:spacing w:line="270" w:lineRule="exact"/>
                    <w:jc w:val="center"/>
                    <w:rPr>
                      <w:color w:val="auto"/>
                      <w:sz w:val="21"/>
                      <w:szCs w:val="21"/>
                    </w:rPr>
                  </w:pPr>
                  <w:r>
                    <w:rPr>
                      <w:rFonts w:hint="eastAsia"/>
                      <w:color w:val="auto"/>
                      <w:sz w:val="21"/>
                      <w:szCs w:val="21"/>
                    </w:rPr>
                    <w:t>一般排放口</w:t>
                  </w:r>
                </w:p>
              </w:tc>
            </w:tr>
            <w:tr w14:paraId="5FCEC2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continue"/>
                  <w:vAlign w:val="center"/>
                </w:tcPr>
                <w:p w14:paraId="3CCEAE96">
                  <w:pPr>
                    <w:tabs>
                      <w:tab w:val="left" w:pos="6840"/>
                    </w:tabs>
                    <w:spacing w:line="270" w:lineRule="exact"/>
                    <w:jc w:val="center"/>
                    <w:rPr>
                      <w:color w:val="auto"/>
                      <w:sz w:val="21"/>
                      <w:szCs w:val="21"/>
                    </w:rPr>
                  </w:pPr>
                </w:p>
              </w:tc>
              <w:tc>
                <w:tcPr>
                  <w:tcW w:w="439" w:type="pct"/>
                  <w:vMerge w:val="continue"/>
                  <w:vAlign w:val="center"/>
                </w:tcPr>
                <w:p w14:paraId="0A0F5385">
                  <w:pPr>
                    <w:tabs>
                      <w:tab w:val="left" w:pos="6840"/>
                    </w:tabs>
                    <w:spacing w:line="270" w:lineRule="exact"/>
                    <w:jc w:val="center"/>
                    <w:rPr>
                      <w:color w:val="auto"/>
                      <w:sz w:val="21"/>
                      <w:szCs w:val="21"/>
                    </w:rPr>
                  </w:pPr>
                </w:p>
              </w:tc>
              <w:tc>
                <w:tcPr>
                  <w:tcW w:w="751" w:type="pct"/>
                  <w:vMerge w:val="continue"/>
                  <w:vAlign w:val="center"/>
                </w:tcPr>
                <w:p w14:paraId="7B994F3F">
                  <w:pPr>
                    <w:tabs>
                      <w:tab w:val="left" w:pos="6840"/>
                    </w:tabs>
                    <w:spacing w:line="270" w:lineRule="exact"/>
                    <w:jc w:val="center"/>
                    <w:rPr>
                      <w:color w:val="auto"/>
                      <w:sz w:val="21"/>
                      <w:szCs w:val="21"/>
                    </w:rPr>
                  </w:pPr>
                </w:p>
              </w:tc>
              <w:tc>
                <w:tcPr>
                  <w:tcW w:w="749" w:type="pct"/>
                  <w:vMerge w:val="continue"/>
                  <w:vAlign w:val="center"/>
                </w:tcPr>
                <w:p w14:paraId="442C0AAD">
                  <w:pPr>
                    <w:tabs>
                      <w:tab w:val="left" w:pos="6840"/>
                    </w:tabs>
                    <w:spacing w:line="270" w:lineRule="exact"/>
                    <w:jc w:val="center"/>
                    <w:rPr>
                      <w:color w:val="auto"/>
                      <w:sz w:val="21"/>
                      <w:szCs w:val="21"/>
                    </w:rPr>
                  </w:pPr>
                </w:p>
              </w:tc>
              <w:tc>
                <w:tcPr>
                  <w:tcW w:w="404" w:type="pct"/>
                  <w:vMerge w:val="continue"/>
                  <w:vAlign w:val="center"/>
                </w:tcPr>
                <w:p w14:paraId="5F36F95D">
                  <w:pPr>
                    <w:tabs>
                      <w:tab w:val="left" w:pos="6840"/>
                    </w:tabs>
                    <w:spacing w:line="270" w:lineRule="exact"/>
                    <w:jc w:val="center"/>
                    <w:rPr>
                      <w:color w:val="auto"/>
                      <w:sz w:val="21"/>
                      <w:szCs w:val="21"/>
                    </w:rPr>
                  </w:pPr>
                </w:p>
              </w:tc>
              <w:tc>
                <w:tcPr>
                  <w:tcW w:w="602" w:type="pct"/>
                  <w:vMerge w:val="continue"/>
                  <w:vAlign w:val="center"/>
                </w:tcPr>
                <w:p w14:paraId="2BBCE6AC">
                  <w:pPr>
                    <w:tabs>
                      <w:tab w:val="left" w:pos="6840"/>
                    </w:tabs>
                    <w:spacing w:line="270" w:lineRule="exact"/>
                    <w:jc w:val="center"/>
                    <w:rPr>
                      <w:color w:val="auto"/>
                      <w:sz w:val="21"/>
                      <w:szCs w:val="21"/>
                    </w:rPr>
                  </w:pPr>
                </w:p>
              </w:tc>
              <w:tc>
                <w:tcPr>
                  <w:tcW w:w="278" w:type="pct"/>
                  <w:vMerge w:val="continue"/>
                  <w:vAlign w:val="center"/>
                </w:tcPr>
                <w:p w14:paraId="06BB258C">
                  <w:pPr>
                    <w:tabs>
                      <w:tab w:val="left" w:pos="6840"/>
                    </w:tabs>
                    <w:spacing w:line="270" w:lineRule="exact"/>
                    <w:jc w:val="center"/>
                    <w:rPr>
                      <w:color w:val="auto"/>
                      <w:sz w:val="21"/>
                      <w:szCs w:val="21"/>
                    </w:rPr>
                  </w:pPr>
                </w:p>
              </w:tc>
              <w:tc>
                <w:tcPr>
                  <w:tcW w:w="304" w:type="pct"/>
                  <w:vMerge w:val="continue"/>
                  <w:vAlign w:val="center"/>
                </w:tcPr>
                <w:p w14:paraId="0767EDD7">
                  <w:pPr>
                    <w:tabs>
                      <w:tab w:val="left" w:pos="6840"/>
                    </w:tabs>
                    <w:spacing w:line="270" w:lineRule="exact"/>
                    <w:jc w:val="center"/>
                    <w:rPr>
                      <w:color w:val="auto"/>
                      <w:sz w:val="21"/>
                      <w:szCs w:val="21"/>
                    </w:rPr>
                  </w:pPr>
                </w:p>
              </w:tc>
              <w:tc>
                <w:tcPr>
                  <w:tcW w:w="417" w:type="pct"/>
                  <w:vAlign w:val="center"/>
                </w:tcPr>
                <w:p w14:paraId="11E382DF">
                  <w:pPr>
                    <w:tabs>
                      <w:tab w:val="left" w:pos="6840"/>
                    </w:tabs>
                    <w:spacing w:line="270" w:lineRule="exact"/>
                    <w:jc w:val="center"/>
                    <w:rPr>
                      <w:color w:val="auto"/>
                      <w:sz w:val="21"/>
                      <w:szCs w:val="21"/>
                    </w:rPr>
                  </w:pPr>
                  <w:r>
                    <w:rPr>
                      <w:color w:val="auto"/>
                      <w:sz w:val="21"/>
                      <w:szCs w:val="21"/>
                    </w:rPr>
                    <w:t>COD</w:t>
                  </w:r>
                </w:p>
              </w:tc>
              <w:tc>
                <w:tcPr>
                  <w:tcW w:w="631" w:type="pct"/>
                  <w:vAlign w:val="center"/>
                </w:tcPr>
                <w:p w14:paraId="49DC0693">
                  <w:pPr>
                    <w:tabs>
                      <w:tab w:val="left" w:pos="6840"/>
                    </w:tabs>
                    <w:spacing w:line="270" w:lineRule="exact"/>
                    <w:jc w:val="center"/>
                    <w:rPr>
                      <w:color w:val="auto"/>
                      <w:sz w:val="21"/>
                      <w:szCs w:val="21"/>
                    </w:rPr>
                  </w:pPr>
                  <w:r>
                    <w:rPr>
                      <w:rFonts w:hint="eastAsia"/>
                      <w:color w:val="auto"/>
                      <w:sz w:val="21"/>
                      <w:szCs w:val="21"/>
                    </w:rPr>
                    <w:t>50</w:t>
                  </w:r>
                </w:p>
              </w:tc>
              <w:tc>
                <w:tcPr>
                  <w:tcW w:w="260" w:type="pct"/>
                  <w:vMerge w:val="continue"/>
                  <w:vAlign w:val="center"/>
                </w:tcPr>
                <w:p w14:paraId="13EBF81E">
                  <w:pPr>
                    <w:tabs>
                      <w:tab w:val="left" w:pos="6840"/>
                    </w:tabs>
                    <w:spacing w:line="270" w:lineRule="exact"/>
                    <w:jc w:val="center"/>
                    <w:rPr>
                      <w:color w:val="auto"/>
                      <w:sz w:val="21"/>
                      <w:szCs w:val="21"/>
                    </w:rPr>
                  </w:pPr>
                </w:p>
              </w:tc>
            </w:tr>
            <w:tr w14:paraId="342FD7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continue"/>
                  <w:vAlign w:val="center"/>
                </w:tcPr>
                <w:p w14:paraId="15638D2B">
                  <w:pPr>
                    <w:tabs>
                      <w:tab w:val="left" w:pos="6840"/>
                    </w:tabs>
                    <w:spacing w:line="270" w:lineRule="exact"/>
                    <w:jc w:val="center"/>
                    <w:rPr>
                      <w:color w:val="auto"/>
                      <w:sz w:val="21"/>
                      <w:szCs w:val="21"/>
                    </w:rPr>
                  </w:pPr>
                </w:p>
              </w:tc>
              <w:tc>
                <w:tcPr>
                  <w:tcW w:w="439" w:type="pct"/>
                  <w:vMerge w:val="continue"/>
                  <w:vAlign w:val="center"/>
                </w:tcPr>
                <w:p w14:paraId="54BD9EB5">
                  <w:pPr>
                    <w:tabs>
                      <w:tab w:val="left" w:pos="6840"/>
                    </w:tabs>
                    <w:spacing w:line="270" w:lineRule="exact"/>
                    <w:jc w:val="center"/>
                    <w:rPr>
                      <w:color w:val="auto"/>
                      <w:sz w:val="21"/>
                      <w:szCs w:val="21"/>
                    </w:rPr>
                  </w:pPr>
                </w:p>
              </w:tc>
              <w:tc>
                <w:tcPr>
                  <w:tcW w:w="751" w:type="pct"/>
                  <w:vMerge w:val="continue"/>
                  <w:vAlign w:val="center"/>
                </w:tcPr>
                <w:p w14:paraId="24845263">
                  <w:pPr>
                    <w:tabs>
                      <w:tab w:val="left" w:pos="6840"/>
                    </w:tabs>
                    <w:spacing w:line="270" w:lineRule="exact"/>
                    <w:jc w:val="center"/>
                    <w:rPr>
                      <w:color w:val="auto"/>
                      <w:sz w:val="21"/>
                      <w:szCs w:val="21"/>
                    </w:rPr>
                  </w:pPr>
                </w:p>
              </w:tc>
              <w:tc>
                <w:tcPr>
                  <w:tcW w:w="749" w:type="pct"/>
                  <w:vMerge w:val="continue"/>
                  <w:vAlign w:val="center"/>
                </w:tcPr>
                <w:p w14:paraId="65844313">
                  <w:pPr>
                    <w:tabs>
                      <w:tab w:val="left" w:pos="6840"/>
                    </w:tabs>
                    <w:spacing w:line="270" w:lineRule="exact"/>
                    <w:jc w:val="center"/>
                    <w:rPr>
                      <w:color w:val="auto"/>
                      <w:sz w:val="21"/>
                      <w:szCs w:val="21"/>
                    </w:rPr>
                  </w:pPr>
                </w:p>
              </w:tc>
              <w:tc>
                <w:tcPr>
                  <w:tcW w:w="404" w:type="pct"/>
                  <w:vMerge w:val="continue"/>
                  <w:vAlign w:val="center"/>
                </w:tcPr>
                <w:p w14:paraId="68C19203">
                  <w:pPr>
                    <w:tabs>
                      <w:tab w:val="left" w:pos="6840"/>
                    </w:tabs>
                    <w:spacing w:line="270" w:lineRule="exact"/>
                    <w:jc w:val="center"/>
                    <w:rPr>
                      <w:color w:val="auto"/>
                      <w:sz w:val="21"/>
                      <w:szCs w:val="21"/>
                    </w:rPr>
                  </w:pPr>
                </w:p>
              </w:tc>
              <w:tc>
                <w:tcPr>
                  <w:tcW w:w="602" w:type="pct"/>
                  <w:vMerge w:val="continue"/>
                  <w:vAlign w:val="center"/>
                </w:tcPr>
                <w:p w14:paraId="0C4848B7">
                  <w:pPr>
                    <w:tabs>
                      <w:tab w:val="left" w:pos="6840"/>
                    </w:tabs>
                    <w:spacing w:line="270" w:lineRule="exact"/>
                    <w:jc w:val="center"/>
                    <w:rPr>
                      <w:color w:val="auto"/>
                      <w:sz w:val="21"/>
                      <w:szCs w:val="21"/>
                    </w:rPr>
                  </w:pPr>
                </w:p>
              </w:tc>
              <w:tc>
                <w:tcPr>
                  <w:tcW w:w="278" w:type="pct"/>
                  <w:vMerge w:val="continue"/>
                  <w:vAlign w:val="center"/>
                </w:tcPr>
                <w:p w14:paraId="5DD9E239">
                  <w:pPr>
                    <w:tabs>
                      <w:tab w:val="left" w:pos="6840"/>
                    </w:tabs>
                    <w:spacing w:line="270" w:lineRule="exact"/>
                    <w:jc w:val="center"/>
                    <w:rPr>
                      <w:color w:val="auto"/>
                      <w:sz w:val="21"/>
                      <w:szCs w:val="21"/>
                    </w:rPr>
                  </w:pPr>
                </w:p>
              </w:tc>
              <w:tc>
                <w:tcPr>
                  <w:tcW w:w="304" w:type="pct"/>
                  <w:vMerge w:val="continue"/>
                  <w:vAlign w:val="center"/>
                </w:tcPr>
                <w:p w14:paraId="222329D5">
                  <w:pPr>
                    <w:tabs>
                      <w:tab w:val="left" w:pos="6840"/>
                    </w:tabs>
                    <w:spacing w:line="270" w:lineRule="exact"/>
                    <w:jc w:val="center"/>
                    <w:rPr>
                      <w:color w:val="auto"/>
                      <w:sz w:val="21"/>
                      <w:szCs w:val="21"/>
                    </w:rPr>
                  </w:pPr>
                </w:p>
              </w:tc>
              <w:tc>
                <w:tcPr>
                  <w:tcW w:w="417" w:type="pct"/>
                  <w:vAlign w:val="center"/>
                </w:tcPr>
                <w:p w14:paraId="2B9A8D5A">
                  <w:pPr>
                    <w:tabs>
                      <w:tab w:val="left" w:pos="6840"/>
                    </w:tabs>
                    <w:spacing w:line="270" w:lineRule="exact"/>
                    <w:jc w:val="center"/>
                    <w:rPr>
                      <w:color w:val="auto"/>
                      <w:sz w:val="21"/>
                      <w:szCs w:val="21"/>
                    </w:rPr>
                  </w:pPr>
                  <w:r>
                    <w:rPr>
                      <w:color w:val="auto"/>
                      <w:sz w:val="21"/>
                      <w:szCs w:val="21"/>
                    </w:rPr>
                    <w:t>SS</w:t>
                  </w:r>
                </w:p>
              </w:tc>
              <w:tc>
                <w:tcPr>
                  <w:tcW w:w="631" w:type="pct"/>
                  <w:vAlign w:val="center"/>
                </w:tcPr>
                <w:p w14:paraId="0EA5D832">
                  <w:pPr>
                    <w:tabs>
                      <w:tab w:val="left" w:pos="6840"/>
                    </w:tabs>
                    <w:spacing w:line="270" w:lineRule="exact"/>
                    <w:jc w:val="center"/>
                    <w:rPr>
                      <w:color w:val="auto"/>
                      <w:sz w:val="21"/>
                      <w:szCs w:val="21"/>
                    </w:rPr>
                  </w:pPr>
                  <w:r>
                    <w:rPr>
                      <w:rFonts w:hint="eastAsia"/>
                      <w:color w:val="auto"/>
                      <w:sz w:val="21"/>
                      <w:szCs w:val="21"/>
                    </w:rPr>
                    <w:t>10</w:t>
                  </w:r>
                </w:p>
              </w:tc>
              <w:tc>
                <w:tcPr>
                  <w:tcW w:w="260" w:type="pct"/>
                  <w:vMerge w:val="continue"/>
                  <w:vAlign w:val="center"/>
                </w:tcPr>
                <w:p w14:paraId="76E215CC">
                  <w:pPr>
                    <w:tabs>
                      <w:tab w:val="left" w:pos="6840"/>
                    </w:tabs>
                    <w:spacing w:line="270" w:lineRule="exact"/>
                    <w:jc w:val="center"/>
                    <w:rPr>
                      <w:color w:val="auto"/>
                      <w:sz w:val="21"/>
                      <w:szCs w:val="21"/>
                    </w:rPr>
                  </w:pPr>
                </w:p>
              </w:tc>
            </w:tr>
            <w:tr w14:paraId="766EE3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continue"/>
                  <w:vAlign w:val="center"/>
                </w:tcPr>
                <w:p w14:paraId="6D18B36F">
                  <w:pPr>
                    <w:tabs>
                      <w:tab w:val="left" w:pos="6840"/>
                    </w:tabs>
                    <w:spacing w:line="270" w:lineRule="exact"/>
                    <w:jc w:val="center"/>
                    <w:rPr>
                      <w:color w:val="auto"/>
                      <w:sz w:val="21"/>
                      <w:szCs w:val="21"/>
                    </w:rPr>
                  </w:pPr>
                </w:p>
              </w:tc>
              <w:tc>
                <w:tcPr>
                  <w:tcW w:w="439" w:type="pct"/>
                  <w:vMerge w:val="continue"/>
                  <w:vAlign w:val="center"/>
                </w:tcPr>
                <w:p w14:paraId="168CB88C">
                  <w:pPr>
                    <w:tabs>
                      <w:tab w:val="left" w:pos="6840"/>
                    </w:tabs>
                    <w:spacing w:line="270" w:lineRule="exact"/>
                    <w:jc w:val="center"/>
                    <w:rPr>
                      <w:color w:val="auto"/>
                      <w:sz w:val="21"/>
                      <w:szCs w:val="21"/>
                    </w:rPr>
                  </w:pPr>
                </w:p>
              </w:tc>
              <w:tc>
                <w:tcPr>
                  <w:tcW w:w="751" w:type="pct"/>
                  <w:vMerge w:val="continue"/>
                  <w:vAlign w:val="center"/>
                </w:tcPr>
                <w:p w14:paraId="406B1FCF">
                  <w:pPr>
                    <w:tabs>
                      <w:tab w:val="left" w:pos="6840"/>
                    </w:tabs>
                    <w:spacing w:line="270" w:lineRule="exact"/>
                    <w:jc w:val="center"/>
                    <w:rPr>
                      <w:color w:val="auto"/>
                      <w:sz w:val="21"/>
                      <w:szCs w:val="21"/>
                    </w:rPr>
                  </w:pPr>
                </w:p>
              </w:tc>
              <w:tc>
                <w:tcPr>
                  <w:tcW w:w="749" w:type="pct"/>
                  <w:vMerge w:val="continue"/>
                  <w:vAlign w:val="center"/>
                </w:tcPr>
                <w:p w14:paraId="10900C58">
                  <w:pPr>
                    <w:tabs>
                      <w:tab w:val="left" w:pos="6840"/>
                    </w:tabs>
                    <w:spacing w:line="270" w:lineRule="exact"/>
                    <w:jc w:val="center"/>
                    <w:rPr>
                      <w:color w:val="auto"/>
                      <w:sz w:val="21"/>
                      <w:szCs w:val="21"/>
                    </w:rPr>
                  </w:pPr>
                </w:p>
              </w:tc>
              <w:tc>
                <w:tcPr>
                  <w:tcW w:w="404" w:type="pct"/>
                  <w:vMerge w:val="continue"/>
                  <w:vAlign w:val="center"/>
                </w:tcPr>
                <w:p w14:paraId="0C8C533D">
                  <w:pPr>
                    <w:tabs>
                      <w:tab w:val="left" w:pos="6840"/>
                    </w:tabs>
                    <w:spacing w:line="270" w:lineRule="exact"/>
                    <w:jc w:val="center"/>
                    <w:rPr>
                      <w:color w:val="auto"/>
                      <w:sz w:val="21"/>
                      <w:szCs w:val="21"/>
                    </w:rPr>
                  </w:pPr>
                </w:p>
              </w:tc>
              <w:tc>
                <w:tcPr>
                  <w:tcW w:w="602" w:type="pct"/>
                  <w:vMerge w:val="continue"/>
                  <w:vAlign w:val="center"/>
                </w:tcPr>
                <w:p w14:paraId="23AB16FD">
                  <w:pPr>
                    <w:tabs>
                      <w:tab w:val="left" w:pos="6840"/>
                    </w:tabs>
                    <w:spacing w:line="270" w:lineRule="exact"/>
                    <w:jc w:val="center"/>
                    <w:rPr>
                      <w:color w:val="auto"/>
                      <w:sz w:val="21"/>
                      <w:szCs w:val="21"/>
                    </w:rPr>
                  </w:pPr>
                </w:p>
              </w:tc>
              <w:tc>
                <w:tcPr>
                  <w:tcW w:w="278" w:type="pct"/>
                  <w:vMerge w:val="continue"/>
                  <w:vAlign w:val="center"/>
                </w:tcPr>
                <w:p w14:paraId="142D39BA">
                  <w:pPr>
                    <w:tabs>
                      <w:tab w:val="left" w:pos="6840"/>
                    </w:tabs>
                    <w:spacing w:line="270" w:lineRule="exact"/>
                    <w:jc w:val="center"/>
                    <w:rPr>
                      <w:color w:val="auto"/>
                      <w:sz w:val="21"/>
                      <w:szCs w:val="21"/>
                    </w:rPr>
                  </w:pPr>
                </w:p>
              </w:tc>
              <w:tc>
                <w:tcPr>
                  <w:tcW w:w="304" w:type="pct"/>
                  <w:vMerge w:val="continue"/>
                  <w:vAlign w:val="center"/>
                </w:tcPr>
                <w:p w14:paraId="5E2DE83E">
                  <w:pPr>
                    <w:tabs>
                      <w:tab w:val="left" w:pos="6840"/>
                    </w:tabs>
                    <w:spacing w:line="270" w:lineRule="exact"/>
                    <w:jc w:val="center"/>
                    <w:rPr>
                      <w:color w:val="auto"/>
                      <w:sz w:val="21"/>
                      <w:szCs w:val="21"/>
                    </w:rPr>
                  </w:pPr>
                </w:p>
              </w:tc>
              <w:tc>
                <w:tcPr>
                  <w:tcW w:w="417" w:type="pct"/>
                  <w:vAlign w:val="center"/>
                </w:tcPr>
                <w:p w14:paraId="418E85CE">
                  <w:pPr>
                    <w:tabs>
                      <w:tab w:val="left" w:pos="6840"/>
                    </w:tabs>
                    <w:spacing w:line="270" w:lineRule="exact"/>
                    <w:jc w:val="center"/>
                    <w:rPr>
                      <w:color w:val="auto"/>
                      <w:sz w:val="21"/>
                      <w:szCs w:val="21"/>
                    </w:rPr>
                  </w:pPr>
                  <w:r>
                    <w:rPr>
                      <w:color w:val="auto"/>
                      <w:sz w:val="21"/>
                      <w:szCs w:val="21"/>
                    </w:rPr>
                    <w:t>NH</w:t>
                  </w:r>
                  <w:r>
                    <w:rPr>
                      <w:color w:val="auto"/>
                      <w:sz w:val="21"/>
                      <w:szCs w:val="21"/>
                      <w:vertAlign w:val="subscript"/>
                    </w:rPr>
                    <w:t>3</w:t>
                  </w:r>
                  <w:r>
                    <w:rPr>
                      <w:color w:val="auto"/>
                      <w:sz w:val="21"/>
                      <w:szCs w:val="21"/>
                    </w:rPr>
                    <w:t>-N</w:t>
                  </w:r>
                </w:p>
              </w:tc>
              <w:tc>
                <w:tcPr>
                  <w:tcW w:w="631" w:type="pct"/>
                  <w:vAlign w:val="center"/>
                </w:tcPr>
                <w:p w14:paraId="68693CF2">
                  <w:pPr>
                    <w:tabs>
                      <w:tab w:val="left" w:pos="6840"/>
                    </w:tabs>
                    <w:spacing w:line="270" w:lineRule="exact"/>
                    <w:jc w:val="center"/>
                    <w:rPr>
                      <w:color w:val="auto"/>
                      <w:sz w:val="21"/>
                      <w:szCs w:val="21"/>
                    </w:rPr>
                  </w:pPr>
                  <w:r>
                    <w:rPr>
                      <w:rFonts w:hint="eastAsia"/>
                      <w:color w:val="auto"/>
                      <w:sz w:val="21"/>
                      <w:szCs w:val="21"/>
                    </w:rPr>
                    <w:t>4</w:t>
                  </w:r>
                </w:p>
              </w:tc>
              <w:tc>
                <w:tcPr>
                  <w:tcW w:w="260" w:type="pct"/>
                  <w:vMerge w:val="continue"/>
                  <w:vAlign w:val="center"/>
                </w:tcPr>
                <w:p w14:paraId="39ACEE69">
                  <w:pPr>
                    <w:tabs>
                      <w:tab w:val="left" w:pos="6840"/>
                    </w:tabs>
                    <w:spacing w:line="270" w:lineRule="exact"/>
                    <w:jc w:val="center"/>
                    <w:rPr>
                      <w:color w:val="auto"/>
                      <w:sz w:val="21"/>
                      <w:szCs w:val="21"/>
                    </w:rPr>
                  </w:pPr>
                </w:p>
              </w:tc>
            </w:tr>
            <w:tr w14:paraId="6DF02C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continue"/>
                  <w:vAlign w:val="center"/>
                </w:tcPr>
                <w:p w14:paraId="233E4F40">
                  <w:pPr>
                    <w:tabs>
                      <w:tab w:val="left" w:pos="6840"/>
                    </w:tabs>
                    <w:spacing w:line="270" w:lineRule="exact"/>
                    <w:jc w:val="center"/>
                    <w:rPr>
                      <w:color w:val="auto"/>
                      <w:sz w:val="21"/>
                      <w:szCs w:val="21"/>
                    </w:rPr>
                  </w:pPr>
                </w:p>
              </w:tc>
              <w:tc>
                <w:tcPr>
                  <w:tcW w:w="439" w:type="pct"/>
                  <w:vMerge w:val="continue"/>
                  <w:vAlign w:val="center"/>
                </w:tcPr>
                <w:p w14:paraId="12D6A8EF">
                  <w:pPr>
                    <w:tabs>
                      <w:tab w:val="left" w:pos="6840"/>
                    </w:tabs>
                    <w:spacing w:line="270" w:lineRule="exact"/>
                    <w:jc w:val="center"/>
                    <w:rPr>
                      <w:color w:val="auto"/>
                      <w:sz w:val="21"/>
                      <w:szCs w:val="21"/>
                    </w:rPr>
                  </w:pPr>
                </w:p>
              </w:tc>
              <w:tc>
                <w:tcPr>
                  <w:tcW w:w="751" w:type="pct"/>
                  <w:vMerge w:val="continue"/>
                  <w:vAlign w:val="center"/>
                </w:tcPr>
                <w:p w14:paraId="74C3B003">
                  <w:pPr>
                    <w:tabs>
                      <w:tab w:val="left" w:pos="6840"/>
                    </w:tabs>
                    <w:spacing w:line="270" w:lineRule="exact"/>
                    <w:jc w:val="center"/>
                    <w:rPr>
                      <w:color w:val="auto"/>
                      <w:sz w:val="21"/>
                      <w:szCs w:val="21"/>
                    </w:rPr>
                  </w:pPr>
                </w:p>
              </w:tc>
              <w:tc>
                <w:tcPr>
                  <w:tcW w:w="749" w:type="pct"/>
                  <w:vMerge w:val="continue"/>
                  <w:vAlign w:val="center"/>
                </w:tcPr>
                <w:p w14:paraId="69864743">
                  <w:pPr>
                    <w:tabs>
                      <w:tab w:val="left" w:pos="6840"/>
                    </w:tabs>
                    <w:spacing w:line="270" w:lineRule="exact"/>
                    <w:jc w:val="center"/>
                    <w:rPr>
                      <w:color w:val="auto"/>
                      <w:sz w:val="21"/>
                      <w:szCs w:val="21"/>
                    </w:rPr>
                  </w:pPr>
                </w:p>
              </w:tc>
              <w:tc>
                <w:tcPr>
                  <w:tcW w:w="404" w:type="pct"/>
                  <w:vMerge w:val="continue"/>
                  <w:vAlign w:val="center"/>
                </w:tcPr>
                <w:p w14:paraId="273FD6CA">
                  <w:pPr>
                    <w:tabs>
                      <w:tab w:val="left" w:pos="6840"/>
                    </w:tabs>
                    <w:spacing w:line="270" w:lineRule="exact"/>
                    <w:jc w:val="center"/>
                    <w:rPr>
                      <w:color w:val="auto"/>
                      <w:sz w:val="21"/>
                      <w:szCs w:val="21"/>
                    </w:rPr>
                  </w:pPr>
                </w:p>
              </w:tc>
              <w:tc>
                <w:tcPr>
                  <w:tcW w:w="602" w:type="pct"/>
                  <w:vMerge w:val="continue"/>
                  <w:vAlign w:val="center"/>
                </w:tcPr>
                <w:p w14:paraId="03663BAD">
                  <w:pPr>
                    <w:tabs>
                      <w:tab w:val="left" w:pos="6840"/>
                    </w:tabs>
                    <w:spacing w:line="270" w:lineRule="exact"/>
                    <w:jc w:val="center"/>
                    <w:rPr>
                      <w:color w:val="auto"/>
                      <w:sz w:val="21"/>
                      <w:szCs w:val="21"/>
                    </w:rPr>
                  </w:pPr>
                </w:p>
              </w:tc>
              <w:tc>
                <w:tcPr>
                  <w:tcW w:w="278" w:type="pct"/>
                  <w:vMerge w:val="continue"/>
                  <w:vAlign w:val="center"/>
                </w:tcPr>
                <w:p w14:paraId="7D0706EE">
                  <w:pPr>
                    <w:tabs>
                      <w:tab w:val="left" w:pos="6840"/>
                    </w:tabs>
                    <w:spacing w:line="270" w:lineRule="exact"/>
                    <w:jc w:val="center"/>
                    <w:rPr>
                      <w:color w:val="auto"/>
                      <w:sz w:val="21"/>
                      <w:szCs w:val="21"/>
                    </w:rPr>
                  </w:pPr>
                </w:p>
              </w:tc>
              <w:tc>
                <w:tcPr>
                  <w:tcW w:w="304" w:type="pct"/>
                  <w:vMerge w:val="continue"/>
                  <w:vAlign w:val="center"/>
                </w:tcPr>
                <w:p w14:paraId="4B50DE30">
                  <w:pPr>
                    <w:tabs>
                      <w:tab w:val="left" w:pos="6840"/>
                    </w:tabs>
                    <w:spacing w:line="270" w:lineRule="exact"/>
                    <w:jc w:val="center"/>
                    <w:rPr>
                      <w:color w:val="auto"/>
                      <w:sz w:val="21"/>
                      <w:szCs w:val="21"/>
                    </w:rPr>
                  </w:pPr>
                </w:p>
              </w:tc>
              <w:tc>
                <w:tcPr>
                  <w:tcW w:w="417" w:type="pct"/>
                  <w:vAlign w:val="center"/>
                </w:tcPr>
                <w:p w14:paraId="0C67708A">
                  <w:pPr>
                    <w:tabs>
                      <w:tab w:val="left" w:pos="6840"/>
                    </w:tabs>
                    <w:spacing w:line="270" w:lineRule="exact"/>
                    <w:jc w:val="center"/>
                    <w:rPr>
                      <w:color w:val="auto"/>
                      <w:sz w:val="21"/>
                      <w:szCs w:val="21"/>
                    </w:rPr>
                  </w:pPr>
                  <w:r>
                    <w:rPr>
                      <w:color w:val="auto"/>
                      <w:sz w:val="21"/>
                      <w:szCs w:val="21"/>
                    </w:rPr>
                    <w:t>TP</w:t>
                  </w:r>
                </w:p>
              </w:tc>
              <w:tc>
                <w:tcPr>
                  <w:tcW w:w="631" w:type="pct"/>
                  <w:vAlign w:val="center"/>
                </w:tcPr>
                <w:p w14:paraId="123FF23D">
                  <w:pPr>
                    <w:tabs>
                      <w:tab w:val="left" w:pos="6840"/>
                    </w:tabs>
                    <w:spacing w:line="270" w:lineRule="exact"/>
                    <w:jc w:val="center"/>
                    <w:rPr>
                      <w:color w:val="auto"/>
                      <w:sz w:val="21"/>
                      <w:szCs w:val="21"/>
                    </w:rPr>
                  </w:pPr>
                  <w:r>
                    <w:rPr>
                      <w:rFonts w:hint="eastAsia"/>
                      <w:color w:val="auto"/>
                      <w:sz w:val="21"/>
                      <w:szCs w:val="21"/>
                    </w:rPr>
                    <w:t>0.5</w:t>
                  </w:r>
                </w:p>
              </w:tc>
              <w:tc>
                <w:tcPr>
                  <w:tcW w:w="260" w:type="pct"/>
                  <w:vMerge w:val="continue"/>
                  <w:vAlign w:val="center"/>
                </w:tcPr>
                <w:p w14:paraId="74A3D2A4">
                  <w:pPr>
                    <w:tabs>
                      <w:tab w:val="left" w:pos="6840"/>
                    </w:tabs>
                    <w:spacing w:line="270" w:lineRule="exact"/>
                    <w:jc w:val="center"/>
                    <w:rPr>
                      <w:color w:val="auto"/>
                      <w:sz w:val="21"/>
                      <w:szCs w:val="21"/>
                    </w:rPr>
                  </w:pPr>
                </w:p>
              </w:tc>
            </w:tr>
            <w:tr w14:paraId="1C2403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1" w:type="pct"/>
                  <w:vMerge w:val="continue"/>
                  <w:vAlign w:val="center"/>
                </w:tcPr>
                <w:p w14:paraId="2A39C0C7">
                  <w:pPr>
                    <w:tabs>
                      <w:tab w:val="left" w:pos="6840"/>
                    </w:tabs>
                    <w:spacing w:line="270" w:lineRule="exact"/>
                    <w:jc w:val="center"/>
                    <w:rPr>
                      <w:color w:val="auto"/>
                      <w:sz w:val="21"/>
                      <w:szCs w:val="21"/>
                    </w:rPr>
                  </w:pPr>
                </w:p>
              </w:tc>
              <w:tc>
                <w:tcPr>
                  <w:tcW w:w="439" w:type="pct"/>
                  <w:vMerge w:val="continue"/>
                  <w:vAlign w:val="center"/>
                </w:tcPr>
                <w:p w14:paraId="1F3535A9">
                  <w:pPr>
                    <w:tabs>
                      <w:tab w:val="left" w:pos="6840"/>
                    </w:tabs>
                    <w:spacing w:line="270" w:lineRule="exact"/>
                    <w:jc w:val="center"/>
                    <w:rPr>
                      <w:color w:val="auto"/>
                      <w:sz w:val="21"/>
                      <w:szCs w:val="21"/>
                    </w:rPr>
                  </w:pPr>
                </w:p>
              </w:tc>
              <w:tc>
                <w:tcPr>
                  <w:tcW w:w="751" w:type="pct"/>
                  <w:vMerge w:val="continue"/>
                  <w:vAlign w:val="center"/>
                </w:tcPr>
                <w:p w14:paraId="73C89FFD">
                  <w:pPr>
                    <w:tabs>
                      <w:tab w:val="left" w:pos="6840"/>
                    </w:tabs>
                    <w:spacing w:line="270" w:lineRule="exact"/>
                    <w:jc w:val="center"/>
                    <w:rPr>
                      <w:color w:val="auto"/>
                      <w:sz w:val="21"/>
                      <w:szCs w:val="21"/>
                    </w:rPr>
                  </w:pPr>
                </w:p>
              </w:tc>
              <w:tc>
                <w:tcPr>
                  <w:tcW w:w="749" w:type="pct"/>
                  <w:vMerge w:val="continue"/>
                  <w:vAlign w:val="center"/>
                </w:tcPr>
                <w:p w14:paraId="72860E6E">
                  <w:pPr>
                    <w:tabs>
                      <w:tab w:val="left" w:pos="6840"/>
                    </w:tabs>
                    <w:spacing w:line="270" w:lineRule="exact"/>
                    <w:jc w:val="center"/>
                    <w:rPr>
                      <w:color w:val="auto"/>
                      <w:sz w:val="21"/>
                      <w:szCs w:val="21"/>
                    </w:rPr>
                  </w:pPr>
                </w:p>
              </w:tc>
              <w:tc>
                <w:tcPr>
                  <w:tcW w:w="404" w:type="pct"/>
                  <w:vMerge w:val="continue"/>
                  <w:vAlign w:val="center"/>
                </w:tcPr>
                <w:p w14:paraId="1AB1AEC1">
                  <w:pPr>
                    <w:tabs>
                      <w:tab w:val="left" w:pos="6840"/>
                    </w:tabs>
                    <w:spacing w:line="270" w:lineRule="exact"/>
                    <w:jc w:val="center"/>
                    <w:rPr>
                      <w:color w:val="auto"/>
                      <w:sz w:val="21"/>
                      <w:szCs w:val="21"/>
                    </w:rPr>
                  </w:pPr>
                </w:p>
              </w:tc>
              <w:tc>
                <w:tcPr>
                  <w:tcW w:w="602" w:type="pct"/>
                  <w:vMerge w:val="continue"/>
                  <w:vAlign w:val="center"/>
                </w:tcPr>
                <w:p w14:paraId="546EF92C">
                  <w:pPr>
                    <w:tabs>
                      <w:tab w:val="left" w:pos="6840"/>
                    </w:tabs>
                    <w:spacing w:line="270" w:lineRule="exact"/>
                    <w:jc w:val="center"/>
                    <w:rPr>
                      <w:color w:val="auto"/>
                      <w:sz w:val="21"/>
                      <w:szCs w:val="21"/>
                    </w:rPr>
                  </w:pPr>
                </w:p>
              </w:tc>
              <w:tc>
                <w:tcPr>
                  <w:tcW w:w="278" w:type="pct"/>
                  <w:vMerge w:val="continue"/>
                  <w:vAlign w:val="center"/>
                </w:tcPr>
                <w:p w14:paraId="753F708F">
                  <w:pPr>
                    <w:tabs>
                      <w:tab w:val="left" w:pos="6840"/>
                    </w:tabs>
                    <w:spacing w:line="270" w:lineRule="exact"/>
                    <w:jc w:val="center"/>
                    <w:rPr>
                      <w:color w:val="auto"/>
                      <w:sz w:val="21"/>
                      <w:szCs w:val="21"/>
                    </w:rPr>
                  </w:pPr>
                </w:p>
              </w:tc>
              <w:tc>
                <w:tcPr>
                  <w:tcW w:w="304" w:type="pct"/>
                  <w:vMerge w:val="continue"/>
                  <w:vAlign w:val="center"/>
                </w:tcPr>
                <w:p w14:paraId="2D03300D">
                  <w:pPr>
                    <w:tabs>
                      <w:tab w:val="left" w:pos="6840"/>
                    </w:tabs>
                    <w:spacing w:line="270" w:lineRule="exact"/>
                    <w:jc w:val="center"/>
                    <w:rPr>
                      <w:color w:val="auto"/>
                      <w:sz w:val="21"/>
                      <w:szCs w:val="21"/>
                    </w:rPr>
                  </w:pPr>
                </w:p>
              </w:tc>
              <w:tc>
                <w:tcPr>
                  <w:tcW w:w="417" w:type="pct"/>
                  <w:vAlign w:val="center"/>
                </w:tcPr>
                <w:p w14:paraId="6C2ABD0C">
                  <w:pPr>
                    <w:tabs>
                      <w:tab w:val="left" w:pos="6840"/>
                    </w:tabs>
                    <w:spacing w:line="270" w:lineRule="exact"/>
                    <w:jc w:val="center"/>
                    <w:rPr>
                      <w:color w:val="auto"/>
                      <w:sz w:val="21"/>
                      <w:szCs w:val="21"/>
                    </w:rPr>
                  </w:pPr>
                  <w:r>
                    <w:rPr>
                      <w:color w:val="auto"/>
                      <w:sz w:val="21"/>
                      <w:szCs w:val="21"/>
                    </w:rPr>
                    <w:t>TN</w:t>
                  </w:r>
                </w:p>
              </w:tc>
              <w:tc>
                <w:tcPr>
                  <w:tcW w:w="631" w:type="pct"/>
                  <w:vAlign w:val="center"/>
                </w:tcPr>
                <w:p w14:paraId="4D457C9F">
                  <w:pPr>
                    <w:tabs>
                      <w:tab w:val="left" w:pos="6840"/>
                    </w:tabs>
                    <w:spacing w:line="270" w:lineRule="exact"/>
                    <w:jc w:val="center"/>
                    <w:rPr>
                      <w:color w:val="auto"/>
                      <w:sz w:val="21"/>
                      <w:szCs w:val="21"/>
                    </w:rPr>
                  </w:pPr>
                  <w:r>
                    <w:rPr>
                      <w:rFonts w:hint="eastAsia"/>
                      <w:color w:val="auto"/>
                      <w:sz w:val="21"/>
                      <w:szCs w:val="21"/>
                    </w:rPr>
                    <w:t>12</w:t>
                  </w:r>
                </w:p>
              </w:tc>
              <w:tc>
                <w:tcPr>
                  <w:tcW w:w="260" w:type="pct"/>
                  <w:vMerge w:val="continue"/>
                  <w:vAlign w:val="center"/>
                </w:tcPr>
                <w:p w14:paraId="66F49DB6">
                  <w:pPr>
                    <w:tabs>
                      <w:tab w:val="left" w:pos="6840"/>
                    </w:tabs>
                    <w:spacing w:line="270" w:lineRule="exact"/>
                    <w:jc w:val="center"/>
                    <w:rPr>
                      <w:color w:val="auto"/>
                      <w:sz w:val="21"/>
                      <w:szCs w:val="21"/>
                    </w:rPr>
                  </w:pPr>
                </w:p>
              </w:tc>
            </w:tr>
          </w:tbl>
          <w:p w14:paraId="21055137">
            <w:pPr>
              <w:spacing w:before="120" w:beforeLines="50"/>
              <w:ind w:firstLine="422" w:firstLineChars="200"/>
              <w:jc w:val="center"/>
              <w:rPr>
                <w:b/>
                <w:bCs/>
                <w:color w:val="auto"/>
                <w:kern w:val="0"/>
                <w:sz w:val="21"/>
                <w:szCs w:val="21"/>
              </w:rPr>
            </w:pPr>
            <w:r>
              <w:rPr>
                <w:b/>
                <w:bCs/>
                <w:color w:val="auto"/>
                <w:kern w:val="0"/>
                <w:sz w:val="21"/>
                <w:szCs w:val="21"/>
              </w:rPr>
              <w:t>表4-</w:t>
            </w:r>
            <w:r>
              <w:rPr>
                <w:rFonts w:hint="eastAsia"/>
                <w:b/>
                <w:bCs/>
                <w:color w:val="auto"/>
                <w:kern w:val="0"/>
                <w:sz w:val="21"/>
                <w:szCs w:val="21"/>
              </w:rPr>
              <w:t>1</w:t>
            </w:r>
            <w:r>
              <w:rPr>
                <w:rFonts w:hint="eastAsia"/>
                <w:b/>
                <w:bCs/>
                <w:color w:val="auto"/>
                <w:kern w:val="0"/>
                <w:sz w:val="21"/>
                <w:szCs w:val="21"/>
                <w:lang w:val="en-US" w:eastAsia="zh-CN"/>
              </w:rPr>
              <w:t>2</w:t>
            </w:r>
            <w:r>
              <w:rPr>
                <w:b/>
                <w:bCs/>
                <w:color w:val="auto"/>
                <w:kern w:val="0"/>
                <w:sz w:val="21"/>
                <w:szCs w:val="21"/>
              </w:rPr>
              <w:t>废水污染物排放执行标准表</w:t>
            </w:r>
          </w:p>
          <w:tbl>
            <w:tblPr>
              <w:tblStyle w:val="31"/>
              <w:tblW w:w="4998" w:type="pct"/>
              <w:tblInd w:w="5" w:type="dxa"/>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66"/>
              <w:gridCol w:w="842"/>
              <w:gridCol w:w="1251"/>
              <w:gridCol w:w="3373"/>
              <w:gridCol w:w="1382"/>
              <w:gridCol w:w="692"/>
            </w:tblGrid>
            <w:tr w14:paraId="5928AB7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restart"/>
                  <w:tcBorders>
                    <w:tl2br w:val="nil"/>
                    <w:tr2bl w:val="nil"/>
                  </w:tcBorders>
                  <w:vAlign w:val="center"/>
                </w:tcPr>
                <w:p w14:paraId="13F7E96E">
                  <w:pPr>
                    <w:jc w:val="center"/>
                    <w:rPr>
                      <w:b/>
                      <w:bCs/>
                      <w:color w:val="auto"/>
                      <w:kern w:val="0"/>
                      <w:sz w:val="21"/>
                      <w:szCs w:val="21"/>
                    </w:rPr>
                  </w:pPr>
                  <w:r>
                    <w:rPr>
                      <w:b/>
                      <w:bCs/>
                      <w:color w:val="auto"/>
                      <w:kern w:val="0"/>
                      <w:sz w:val="21"/>
                      <w:szCs w:val="21"/>
                    </w:rPr>
                    <w:t>序号</w:t>
                  </w:r>
                </w:p>
              </w:tc>
              <w:tc>
                <w:tcPr>
                  <w:tcW w:w="513" w:type="pct"/>
                  <w:vMerge w:val="restart"/>
                  <w:tcBorders>
                    <w:tl2br w:val="nil"/>
                    <w:tr2bl w:val="nil"/>
                  </w:tcBorders>
                  <w:vAlign w:val="center"/>
                </w:tcPr>
                <w:p w14:paraId="332C8574">
                  <w:pPr>
                    <w:jc w:val="center"/>
                    <w:rPr>
                      <w:b/>
                      <w:bCs/>
                      <w:color w:val="auto"/>
                      <w:kern w:val="0"/>
                      <w:sz w:val="21"/>
                      <w:szCs w:val="21"/>
                    </w:rPr>
                  </w:pPr>
                  <w:r>
                    <w:rPr>
                      <w:b/>
                      <w:bCs/>
                      <w:color w:val="auto"/>
                      <w:kern w:val="0"/>
                      <w:sz w:val="21"/>
                      <w:szCs w:val="21"/>
                    </w:rPr>
                    <w:t>排放口编号</w:t>
                  </w:r>
                </w:p>
              </w:tc>
              <w:tc>
                <w:tcPr>
                  <w:tcW w:w="762" w:type="pct"/>
                  <w:vMerge w:val="restart"/>
                  <w:tcBorders>
                    <w:tl2br w:val="nil"/>
                    <w:tr2bl w:val="nil"/>
                  </w:tcBorders>
                  <w:vAlign w:val="center"/>
                </w:tcPr>
                <w:p w14:paraId="33375306">
                  <w:pPr>
                    <w:jc w:val="center"/>
                    <w:rPr>
                      <w:b/>
                      <w:bCs/>
                      <w:color w:val="auto"/>
                      <w:kern w:val="0"/>
                      <w:sz w:val="21"/>
                      <w:szCs w:val="21"/>
                    </w:rPr>
                  </w:pPr>
                </w:p>
                <w:p w14:paraId="27742705">
                  <w:pPr>
                    <w:jc w:val="center"/>
                    <w:rPr>
                      <w:b/>
                      <w:bCs/>
                      <w:color w:val="auto"/>
                      <w:kern w:val="0"/>
                      <w:sz w:val="21"/>
                      <w:szCs w:val="21"/>
                    </w:rPr>
                  </w:pPr>
                  <w:r>
                    <w:rPr>
                      <w:b/>
                      <w:bCs/>
                      <w:color w:val="auto"/>
                      <w:kern w:val="0"/>
                      <w:sz w:val="21"/>
                      <w:szCs w:val="21"/>
                    </w:rPr>
                    <w:t>污染物种类</w:t>
                  </w:r>
                </w:p>
              </w:tc>
              <w:tc>
                <w:tcPr>
                  <w:tcW w:w="3318" w:type="pct"/>
                  <w:gridSpan w:val="3"/>
                  <w:tcBorders>
                    <w:tl2br w:val="nil"/>
                    <w:tr2bl w:val="nil"/>
                  </w:tcBorders>
                  <w:vAlign w:val="center"/>
                </w:tcPr>
                <w:p w14:paraId="621295D9">
                  <w:pPr>
                    <w:jc w:val="center"/>
                    <w:rPr>
                      <w:b/>
                      <w:bCs/>
                      <w:color w:val="auto"/>
                      <w:kern w:val="0"/>
                      <w:sz w:val="21"/>
                      <w:szCs w:val="21"/>
                    </w:rPr>
                  </w:pPr>
                  <w:r>
                    <w:rPr>
                      <w:b/>
                      <w:bCs/>
                      <w:color w:val="auto"/>
                      <w:kern w:val="0"/>
                      <w:sz w:val="21"/>
                      <w:szCs w:val="21"/>
                    </w:rPr>
                    <w:t>国家或地方排放标准及其他按规定商议的排放协议</w:t>
                  </w:r>
                </w:p>
              </w:tc>
            </w:tr>
            <w:tr w14:paraId="4E62CE8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76B72263">
                  <w:pPr>
                    <w:jc w:val="center"/>
                    <w:rPr>
                      <w:b/>
                      <w:bCs/>
                      <w:color w:val="auto"/>
                      <w:kern w:val="0"/>
                      <w:sz w:val="21"/>
                      <w:szCs w:val="21"/>
                    </w:rPr>
                  </w:pPr>
                </w:p>
              </w:tc>
              <w:tc>
                <w:tcPr>
                  <w:tcW w:w="513" w:type="pct"/>
                  <w:vMerge w:val="continue"/>
                  <w:tcBorders>
                    <w:tl2br w:val="nil"/>
                    <w:tr2bl w:val="nil"/>
                  </w:tcBorders>
                  <w:vAlign w:val="center"/>
                </w:tcPr>
                <w:p w14:paraId="24737C28">
                  <w:pPr>
                    <w:jc w:val="center"/>
                    <w:rPr>
                      <w:b/>
                      <w:bCs/>
                      <w:color w:val="auto"/>
                      <w:kern w:val="0"/>
                      <w:sz w:val="21"/>
                      <w:szCs w:val="21"/>
                    </w:rPr>
                  </w:pPr>
                </w:p>
              </w:tc>
              <w:tc>
                <w:tcPr>
                  <w:tcW w:w="762" w:type="pct"/>
                  <w:vMerge w:val="continue"/>
                  <w:tcBorders>
                    <w:tl2br w:val="nil"/>
                    <w:tr2bl w:val="nil"/>
                  </w:tcBorders>
                  <w:vAlign w:val="center"/>
                </w:tcPr>
                <w:p w14:paraId="2A1E76AB">
                  <w:pPr>
                    <w:jc w:val="center"/>
                    <w:rPr>
                      <w:b/>
                      <w:bCs/>
                      <w:color w:val="auto"/>
                      <w:kern w:val="0"/>
                      <w:sz w:val="21"/>
                      <w:szCs w:val="21"/>
                    </w:rPr>
                  </w:pPr>
                </w:p>
              </w:tc>
              <w:tc>
                <w:tcPr>
                  <w:tcW w:w="2055" w:type="pct"/>
                  <w:tcBorders>
                    <w:tl2br w:val="nil"/>
                    <w:tr2bl w:val="nil"/>
                  </w:tcBorders>
                  <w:vAlign w:val="center"/>
                </w:tcPr>
                <w:p w14:paraId="4549922F">
                  <w:pPr>
                    <w:jc w:val="center"/>
                    <w:rPr>
                      <w:b/>
                      <w:bCs/>
                      <w:color w:val="auto"/>
                      <w:kern w:val="0"/>
                      <w:sz w:val="21"/>
                      <w:szCs w:val="21"/>
                    </w:rPr>
                  </w:pPr>
                  <w:r>
                    <w:rPr>
                      <w:b/>
                      <w:bCs/>
                      <w:color w:val="auto"/>
                      <w:kern w:val="0"/>
                      <w:sz w:val="21"/>
                      <w:szCs w:val="21"/>
                    </w:rPr>
                    <w:t>名称</w:t>
                  </w:r>
                </w:p>
              </w:tc>
              <w:tc>
                <w:tcPr>
                  <w:tcW w:w="1263" w:type="pct"/>
                  <w:gridSpan w:val="2"/>
                  <w:tcBorders>
                    <w:tl2br w:val="nil"/>
                    <w:tr2bl w:val="nil"/>
                  </w:tcBorders>
                  <w:vAlign w:val="center"/>
                </w:tcPr>
                <w:p w14:paraId="1E0958A1">
                  <w:pPr>
                    <w:jc w:val="center"/>
                    <w:rPr>
                      <w:b/>
                      <w:bCs/>
                      <w:color w:val="auto"/>
                      <w:kern w:val="0"/>
                      <w:sz w:val="21"/>
                      <w:szCs w:val="21"/>
                    </w:rPr>
                  </w:pPr>
                  <w:r>
                    <w:rPr>
                      <w:b/>
                      <w:bCs/>
                      <w:color w:val="auto"/>
                      <w:kern w:val="0"/>
                      <w:sz w:val="21"/>
                      <w:szCs w:val="21"/>
                    </w:rPr>
                    <w:t>浓度限值（mg/L）</w:t>
                  </w:r>
                </w:p>
              </w:tc>
            </w:tr>
            <w:tr w14:paraId="4A550D8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restart"/>
                  <w:tcBorders>
                    <w:tl2br w:val="nil"/>
                    <w:tr2bl w:val="nil"/>
                  </w:tcBorders>
                  <w:vAlign w:val="center"/>
                </w:tcPr>
                <w:p w14:paraId="0DC1B98D">
                  <w:pPr>
                    <w:jc w:val="center"/>
                    <w:rPr>
                      <w:color w:val="auto"/>
                      <w:kern w:val="0"/>
                      <w:sz w:val="21"/>
                      <w:szCs w:val="21"/>
                    </w:rPr>
                  </w:pPr>
                  <w:r>
                    <w:rPr>
                      <w:color w:val="auto"/>
                      <w:kern w:val="0"/>
                      <w:sz w:val="21"/>
                      <w:szCs w:val="21"/>
                    </w:rPr>
                    <w:t>1</w:t>
                  </w:r>
                </w:p>
              </w:tc>
              <w:tc>
                <w:tcPr>
                  <w:tcW w:w="513" w:type="pct"/>
                  <w:vMerge w:val="restart"/>
                  <w:tcBorders>
                    <w:tl2br w:val="nil"/>
                    <w:tr2bl w:val="nil"/>
                  </w:tcBorders>
                  <w:vAlign w:val="center"/>
                </w:tcPr>
                <w:p w14:paraId="4A13C205">
                  <w:pPr>
                    <w:jc w:val="center"/>
                    <w:rPr>
                      <w:color w:val="auto"/>
                      <w:kern w:val="0"/>
                      <w:sz w:val="21"/>
                      <w:szCs w:val="21"/>
                    </w:rPr>
                  </w:pPr>
                  <w:r>
                    <w:rPr>
                      <w:color w:val="auto"/>
                      <w:kern w:val="0"/>
                      <w:sz w:val="21"/>
                      <w:szCs w:val="21"/>
                    </w:rPr>
                    <w:t>DW</w:t>
                  </w:r>
                  <w:r>
                    <w:rPr>
                      <w:rFonts w:hint="eastAsia"/>
                      <w:color w:val="auto"/>
                      <w:kern w:val="0"/>
                      <w:sz w:val="21"/>
                      <w:szCs w:val="21"/>
                    </w:rPr>
                    <w:t>0</w:t>
                  </w:r>
                  <w:r>
                    <w:rPr>
                      <w:color w:val="auto"/>
                      <w:kern w:val="0"/>
                      <w:sz w:val="21"/>
                      <w:szCs w:val="21"/>
                    </w:rPr>
                    <w:t>01</w:t>
                  </w:r>
                </w:p>
              </w:tc>
              <w:tc>
                <w:tcPr>
                  <w:tcW w:w="762" w:type="pct"/>
                  <w:vMerge w:val="restart"/>
                  <w:tcBorders>
                    <w:tl2br w:val="nil"/>
                    <w:tr2bl w:val="nil"/>
                  </w:tcBorders>
                  <w:vAlign w:val="center"/>
                </w:tcPr>
                <w:p w14:paraId="7D85241B">
                  <w:pPr>
                    <w:jc w:val="center"/>
                    <w:rPr>
                      <w:color w:val="auto"/>
                      <w:kern w:val="0"/>
                      <w:sz w:val="21"/>
                      <w:szCs w:val="21"/>
                    </w:rPr>
                  </w:pPr>
                  <w:r>
                    <w:rPr>
                      <w:rFonts w:hint="eastAsia"/>
                      <w:color w:val="auto"/>
                      <w:kern w:val="0"/>
                      <w:sz w:val="21"/>
                      <w:szCs w:val="21"/>
                    </w:rPr>
                    <w:t>pH、</w:t>
                  </w:r>
                  <w:r>
                    <w:rPr>
                      <w:color w:val="auto"/>
                      <w:kern w:val="0"/>
                      <w:sz w:val="21"/>
                      <w:szCs w:val="21"/>
                    </w:rPr>
                    <w:t>COD、SS、NH</w:t>
                  </w:r>
                  <w:r>
                    <w:rPr>
                      <w:color w:val="auto"/>
                      <w:kern w:val="0"/>
                      <w:sz w:val="21"/>
                      <w:szCs w:val="21"/>
                      <w:vertAlign w:val="subscript"/>
                    </w:rPr>
                    <w:t>3</w:t>
                  </w:r>
                  <w:r>
                    <w:rPr>
                      <w:color w:val="auto"/>
                      <w:kern w:val="0"/>
                      <w:sz w:val="21"/>
                      <w:szCs w:val="21"/>
                    </w:rPr>
                    <w:t>-N、TP、TN</w:t>
                  </w:r>
                </w:p>
              </w:tc>
              <w:tc>
                <w:tcPr>
                  <w:tcW w:w="2055" w:type="pct"/>
                  <w:vMerge w:val="restart"/>
                  <w:tcBorders>
                    <w:tl2br w:val="nil"/>
                    <w:tr2bl w:val="nil"/>
                  </w:tcBorders>
                  <w:vAlign w:val="center"/>
                </w:tcPr>
                <w:p w14:paraId="65FA8E3D">
                  <w:pPr>
                    <w:jc w:val="center"/>
                    <w:rPr>
                      <w:color w:val="auto"/>
                      <w:kern w:val="0"/>
                      <w:sz w:val="21"/>
                      <w:szCs w:val="21"/>
                    </w:rPr>
                  </w:pPr>
                  <w:r>
                    <w:rPr>
                      <w:rFonts w:hint="eastAsia"/>
                      <w:color w:val="auto"/>
                      <w:kern w:val="0"/>
                      <w:sz w:val="21"/>
                      <w:szCs w:val="21"/>
                      <w:lang w:eastAsia="zh-CN"/>
                    </w:rPr>
                    <w:t>常州市金坛区溪城污水处理有限公司</w:t>
                  </w:r>
                  <w:r>
                    <w:rPr>
                      <w:color w:val="auto"/>
                      <w:kern w:val="0"/>
                      <w:sz w:val="21"/>
                      <w:szCs w:val="21"/>
                    </w:rPr>
                    <w:t>接管标准</w:t>
                  </w:r>
                </w:p>
              </w:tc>
              <w:tc>
                <w:tcPr>
                  <w:tcW w:w="842" w:type="pct"/>
                  <w:tcBorders>
                    <w:tl2br w:val="nil"/>
                    <w:tr2bl w:val="nil"/>
                  </w:tcBorders>
                  <w:vAlign w:val="center"/>
                </w:tcPr>
                <w:p w14:paraId="3054F328">
                  <w:pPr>
                    <w:jc w:val="center"/>
                    <w:rPr>
                      <w:color w:val="auto"/>
                      <w:kern w:val="0"/>
                      <w:sz w:val="21"/>
                      <w:szCs w:val="21"/>
                    </w:rPr>
                  </w:pPr>
                  <w:r>
                    <w:rPr>
                      <w:rFonts w:hint="eastAsia"/>
                      <w:color w:val="auto"/>
                      <w:kern w:val="0"/>
                      <w:sz w:val="21"/>
                      <w:szCs w:val="21"/>
                    </w:rPr>
                    <w:t>pH</w:t>
                  </w:r>
                </w:p>
              </w:tc>
              <w:tc>
                <w:tcPr>
                  <w:tcW w:w="421" w:type="pct"/>
                  <w:tcBorders>
                    <w:tl2br w:val="nil"/>
                    <w:tr2bl w:val="nil"/>
                  </w:tcBorders>
                  <w:vAlign w:val="center"/>
                </w:tcPr>
                <w:p w14:paraId="6DB66437">
                  <w:pPr>
                    <w:jc w:val="center"/>
                    <w:rPr>
                      <w:color w:val="auto"/>
                      <w:kern w:val="0"/>
                      <w:sz w:val="21"/>
                      <w:szCs w:val="21"/>
                    </w:rPr>
                  </w:pPr>
                  <w:r>
                    <w:rPr>
                      <w:rFonts w:hint="eastAsia"/>
                      <w:color w:val="auto"/>
                      <w:kern w:val="0"/>
                      <w:sz w:val="21"/>
                      <w:szCs w:val="21"/>
                    </w:rPr>
                    <w:t>6~9</w:t>
                  </w:r>
                </w:p>
              </w:tc>
            </w:tr>
            <w:tr w14:paraId="740DE31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446467D7">
                  <w:pPr>
                    <w:jc w:val="center"/>
                    <w:rPr>
                      <w:color w:val="auto"/>
                      <w:kern w:val="0"/>
                      <w:sz w:val="21"/>
                      <w:szCs w:val="21"/>
                    </w:rPr>
                  </w:pPr>
                </w:p>
              </w:tc>
              <w:tc>
                <w:tcPr>
                  <w:tcW w:w="513" w:type="pct"/>
                  <w:vMerge w:val="continue"/>
                  <w:tcBorders>
                    <w:tl2br w:val="nil"/>
                    <w:tr2bl w:val="nil"/>
                  </w:tcBorders>
                  <w:vAlign w:val="center"/>
                </w:tcPr>
                <w:p w14:paraId="66AC435C">
                  <w:pPr>
                    <w:jc w:val="center"/>
                    <w:rPr>
                      <w:color w:val="auto"/>
                      <w:kern w:val="0"/>
                      <w:sz w:val="21"/>
                      <w:szCs w:val="21"/>
                    </w:rPr>
                  </w:pPr>
                </w:p>
              </w:tc>
              <w:tc>
                <w:tcPr>
                  <w:tcW w:w="762" w:type="pct"/>
                  <w:vMerge w:val="continue"/>
                  <w:tcBorders>
                    <w:tl2br w:val="nil"/>
                    <w:tr2bl w:val="nil"/>
                  </w:tcBorders>
                  <w:vAlign w:val="center"/>
                </w:tcPr>
                <w:p w14:paraId="5DAE6D7A">
                  <w:pPr>
                    <w:jc w:val="center"/>
                    <w:rPr>
                      <w:color w:val="auto"/>
                      <w:kern w:val="0"/>
                      <w:sz w:val="21"/>
                      <w:szCs w:val="21"/>
                    </w:rPr>
                  </w:pPr>
                </w:p>
              </w:tc>
              <w:tc>
                <w:tcPr>
                  <w:tcW w:w="2055" w:type="pct"/>
                  <w:vMerge w:val="continue"/>
                  <w:tcBorders>
                    <w:tl2br w:val="nil"/>
                    <w:tr2bl w:val="nil"/>
                  </w:tcBorders>
                  <w:vAlign w:val="center"/>
                </w:tcPr>
                <w:p w14:paraId="3A884947">
                  <w:pPr>
                    <w:jc w:val="center"/>
                    <w:rPr>
                      <w:color w:val="auto"/>
                      <w:kern w:val="0"/>
                      <w:sz w:val="21"/>
                      <w:szCs w:val="21"/>
                    </w:rPr>
                  </w:pPr>
                </w:p>
              </w:tc>
              <w:tc>
                <w:tcPr>
                  <w:tcW w:w="842" w:type="pct"/>
                  <w:tcBorders>
                    <w:tl2br w:val="nil"/>
                    <w:tr2bl w:val="nil"/>
                  </w:tcBorders>
                  <w:vAlign w:val="center"/>
                </w:tcPr>
                <w:p w14:paraId="2D642839">
                  <w:pPr>
                    <w:jc w:val="center"/>
                    <w:rPr>
                      <w:color w:val="auto"/>
                      <w:kern w:val="0"/>
                      <w:sz w:val="21"/>
                      <w:szCs w:val="21"/>
                    </w:rPr>
                  </w:pPr>
                  <w:r>
                    <w:rPr>
                      <w:color w:val="auto"/>
                      <w:kern w:val="0"/>
                      <w:sz w:val="21"/>
                      <w:szCs w:val="21"/>
                    </w:rPr>
                    <w:t>COD</w:t>
                  </w:r>
                </w:p>
              </w:tc>
              <w:tc>
                <w:tcPr>
                  <w:tcW w:w="696" w:type="dxa"/>
                  <w:tcBorders>
                    <w:tl2br w:val="nil"/>
                    <w:tr2bl w:val="nil"/>
                  </w:tcBorders>
                  <w:vAlign w:val="center"/>
                </w:tcPr>
                <w:p w14:paraId="47AA498B">
                  <w:pPr>
                    <w:adjustRightInd w:val="0"/>
                    <w:snapToGrid w:val="0"/>
                    <w:jc w:val="center"/>
                    <w:rPr>
                      <w:color w:val="auto"/>
                      <w:kern w:val="0"/>
                      <w:sz w:val="21"/>
                      <w:szCs w:val="21"/>
                    </w:rPr>
                  </w:pPr>
                  <w:r>
                    <w:rPr>
                      <w:rFonts w:hint="eastAsia"/>
                      <w:color w:val="auto"/>
                      <w:sz w:val="21"/>
                      <w:szCs w:val="21"/>
                      <w:lang w:val="en-US" w:eastAsia="zh-CN"/>
                    </w:rPr>
                    <w:t>5</w:t>
                  </w:r>
                  <w:r>
                    <w:rPr>
                      <w:color w:val="auto"/>
                      <w:sz w:val="21"/>
                      <w:szCs w:val="21"/>
                    </w:rPr>
                    <w:t>00</w:t>
                  </w:r>
                </w:p>
              </w:tc>
            </w:tr>
            <w:tr w14:paraId="4CCD496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547AC126">
                  <w:pPr>
                    <w:jc w:val="center"/>
                    <w:rPr>
                      <w:color w:val="auto"/>
                      <w:kern w:val="0"/>
                      <w:sz w:val="21"/>
                      <w:szCs w:val="21"/>
                    </w:rPr>
                  </w:pPr>
                </w:p>
              </w:tc>
              <w:tc>
                <w:tcPr>
                  <w:tcW w:w="513" w:type="pct"/>
                  <w:vMerge w:val="continue"/>
                  <w:tcBorders>
                    <w:tl2br w:val="nil"/>
                    <w:tr2bl w:val="nil"/>
                  </w:tcBorders>
                  <w:vAlign w:val="center"/>
                </w:tcPr>
                <w:p w14:paraId="577B9B7B">
                  <w:pPr>
                    <w:jc w:val="center"/>
                    <w:rPr>
                      <w:color w:val="auto"/>
                      <w:kern w:val="0"/>
                      <w:sz w:val="21"/>
                      <w:szCs w:val="21"/>
                    </w:rPr>
                  </w:pPr>
                </w:p>
              </w:tc>
              <w:tc>
                <w:tcPr>
                  <w:tcW w:w="762" w:type="pct"/>
                  <w:vMerge w:val="continue"/>
                  <w:tcBorders>
                    <w:tl2br w:val="nil"/>
                    <w:tr2bl w:val="nil"/>
                  </w:tcBorders>
                  <w:vAlign w:val="center"/>
                </w:tcPr>
                <w:p w14:paraId="22996507">
                  <w:pPr>
                    <w:jc w:val="center"/>
                    <w:rPr>
                      <w:color w:val="auto"/>
                      <w:kern w:val="0"/>
                      <w:sz w:val="21"/>
                      <w:szCs w:val="21"/>
                    </w:rPr>
                  </w:pPr>
                </w:p>
              </w:tc>
              <w:tc>
                <w:tcPr>
                  <w:tcW w:w="2055" w:type="pct"/>
                  <w:vMerge w:val="continue"/>
                  <w:tcBorders>
                    <w:tl2br w:val="nil"/>
                    <w:tr2bl w:val="nil"/>
                  </w:tcBorders>
                  <w:vAlign w:val="center"/>
                </w:tcPr>
                <w:p w14:paraId="2A751055">
                  <w:pPr>
                    <w:jc w:val="center"/>
                    <w:rPr>
                      <w:color w:val="auto"/>
                      <w:kern w:val="0"/>
                      <w:sz w:val="21"/>
                      <w:szCs w:val="21"/>
                    </w:rPr>
                  </w:pPr>
                </w:p>
              </w:tc>
              <w:tc>
                <w:tcPr>
                  <w:tcW w:w="842" w:type="pct"/>
                  <w:tcBorders>
                    <w:tl2br w:val="nil"/>
                    <w:tr2bl w:val="nil"/>
                  </w:tcBorders>
                  <w:vAlign w:val="center"/>
                </w:tcPr>
                <w:p w14:paraId="12832A72">
                  <w:pPr>
                    <w:jc w:val="center"/>
                    <w:rPr>
                      <w:color w:val="auto"/>
                      <w:kern w:val="0"/>
                      <w:sz w:val="21"/>
                      <w:szCs w:val="21"/>
                    </w:rPr>
                  </w:pPr>
                  <w:r>
                    <w:rPr>
                      <w:color w:val="auto"/>
                      <w:kern w:val="0"/>
                      <w:sz w:val="21"/>
                      <w:szCs w:val="21"/>
                    </w:rPr>
                    <w:t>SS</w:t>
                  </w:r>
                </w:p>
              </w:tc>
              <w:tc>
                <w:tcPr>
                  <w:tcW w:w="696" w:type="dxa"/>
                  <w:tcBorders>
                    <w:tl2br w:val="nil"/>
                    <w:tr2bl w:val="nil"/>
                  </w:tcBorders>
                  <w:vAlign w:val="center"/>
                </w:tcPr>
                <w:p w14:paraId="5383B0C9">
                  <w:pPr>
                    <w:adjustRightInd w:val="0"/>
                    <w:snapToGrid w:val="0"/>
                    <w:jc w:val="center"/>
                    <w:rPr>
                      <w:rFonts w:hint="default" w:eastAsia="宋体"/>
                      <w:color w:val="auto"/>
                      <w:kern w:val="0"/>
                      <w:sz w:val="21"/>
                      <w:szCs w:val="21"/>
                      <w:lang w:val="en-US" w:eastAsia="zh-CN"/>
                    </w:rPr>
                  </w:pPr>
                  <w:r>
                    <w:rPr>
                      <w:rFonts w:hint="eastAsia"/>
                      <w:color w:val="auto"/>
                      <w:sz w:val="21"/>
                      <w:szCs w:val="21"/>
                      <w:lang w:val="en-US" w:eastAsia="zh-CN"/>
                    </w:rPr>
                    <w:t>400</w:t>
                  </w:r>
                </w:p>
              </w:tc>
            </w:tr>
            <w:tr w14:paraId="29183A9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4C64F722">
                  <w:pPr>
                    <w:jc w:val="center"/>
                    <w:rPr>
                      <w:color w:val="auto"/>
                      <w:kern w:val="0"/>
                      <w:sz w:val="21"/>
                      <w:szCs w:val="21"/>
                    </w:rPr>
                  </w:pPr>
                </w:p>
              </w:tc>
              <w:tc>
                <w:tcPr>
                  <w:tcW w:w="513" w:type="pct"/>
                  <w:vMerge w:val="continue"/>
                  <w:tcBorders>
                    <w:tl2br w:val="nil"/>
                    <w:tr2bl w:val="nil"/>
                  </w:tcBorders>
                  <w:vAlign w:val="center"/>
                </w:tcPr>
                <w:p w14:paraId="530C2B8F">
                  <w:pPr>
                    <w:jc w:val="center"/>
                    <w:rPr>
                      <w:color w:val="auto"/>
                      <w:kern w:val="0"/>
                      <w:sz w:val="21"/>
                      <w:szCs w:val="21"/>
                    </w:rPr>
                  </w:pPr>
                </w:p>
              </w:tc>
              <w:tc>
                <w:tcPr>
                  <w:tcW w:w="762" w:type="pct"/>
                  <w:vMerge w:val="continue"/>
                  <w:tcBorders>
                    <w:tl2br w:val="nil"/>
                    <w:tr2bl w:val="nil"/>
                  </w:tcBorders>
                  <w:vAlign w:val="center"/>
                </w:tcPr>
                <w:p w14:paraId="5AD3D6D0">
                  <w:pPr>
                    <w:jc w:val="center"/>
                    <w:rPr>
                      <w:color w:val="auto"/>
                      <w:kern w:val="0"/>
                      <w:sz w:val="21"/>
                      <w:szCs w:val="21"/>
                    </w:rPr>
                  </w:pPr>
                </w:p>
              </w:tc>
              <w:tc>
                <w:tcPr>
                  <w:tcW w:w="2055" w:type="pct"/>
                  <w:vMerge w:val="continue"/>
                  <w:tcBorders>
                    <w:tl2br w:val="nil"/>
                    <w:tr2bl w:val="nil"/>
                  </w:tcBorders>
                  <w:vAlign w:val="center"/>
                </w:tcPr>
                <w:p w14:paraId="2B8E7D68">
                  <w:pPr>
                    <w:jc w:val="center"/>
                    <w:rPr>
                      <w:color w:val="auto"/>
                      <w:kern w:val="0"/>
                      <w:sz w:val="21"/>
                      <w:szCs w:val="21"/>
                    </w:rPr>
                  </w:pPr>
                </w:p>
              </w:tc>
              <w:tc>
                <w:tcPr>
                  <w:tcW w:w="842" w:type="pct"/>
                  <w:tcBorders>
                    <w:tl2br w:val="nil"/>
                    <w:tr2bl w:val="nil"/>
                  </w:tcBorders>
                  <w:vAlign w:val="center"/>
                </w:tcPr>
                <w:p w14:paraId="054C6347">
                  <w:pPr>
                    <w:jc w:val="center"/>
                    <w:rPr>
                      <w:color w:val="auto"/>
                      <w:kern w:val="0"/>
                      <w:sz w:val="21"/>
                      <w:szCs w:val="21"/>
                    </w:rPr>
                  </w:pPr>
                  <w:r>
                    <w:rPr>
                      <w:color w:val="auto"/>
                      <w:kern w:val="0"/>
                      <w:sz w:val="21"/>
                      <w:szCs w:val="21"/>
                    </w:rPr>
                    <w:t>NH</w:t>
                  </w:r>
                  <w:r>
                    <w:rPr>
                      <w:color w:val="auto"/>
                      <w:kern w:val="0"/>
                      <w:sz w:val="21"/>
                      <w:szCs w:val="21"/>
                      <w:vertAlign w:val="subscript"/>
                    </w:rPr>
                    <w:t>3</w:t>
                  </w:r>
                  <w:r>
                    <w:rPr>
                      <w:color w:val="auto"/>
                      <w:kern w:val="0"/>
                      <w:sz w:val="21"/>
                      <w:szCs w:val="21"/>
                    </w:rPr>
                    <w:t>-N</w:t>
                  </w:r>
                </w:p>
              </w:tc>
              <w:tc>
                <w:tcPr>
                  <w:tcW w:w="696" w:type="dxa"/>
                  <w:tcBorders>
                    <w:tl2br w:val="nil"/>
                    <w:tr2bl w:val="nil"/>
                  </w:tcBorders>
                  <w:vAlign w:val="center"/>
                </w:tcPr>
                <w:p w14:paraId="438163DB">
                  <w:pPr>
                    <w:adjustRightInd w:val="0"/>
                    <w:snapToGrid w:val="0"/>
                    <w:jc w:val="center"/>
                    <w:rPr>
                      <w:rFonts w:hint="default"/>
                      <w:color w:val="auto"/>
                      <w:kern w:val="0"/>
                      <w:sz w:val="21"/>
                      <w:szCs w:val="21"/>
                      <w:lang w:val="en-US"/>
                    </w:rPr>
                  </w:pPr>
                  <w:r>
                    <w:rPr>
                      <w:rFonts w:hint="eastAsia"/>
                      <w:color w:val="auto"/>
                      <w:sz w:val="21"/>
                      <w:szCs w:val="21"/>
                      <w:lang w:val="en-US" w:eastAsia="zh-CN"/>
                    </w:rPr>
                    <w:t>45</w:t>
                  </w:r>
                </w:p>
              </w:tc>
            </w:tr>
            <w:tr w14:paraId="5E4A865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406" w:type="pct"/>
                  <w:vMerge w:val="continue"/>
                  <w:tcBorders>
                    <w:tl2br w:val="nil"/>
                    <w:tr2bl w:val="nil"/>
                  </w:tcBorders>
                  <w:vAlign w:val="center"/>
                </w:tcPr>
                <w:p w14:paraId="43EA21D2">
                  <w:pPr>
                    <w:jc w:val="center"/>
                    <w:rPr>
                      <w:color w:val="auto"/>
                      <w:kern w:val="0"/>
                      <w:sz w:val="21"/>
                      <w:szCs w:val="21"/>
                    </w:rPr>
                  </w:pPr>
                </w:p>
              </w:tc>
              <w:tc>
                <w:tcPr>
                  <w:tcW w:w="513" w:type="pct"/>
                  <w:vMerge w:val="continue"/>
                  <w:tcBorders>
                    <w:tl2br w:val="nil"/>
                    <w:tr2bl w:val="nil"/>
                  </w:tcBorders>
                  <w:vAlign w:val="center"/>
                </w:tcPr>
                <w:p w14:paraId="063648B1">
                  <w:pPr>
                    <w:jc w:val="center"/>
                    <w:rPr>
                      <w:color w:val="auto"/>
                      <w:kern w:val="0"/>
                      <w:sz w:val="21"/>
                      <w:szCs w:val="21"/>
                    </w:rPr>
                  </w:pPr>
                </w:p>
              </w:tc>
              <w:tc>
                <w:tcPr>
                  <w:tcW w:w="762" w:type="pct"/>
                  <w:vMerge w:val="continue"/>
                  <w:tcBorders>
                    <w:tl2br w:val="nil"/>
                    <w:tr2bl w:val="nil"/>
                  </w:tcBorders>
                  <w:vAlign w:val="center"/>
                </w:tcPr>
                <w:p w14:paraId="06DE39AE">
                  <w:pPr>
                    <w:jc w:val="center"/>
                    <w:rPr>
                      <w:color w:val="auto"/>
                      <w:kern w:val="0"/>
                      <w:sz w:val="21"/>
                      <w:szCs w:val="21"/>
                    </w:rPr>
                  </w:pPr>
                </w:p>
              </w:tc>
              <w:tc>
                <w:tcPr>
                  <w:tcW w:w="2055" w:type="pct"/>
                  <w:vMerge w:val="continue"/>
                  <w:tcBorders>
                    <w:tl2br w:val="nil"/>
                    <w:tr2bl w:val="nil"/>
                  </w:tcBorders>
                  <w:vAlign w:val="center"/>
                </w:tcPr>
                <w:p w14:paraId="04DEF754">
                  <w:pPr>
                    <w:jc w:val="center"/>
                    <w:rPr>
                      <w:color w:val="auto"/>
                      <w:kern w:val="0"/>
                      <w:sz w:val="21"/>
                      <w:szCs w:val="21"/>
                    </w:rPr>
                  </w:pPr>
                </w:p>
              </w:tc>
              <w:tc>
                <w:tcPr>
                  <w:tcW w:w="1455" w:type="dxa"/>
                  <w:tcBorders>
                    <w:tl2br w:val="nil"/>
                    <w:tr2bl w:val="nil"/>
                  </w:tcBorders>
                  <w:vAlign w:val="center"/>
                </w:tcPr>
                <w:p w14:paraId="7F2D3C9B">
                  <w:pPr>
                    <w:tabs>
                      <w:tab w:val="left" w:pos="6840"/>
                    </w:tabs>
                    <w:spacing w:line="270" w:lineRule="exact"/>
                    <w:jc w:val="center"/>
                    <w:rPr>
                      <w:color w:val="auto"/>
                      <w:kern w:val="0"/>
                      <w:sz w:val="21"/>
                      <w:szCs w:val="21"/>
                    </w:rPr>
                  </w:pPr>
                  <w:r>
                    <w:rPr>
                      <w:color w:val="auto"/>
                      <w:sz w:val="21"/>
                      <w:szCs w:val="21"/>
                    </w:rPr>
                    <w:t>TP</w:t>
                  </w:r>
                </w:p>
              </w:tc>
              <w:tc>
                <w:tcPr>
                  <w:tcW w:w="696" w:type="dxa"/>
                  <w:tcBorders>
                    <w:tl2br w:val="nil"/>
                    <w:tr2bl w:val="nil"/>
                  </w:tcBorders>
                  <w:vAlign w:val="center"/>
                </w:tcPr>
                <w:p w14:paraId="20D909F9">
                  <w:pPr>
                    <w:adjustRightInd w:val="0"/>
                    <w:snapToGrid w:val="0"/>
                    <w:jc w:val="center"/>
                    <w:rPr>
                      <w:color w:val="auto"/>
                      <w:kern w:val="0"/>
                      <w:sz w:val="21"/>
                      <w:szCs w:val="21"/>
                    </w:rPr>
                  </w:pPr>
                  <w:r>
                    <w:rPr>
                      <w:rFonts w:hint="eastAsia"/>
                      <w:color w:val="auto"/>
                      <w:sz w:val="21"/>
                      <w:szCs w:val="21"/>
                      <w:lang w:val="en-US" w:eastAsia="zh-CN"/>
                    </w:rPr>
                    <w:t>8</w:t>
                  </w:r>
                </w:p>
              </w:tc>
            </w:tr>
            <w:tr w14:paraId="4760775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2D4F1C15">
                  <w:pPr>
                    <w:jc w:val="center"/>
                    <w:rPr>
                      <w:color w:val="auto"/>
                      <w:kern w:val="0"/>
                      <w:sz w:val="21"/>
                      <w:szCs w:val="21"/>
                    </w:rPr>
                  </w:pPr>
                </w:p>
              </w:tc>
              <w:tc>
                <w:tcPr>
                  <w:tcW w:w="513" w:type="pct"/>
                  <w:vMerge w:val="continue"/>
                  <w:tcBorders>
                    <w:tl2br w:val="nil"/>
                    <w:tr2bl w:val="nil"/>
                  </w:tcBorders>
                  <w:vAlign w:val="center"/>
                </w:tcPr>
                <w:p w14:paraId="260BAD2A">
                  <w:pPr>
                    <w:jc w:val="center"/>
                    <w:rPr>
                      <w:color w:val="auto"/>
                      <w:kern w:val="0"/>
                      <w:sz w:val="21"/>
                      <w:szCs w:val="21"/>
                    </w:rPr>
                  </w:pPr>
                </w:p>
              </w:tc>
              <w:tc>
                <w:tcPr>
                  <w:tcW w:w="762" w:type="pct"/>
                  <w:vMerge w:val="continue"/>
                  <w:tcBorders>
                    <w:tl2br w:val="nil"/>
                    <w:tr2bl w:val="nil"/>
                  </w:tcBorders>
                  <w:vAlign w:val="center"/>
                </w:tcPr>
                <w:p w14:paraId="1EAA7370">
                  <w:pPr>
                    <w:jc w:val="center"/>
                    <w:rPr>
                      <w:color w:val="auto"/>
                      <w:kern w:val="0"/>
                      <w:sz w:val="21"/>
                      <w:szCs w:val="21"/>
                    </w:rPr>
                  </w:pPr>
                </w:p>
              </w:tc>
              <w:tc>
                <w:tcPr>
                  <w:tcW w:w="2055" w:type="pct"/>
                  <w:vMerge w:val="continue"/>
                  <w:tcBorders>
                    <w:tl2br w:val="nil"/>
                    <w:tr2bl w:val="nil"/>
                  </w:tcBorders>
                  <w:vAlign w:val="center"/>
                </w:tcPr>
                <w:p w14:paraId="32BDFAEA">
                  <w:pPr>
                    <w:jc w:val="center"/>
                    <w:rPr>
                      <w:color w:val="auto"/>
                      <w:kern w:val="0"/>
                      <w:sz w:val="21"/>
                      <w:szCs w:val="21"/>
                    </w:rPr>
                  </w:pPr>
                </w:p>
              </w:tc>
              <w:tc>
                <w:tcPr>
                  <w:tcW w:w="1455" w:type="dxa"/>
                  <w:tcBorders>
                    <w:tl2br w:val="nil"/>
                    <w:tr2bl w:val="nil"/>
                  </w:tcBorders>
                  <w:vAlign w:val="center"/>
                </w:tcPr>
                <w:p w14:paraId="3AA9C8FC">
                  <w:pPr>
                    <w:tabs>
                      <w:tab w:val="left" w:pos="6840"/>
                    </w:tabs>
                    <w:spacing w:line="270" w:lineRule="exact"/>
                    <w:jc w:val="center"/>
                    <w:rPr>
                      <w:color w:val="auto"/>
                      <w:kern w:val="0"/>
                      <w:sz w:val="21"/>
                      <w:szCs w:val="21"/>
                    </w:rPr>
                  </w:pPr>
                  <w:r>
                    <w:rPr>
                      <w:color w:val="auto"/>
                      <w:sz w:val="21"/>
                      <w:szCs w:val="21"/>
                    </w:rPr>
                    <w:t>TN</w:t>
                  </w:r>
                </w:p>
              </w:tc>
              <w:tc>
                <w:tcPr>
                  <w:tcW w:w="696" w:type="dxa"/>
                  <w:tcBorders>
                    <w:tl2br w:val="nil"/>
                    <w:tr2bl w:val="nil"/>
                  </w:tcBorders>
                  <w:vAlign w:val="center"/>
                </w:tcPr>
                <w:p w14:paraId="49AF28F6">
                  <w:pPr>
                    <w:adjustRightInd w:val="0"/>
                    <w:snapToGrid w:val="0"/>
                    <w:jc w:val="center"/>
                    <w:rPr>
                      <w:rFonts w:hint="default"/>
                      <w:color w:val="auto"/>
                      <w:kern w:val="0"/>
                      <w:sz w:val="21"/>
                      <w:szCs w:val="21"/>
                      <w:lang w:val="en-US"/>
                    </w:rPr>
                  </w:pPr>
                  <w:r>
                    <w:rPr>
                      <w:rFonts w:hint="eastAsia"/>
                      <w:color w:val="auto"/>
                      <w:sz w:val="21"/>
                      <w:szCs w:val="21"/>
                      <w:lang w:val="en-US" w:eastAsia="zh-CN"/>
                    </w:rPr>
                    <w:t>70</w:t>
                  </w:r>
                </w:p>
              </w:tc>
            </w:tr>
          </w:tbl>
          <w:p w14:paraId="65FC3C8F">
            <w:pPr>
              <w:keepNext w:val="0"/>
              <w:keepLines w:val="0"/>
              <w:pageBreakBefore w:val="0"/>
              <w:widowControl w:val="0"/>
              <w:kinsoku/>
              <w:wordWrap/>
              <w:overflowPunct/>
              <w:topLinePunct w:val="0"/>
              <w:autoSpaceDE/>
              <w:autoSpaceDN/>
              <w:bidi w:val="0"/>
              <w:adjustRightInd w:val="0"/>
              <w:snapToGrid w:val="0"/>
              <w:spacing w:line="500" w:lineRule="exact"/>
              <w:ind w:firstLine="422" w:firstLineChars="200"/>
              <w:textAlignment w:val="auto"/>
              <w:rPr>
                <w:b/>
                <w:bCs/>
                <w:color w:val="auto"/>
                <w:sz w:val="21"/>
                <w:szCs w:val="21"/>
              </w:rPr>
            </w:pPr>
            <w:r>
              <w:rPr>
                <w:rFonts w:hint="eastAsia"/>
                <w:b/>
                <w:bCs/>
                <w:color w:val="auto"/>
                <w:sz w:val="21"/>
                <w:szCs w:val="21"/>
                <w:lang w:val="en-US" w:eastAsia="zh-CN"/>
              </w:rPr>
              <w:t>5、</w:t>
            </w:r>
            <w:r>
              <w:rPr>
                <w:b/>
                <w:bCs/>
                <w:color w:val="auto"/>
                <w:sz w:val="21"/>
                <w:szCs w:val="21"/>
              </w:rPr>
              <w:t>监测要求</w:t>
            </w:r>
          </w:p>
          <w:p w14:paraId="568DC60B">
            <w:pPr>
              <w:pStyle w:val="7"/>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left"/>
              <w:textAlignment w:val="auto"/>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根据《排污许可证申请与核发技术规范</w:t>
            </w:r>
            <w:r>
              <w:rPr>
                <w:rFonts w:hint="eastAsia" w:ascii="Times New Roman" w:hAnsi="Times New Roman" w:cs="Times New Roman"/>
                <w:bCs/>
                <w:color w:val="auto"/>
                <w:sz w:val="21"/>
                <w:szCs w:val="21"/>
                <w:highlight w:val="none"/>
                <w:lang w:val="en-US" w:eastAsia="zh-CN"/>
              </w:rPr>
              <w:t xml:space="preserve"> </w:t>
            </w:r>
            <w:r>
              <w:rPr>
                <w:rFonts w:hint="default" w:ascii="Times New Roman" w:hAnsi="Times New Roman" w:eastAsia="宋体" w:cs="Times New Roman"/>
                <w:bCs/>
                <w:color w:val="auto"/>
                <w:sz w:val="21"/>
                <w:szCs w:val="21"/>
                <w:highlight w:val="none"/>
                <w:lang w:val="en-US" w:eastAsia="zh-CN"/>
              </w:rPr>
              <w:t>橡胶和塑料制品工业》（HJ1122—2020）要求，本项目无生产废水</w:t>
            </w:r>
            <w:r>
              <w:rPr>
                <w:rFonts w:hint="eastAsia" w:ascii="Times New Roman" w:hAnsi="Times New Roman" w:eastAsia="宋体" w:cs="Times New Roman"/>
                <w:bCs/>
                <w:color w:val="auto"/>
                <w:sz w:val="21"/>
                <w:szCs w:val="21"/>
                <w:highlight w:val="none"/>
                <w:lang w:val="en-US" w:eastAsia="zh-CN"/>
              </w:rPr>
              <w:t>排放</w:t>
            </w:r>
            <w:r>
              <w:rPr>
                <w:rFonts w:hint="default" w:ascii="Times New Roman" w:hAnsi="Times New Roman" w:eastAsia="宋体" w:cs="Times New Roman"/>
                <w:bCs/>
                <w:color w:val="auto"/>
                <w:sz w:val="21"/>
                <w:szCs w:val="21"/>
                <w:highlight w:val="none"/>
                <w:lang w:val="en-US" w:eastAsia="zh-CN"/>
              </w:rPr>
              <w:t>，生活污水单独接管进入</w:t>
            </w:r>
            <w:r>
              <w:rPr>
                <w:rFonts w:hint="eastAsia" w:ascii="Times New Roman" w:hAnsi="Times New Roman" w:cs="Times New Roman"/>
                <w:bCs/>
                <w:color w:val="auto"/>
                <w:sz w:val="21"/>
                <w:szCs w:val="21"/>
                <w:highlight w:val="none"/>
                <w:lang w:val="en-US" w:eastAsia="zh-CN"/>
              </w:rPr>
              <w:t>常州市金坛区溪城污水处理有限公司</w:t>
            </w:r>
            <w:r>
              <w:rPr>
                <w:rFonts w:hint="default" w:ascii="Times New Roman" w:hAnsi="Times New Roman" w:eastAsia="宋体" w:cs="Times New Roman"/>
                <w:bCs/>
                <w:color w:val="auto"/>
                <w:sz w:val="21"/>
                <w:szCs w:val="21"/>
                <w:highlight w:val="none"/>
                <w:lang w:val="en-US" w:eastAsia="zh-CN"/>
              </w:rPr>
              <w:t>，属于间接排放，可不进行自行监测</w:t>
            </w:r>
            <w:r>
              <w:rPr>
                <w:rFonts w:hint="eastAsia" w:ascii="Times New Roman" w:hAnsi="Times New Roman" w:eastAsia="宋体" w:cs="Times New Roman"/>
                <w:bCs/>
                <w:color w:val="auto"/>
                <w:kern w:val="2"/>
                <w:sz w:val="21"/>
                <w:szCs w:val="21"/>
                <w:highlight w:val="none"/>
                <w:lang w:val="en-US" w:eastAsia="zh-CN" w:bidi="ar-SA"/>
              </w:rPr>
              <w:t>。</w:t>
            </w:r>
          </w:p>
          <w:p w14:paraId="570FCFF3">
            <w:pPr>
              <w:keepNext w:val="0"/>
              <w:keepLines w:val="0"/>
              <w:pageBreakBefore w:val="0"/>
              <w:widowControl w:val="0"/>
              <w:kinsoku/>
              <w:wordWrap/>
              <w:overflowPunct/>
              <w:topLinePunct w:val="0"/>
              <w:autoSpaceDE/>
              <w:autoSpaceDN/>
              <w:bidi w:val="0"/>
              <w:adjustRightInd w:val="0"/>
              <w:snapToGrid w:val="0"/>
              <w:spacing w:line="500" w:lineRule="exact"/>
              <w:ind w:firstLine="422" w:firstLineChars="200"/>
              <w:textAlignment w:val="auto"/>
              <w:rPr>
                <w:rFonts w:hint="default" w:ascii="Times New Roman" w:hAnsi="Times New Roman" w:eastAsia="宋体" w:cs="Times New Roman"/>
                <w:b/>
                <w:bCs w:val="0"/>
                <w:color w:val="auto"/>
                <w:sz w:val="21"/>
                <w:szCs w:val="21"/>
                <w:highlight w:val="none"/>
                <w:lang w:val="en-US" w:eastAsia="zh-CN"/>
              </w:rPr>
            </w:pPr>
            <w:r>
              <w:rPr>
                <w:rFonts w:hint="eastAsia" w:cs="Times New Roman"/>
                <w:b/>
                <w:bCs w:val="0"/>
                <w:color w:val="auto"/>
                <w:sz w:val="21"/>
                <w:szCs w:val="21"/>
                <w:highlight w:val="none"/>
                <w:lang w:val="en-US" w:eastAsia="zh-CN"/>
              </w:rPr>
              <w:t>6、</w:t>
            </w:r>
            <w:r>
              <w:rPr>
                <w:rFonts w:hint="default" w:ascii="Times New Roman" w:hAnsi="Times New Roman" w:eastAsia="宋体" w:cs="Times New Roman"/>
                <w:b/>
                <w:bCs w:val="0"/>
                <w:color w:val="auto"/>
                <w:sz w:val="21"/>
                <w:szCs w:val="21"/>
                <w:highlight w:val="none"/>
                <w:lang w:val="en-US" w:eastAsia="zh-CN"/>
              </w:rPr>
              <w:t>环境影响分析小结</w:t>
            </w:r>
          </w:p>
          <w:p w14:paraId="45BF55E1">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本项目生活污水</w:t>
            </w:r>
            <w:r>
              <w:rPr>
                <w:rFonts w:hint="eastAsia" w:cs="Times New Roman"/>
                <w:bCs/>
                <w:color w:val="auto"/>
                <w:sz w:val="21"/>
                <w:szCs w:val="21"/>
                <w:highlight w:val="none"/>
                <w:lang w:val="en-US" w:eastAsia="zh-CN"/>
              </w:rPr>
              <w:t>接管进入常州市金坛区溪城污水处理有限公司</w:t>
            </w:r>
            <w:r>
              <w:rPr>
                <w:rFonts w:hint="default" w:ascii="Times New Roman" w:hAnsi="Times New Roman" w:eastAsia="宋体" w:cs="Times New Roman"/>
                <w:bCs/>
                <w:color w:val="auto"/>
                <w:sz w:val="21"/>
                <w:szCs w:val="21"/>
                <w:highlight w:val="none"/>
                <w:lang w:val="en-US" w:eastAsia="zh-CN"/>
              </w:rPr>
              <w:t>集中处理，尾水排入</w:t>
            </w:r>
            <w:r>
              <w:rPr>
                <w:rFonts w:hint="eastAsia" w:cs="Times New Roman"/>
                <w:bCs/>
                <w:color w:val="auto"/>
                <w:sz w:val="21"/>
                <w:szCs w:val="21"/>
                <w:highlight w:val="none"/>
                <w:lang w:val="en-US" w:eastAsia="zh-CN"/>
              </w:rPr>
              <w:t>通济河</w:t>
            </w:r>
            <w:r>
              <w:rPr>
                <w:rFonts w:hint="default" w:ascii="Times New Roman" w:hAnsi="Times New Roman" w:eastAsia="宋体" w:cs="Times New Roman"/>
                <w:bCs/>
                <w:color w:val="auto"/>
                <w:sz w:val="21"/>
                <w:szCs w:val="21"/>
                <w:highlight w:val="none"/>
                <w:lang w:val="en-US" w:eastAsia="zh-CN"/>
              </w:rPr>
              <w:t>。故本项目废水排放对地表水环境影响很小，是可以接受的。</w:t>
            </w:r>
          </w:p>
          <w:p w14:paraId="18E7AB8D">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三</w:t>
            </w:r>
            <w:r>
              <w:rPr>
                <w:rFonts w:hint="default" w:ascii="Times New Roman" w:hAnsi="Times New Roman" w:eastAsia="宋体" w:cs="Times New Roman"/>
                <w:b/>
                <w:bCs w:val="0"/>
                <w:color w:val="auto"/>
                <w:sz w:val="21"/>
                <w:szCs w:val="21"/>
                <w:highlight w:val="none"/>
                <w:lang w:val="en-US" w:eastAsia="zh-CN"/>
              </w:rPr>
              <w:t>、噪声</w:t>
            </w:r>
          </w:p>
          <w:p w14:paraId="2C857580">
            <w:pPr>
              <w:keepNext w:val="0"/>
              <w:keepLines w:val="0"/>
              <w:pageBreakBefore w:val="0"/>
              <w:widowControl w:val="0"/>
              <w:kinsoku/>
              <w:wordWrap/>
              <w:overflowPunct/>
              <w:topLinePunct w:val="0"/>
              <w:autoSpaceDE/>
              <w:autoSpaceDN/>
              <w:bidi w:val="0"/>
              <w:adjustRightInd w:val="0"/>
              <w:snapToGrid w:val="0"/>
              <w:spacing w:line="500" w:lineRule="exact"/>
              <w:ind w:firstLine="422" w:firstLineChars="200"/>
              <w:textAlignment w:val="auto"/>
              <w:rPr>
                <w:rFonts w:hint="default" w:ascii="Times New Roman" w:hAnsi="Times New Roman" w:eastAsia="宋体" w:cs="Times New Roman"/>
                <w:b/>
                <w:bCs w:val="0"/>
                <w:color w:val="auto"/>
                <w:sz w:val="21"/>
                <w:szCs w:val="21"/>
                <w:highlight w:val="none"/>
              </w:rPr>
            </w:pPr>
            <w:r>
              <w:rPr>
                <w:rFonts w:hint="eastAsia" w:cs="Times New Roman"/>
                <w:b/>
                <w:bCs w:val="0"/>
                <w:color w:val="auto"/>
                <w:sz w:val="21"/>
                <w:szCs w:val="21"/>
                <w:highlight w:val="none"/>
                <w:lang w:val="en-US" w:eastAsia="zh-CN"/>
              </w:rPr>
              <w:t>1、</w:t>
            </w:r>
            <w:r>
              <w:rPr>
                <w:rFonts w:hint="default" w:ascii="Times New Roman" w:hAnsi="Times New Roman" w:eastAsia="宋体" w:cs="Times New Roman"/>
                <w:b/>
                <w:bCs w:val="0"/>
                <w:color w:val="auto"/>
                <w:sz w:val="21"/>
                <w:szCs w:val="21"/>
                <w:highlight w:val="none"/>
                <w:lang w:val="en-US" w:eastAsia="zh-CN"/>
              </w:rPr>
              <w:t>噪声产生及排放情况</w:t>
            </w:r>
          </w:p>
          <w:p w14:paraId="1DC5F195">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本项目高噪声源主要为</w:t>
            </w:r>
            <w:r>
              <w:rPr>
                <w:rFonts w:hint="eastAsia" w:cs="Times New Roman"/>
                <w:bCs/>
                <w:color w:val="auto"/>
                <w:sz w:val="21"/>
                <w:szCs w:val="21"/>
                <w:highlight w:val="none"/>
                <w:lang w:val="en-US" w:eastAsia="zh-CN"/>
              </w:rPr>
              <w:t>印刷机</w:t>
            </w:r>
            <w:r>
              <w:rPr>
                <w:rFonts w:hint="eastAsia" w:ascii="Times New Roman" w:hAnsi="Times New Roman" w:eastAsia="宋体" w:cs="Times New Roman"/>
                <w:bCs/>
                <w:color w:val="auto"/>
                <w:sz w:val="21"/>
                <w:szCs w:val="21"/>
                <w:highlight w:val="none"/>
                <w:lang w:val="en-US" w:eastAsia="zh-CN"/>
              </w:rPr>
              <w:t>、</w:t>
            </w:r>
            <w:r>
              <w:rPr>
                <w:rFonts w:hint="eastAsia" w:cs="Times New Roman"/>
                <w:bCs/>
                <w:color w:val="auto"/>
                <w:sz w:val="21"/>
                <w:szCs w:val="21"/>
                <w:highlight w:val="none"/>
                <w:lang w:val="en-US" w:eastAsia="zh-CN"/>
              </w:rPr>
              <w:t>复合机</w:t>
            </w:r>
            <w:r>
              <w:rPr>
                <w:rFonts w:hint="default" w:ascii="Times New Roman" w:hAnsi="Times New Roman" w:eastAsia="宋体" w:cs="Times New Roman"/>
                <w:bCs/>
                <w:color w:val="auto"/>
                <w:sz w:val="21"/>
                <w:szCs w:val="21"/>
                <w:highlight w:val="none"/>
                <w:lang w:val="en-US" w:eastAsia="zh-CN"/>
              </w:rPr>
              <w:t>、</w:t>
            </w:r>
            <w:r>
              <w:rPr>
                <w:rFonts w:hint="eastAsia" w:cs="Times New Roman"/>
                <w:bCs/>
                <w:color w:val="auto"/>
                <w:sz w:val="21"/>
                <w:szCs w:val="21"/>
                <w:highlight w:val="none"/>
                <w:lang w:val="en-US" w:eastAsia="zh-CN"/>
              </w:rPr>
              <w:t>制袋机</w:t>
            </w:r>
            <w:r>
              <w:rPr>
                <w:rFonts w:hint="eastAsia" w:ascii="Times New Roman" w:hAnsi="Times New Roman" w:eastAsia="宋体" w:cs="Times New Roman"/>
                <w:bCs/>
                <w:color w:val="auto"/>
                <w:sz w:val="21"/>
                <w:szCs w:val="21"/>
                <w:highlight w:val="none"/>
                <w:lang w:val="en-US" w:eastAsia="zh-CN"/>
              </w:rPr>
              <w:t>、</w:t>
            </w:r>
            <w:r>
              <w:rPr>
                <w:rFonts w:hint="eastAsia" w:cs="Times New Roman"/>
                <w:bCs/>
                <w:color w:val="auto"/>
                <w:sz w:val="21"/>
                <w:szCs w:val="21"/>
                <w:highlight w:val="none"/>
                <w:lang w:val="en-US" w:eastAsia="zh-CN"/>
              </w:rPr>
              <w:t>分切机</w:t>
            </w:r>
            <w:r>
              <w:rPr>
                <w:rFonts w:hint="default" w:ascii="Times New Roman" w:hAnsi="Times New Roman" w:eastAsia="宋体" w:cs="Times New Roman"/>
                <w:bCs/>
                <w:color w:val="auto"/>
                <w:sz w:val="21"/>
                <w:szCs w:val="21"/>
                <w:highlight w:val="none"/>
                <w:lang w:val="en-US" w:eastAsia="zh-CN"/>
              </w:rPr>
              <w:t>等设备，项目噪声源距离1米处声压级在7</w:t>
            </w:r>
            <w:r>
              <w:rPr>
                <w:rFonts w:hint="eastAsia" w:ascii="Times New Roman" w:hAnsi="Times New Roman" w:cs="Times New Roman"/>
                <w:bCs/>
                <w:color w:val="auto"/>
                <w:sz w:val="21"/>
                <w:szCs w:val="21"/>
                <w:highlight w:val="none"/>
                <w:lang w:val="en-US" w:eastAsia="zh-CN"/>
              </w:rPr>
              <w:t>0</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85</w:t>
            </w:r>
            <w:r>
              <w:rPr>
                <w:rFonts w:hint="default" w:ascii="Times New Roman" w:hAnsi="Times New Roman" w:eastAsia="宋体" w:cs="Times New Roman"/>
                <w:bCs/>
                <w:color w:val="auto"/>
                <w:sz w:val="21"/>
                <w:szCs w:val="21"/>
                <w:highlight w:val="none"/>
                <w:lang w:val="en-US" w:eastAsia="zh-CN"/>
              </w:rPr>
              <w:t>dB(A)之间。</w:t>
            </w:r>
          </w:p>
          <w:p w14:paraId="72E26940">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项目采取的主要治理措施有：合理布局，充分利用厂区建筑物隔声、降噪；在高噪声、高振动设备底部设置减振垫铁；设备加强日常的维护，确保设备的正常运行，避免产生异常噪声。项目主要噪声源产生及排放情况如下表所示。</w:t>
            </w:r>
          </w:p>
          <w:p w14:paraId="173C743F">
            <w:pPr>
              <w:adjustRightInd w:val="0"/>
              <w:snapToGrid w:val="0"/>
              <w:spacing w:line="360" w:lineRule="auto"/>
              <w:rPr>
                <w:rFonts w:hint="default" w:ascii="Times New Roman" w:hAnsi="Times New Roman" w:cs="Times New Roman"/>
                <w:bCs/>
                <w:color w:val="auto"/>
                <w:sz w:val="21"/>
                <w:szCs w:val="21"/>
              </w:rPr>
            </w:pPr>
          </w:p>
        </w:tc>
      </w:tr>
    </w:tbl>
    <w:p w14:paraId="2C4A59C5">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rPr>
        <w:sectPr>
          <w:headerReference r:id="rId9" w:type="default"/>
          <w:pgSz w:w="11906" w:h="16838"/>
          <w:pgMar w:top="1701" w:right="1531" w:bottom="1701" w:left="1531" w:header="851" w:footer="1134" w:gutter="0"/>
          <w:pgBorders>
            <w:top w:val="none" w:sz="0" w:space="0"/>
            <w:left w:val="none" w:sz="0" w:space="0"/>
            <w:bottom w:val="none" w:sz="0" w:space="0"/>
            <w:right w:val="none" w:sz="0" w:space="0"/>
          </w:pgBorders>
          <w:pgNumType w:fmt="decimal"/>
          <w:cols w:space="720" w:num="1"/>
          <w:docGrid w:linePitch="312" w:charSpace="0"/>
        </w:sect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5"/>
      </w:tblGrid>
      <w:tr w14:paraId="0711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8" w:hRule="atLeast"/>
        </w:trPr>
        <w:tc>
          <w:tcPr>
            <w:tcW w:w="14095" w:type="dxa"/>
          </w:tcPr>
          <w:p w14:paraId="48CDB2C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表4-1</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rPr>
              <w:t>本项目主要噪声污染源一览表</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lang w:val="en-US" w:eastAsia="zh-CN"/>
              </w:rPr>
              <w:t>室内声源</w:t>
            </w:r>
            <w:r>
              <w:rPr>
                <w:rFonts w:hint="default" w:ascii="Times New Roman" w:hAnsi="Times New Roman" w:cs="Times New Roman"/>
                <w:b/>
                <w:bCs/>
                <w:color w:val="auto"/>
                <w:sz w:val="21"/>
                <w:szCs w:val="21"/>
                <w:lang w:eastAsia="zh-CN"/>
              </w:rPr>
              <w:t>）</w:t>
            </w:r>
          </w:p>
          <w:tbl>
            <w:tblPr>
              <w:tblStyle w:val="31"/>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2254"/>
              <w:gridCol w:w="561"/>
              <w:gridCol w:w="566"/>
              <w:gridCol w:w="1630"/>
              <w:gridCol w:w="955"/>
              <w:gridCol w:w="580"/>
              <w:gridCol w:w="580"/>
              <w:gridCol w:w="639"/>
              <w:gridCol w:w="730"/>
              <w:gridCol w:w="725"/>
              <w:gridCol w:w="1041"/>
              <w:gridCol w:w="905"/>
              <w:gridCol w:w="1019"/>
              <w:gridCol w:w="1103"/>
            </w:tblGrid>
            <w:tr w14:paraId="0AC49F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restart"/>
                  <w:noWrap w:val="0"/>
                  <w:vAlign w:val="center"/>
                </w:tcPr>
                <w:p w14:paraId="45D07EA6">
                  <w:pPr>
                    <w:adjustRightInd w:val="0"/>
                    <w:snapToGrid w:val="0"/>
                    <w:ind w:left="-105" w:leftChars="-50" w:right="-105" w:rightChars="-50"/>
                    <w:jc w:val="center"/>
                    <w:rPr>
                      <w:b/>
                      <w:color w:val="auto"/>
                      <w:sz w:val="21"/>
                      <w:szCs w:val="21"/>
                    </w:rPr>
                  </w:pPr>
                  <w:r>
                    <w:rPr>
                      <w:rFonts w:hAnsi="宋体"/>
                      <w:b/>
                      <w:color w:val="auto"/>
                      <w:sz w:val="21"/>
                      <w:szCs w:val="21"/>
                    </w:rPr>
                    <w:t>建筑物名称</w:t>
                  </w:r>
                </w:p>
              </w:tc>
              <w:tc>
                <w:tcPr>
                  <w:tcW w:w="812" w:type="pct"/>
                  <w:vMerge w:val="restart"/>
                  <w:noWrap w:val="0"/>
                  <w:vAlign w:val="center"/>
                </w:tcPr>
                <w:p w14:paraId="3FB73874">
                  <w:pPr>
                    <w:adjustRightInd w:val="0"/>
                    <w:snapToGrid w:val="0"/>
                    <w:ind w:left="-105" w:leftChars="-50" w:right="-105" w:rightChars="-50"/>
                    <w:jc w:val="center"/>
                    <w:rPr>
                      <w:b/>
                      <w:color w:val="auto"/>
                      <w:sz w:val="21"/>
                      <w:szCs w:val="21"/>
                    </w:rPr>
                  </w:pPr>
                  <w:r>
                    <w:rPr>
                      <w:rFonts w:hAnsi="宋体"/>
                      <w:b/>
                      <w:color w:val="auto"/>
                      <w:sz w:val="21"/>
                      <w:szCs w:val="21"/>
                    </w:rPr>
                    <w:t>声源名称</w:t>
                  </w:r>
                </w:p>
              </w:tc>
              <w:tc>
                <w:tcPr>
                  <w:tcW w:w="202" w:type="pct"/>
                  <w:vMerge w:val="restart"/>
                  <w:noWrap w:val="0"/>
                  <w:vAlign w:val="center"/>
                </w:tcPr>
                <w:p w14:paraId="73B17264">
                  <w:pPr>
                    <w:adjustRightInd w:val="0"/>
                    <w:snapToGrid w:val="0"/>
                    <w:ind w:left="-105" w:leftChars="-50" w:right="-105" w:rightChars="-50"/>
                    <w:jc w:val="center"/>
                    <w:rPr>
                      <w:rFonts w:hAnsi="宋体"/>
                      <w:b/>
                      <w:color w:val="auto"/>
                      <w:sz w:val="21"/>
                      <w:szCs w:val="21"/>
                    </w:rPr>
                  </w:pPr>
                  <w:r>
                    <w:rPr>
                      <w:rFonts w:hAnsi="宋体"/>
                      <w:b/>
                      <w:color w:val="auto"/>
                      <w:sz w:val="21"/>
                      <w:szCs w:val="21"/>
                    </w:rPr>
                    <w:t>型号</w:t>
                  </w:r>
                </w:p>
              </w:tc>
              <w:tc>
                <w:tcPr>
                  <w:tcW w:w="204" w:type="pct"/>
                  <w:vMerge w:val="restart"/>
                  <w:noWrap w:val="0"/>
                  <w:vAlign w:val="center"/>
                </w:tcPr>
                <w:p w14:paraId="60A58A9E">
                  <w:pPr>
                    <w:adjustRightInd w:val="0"/>
                    <w:snapToGrid w:val="0"/>
                    <w:ind w:left="-105" w:leftChars="-50" w:right="-105" w:rightChars="-50"/>
                    <w:jc w:val="center"/>
                    <w:rPr>
                      <w:b/>
                      <w:color w:val="auto"/>
                      <w:sz w:val="21"/>
                      <w:szCs w:val="21"/>
                    </w:rPr>
                  </w:pPr>
                  <w:r>
                    <w:rPr>
                      <w:rFonts w:hint="default" w:ascii="Times New Roman" w:hAnsi="Times New Roman" w:cs="Times New Roman"/>
                      <w:b/>
                      <w:bCs/>
                      <w:color w:val="auto"/>
                      <w:sz w:val="21"/>
                      <w:szCs w:val="21"/>
                      <w:lang w:val="en-US" w:eastAsia="zh-CN"/>
                    </w:rPr>
                    <w:t>数量</w:t>
                  </w:r>
                </w:p>
              </w:tc>
              <w:tc>
                <w:tcPr>
                  <w:tcW w:w="587" w:type="pct"/>
                  <w:noWrap w:val="0"/>
                  <w:vAlign w:val="center"/>
                </w:tcPr>
                <w:p w14:paraId="7C68DC38">
                  <w:pPr>
                    <w:adjustRightInd w:val="0"/>
                    <w:snapToGrid w:val="0"/>
                    <w:ind w:left="-105" w:leftChars="-50" w:right="-105" w:rightChars="-50"/>
                    <w:jc w:val="center"/>
                    <w:rPr>
                      <w:b/>
                      <w:color w:val="auto"/>
                      <w:sz w:val="21"/>
                      <w:szCs w:val="21"/>
                    </w:rPr>
                  </w:pPr>
                  <w:r>
                    <w:rPr>
                      <w:rFonts w:hAnsi="宋体"/>
                      <w:b/>
                      <w:color w:val="auto"/>
                      <w:sz w:val="21"/>
                      <w:szCs w:val="21"/>
                    </w:rPr>
                    <w:t>声源源强</w:t>
                  </w:r>
                </w:p>
              </w:tc>
              <w:tc>
                <w:tcPr>
                  <w:tcW w:w="344" w:type="pct"/>
                  <w:vMerge w:val="restart"/>
                  <w:noWrap w:val="0"/>
                  <w:vAlign w:val="center"/>
                </w:tcPr>
                <w:p w14:paraId="6D8FAADD">
                  <w:pPr>
                    <w:adjustRightInd w:val="0"/>
                    <w:snapToGrid w:val="0"/>
                    <w:ind w:left="-105" w:leftChars="-50" w:right="-105" w:rightChars="-50"/>
                    <w:jc w:val="center"/>
                    <w:rPr>
                      <w:b/>
                      <w:color w:val="auto"/>
                      <w:sz w:val="21"/>
                      <w:szCs w:val="21"/>
                    </w:rPr>
                  </w:pPr>
                  <w:r>
                    <w:rPr>
                      <w:rFonts w:hAnsi="宋体"/>
                      <w:b/>
                      <w:color w:val="auto"/>
                      <w:sz w:val="21"/>
                      <w:szCs w:val="21"/>
                    </w:rPr>
                    <w:t>声源控制措施</w:t>
                  </w:r>
                </w:p>
              </w:tc>
              <w:tc>
                <w:tcPr>
                  <w:tcW w:w="648" w:type="pct"/>
                  <w:gridSpan w:val="3"/>
                  <w:noWrap w:val="0"/>
                  <w:vAlign w:val="center"/>
                </w:tcPr>
                <w:p w14:paraId="4FD8F020">
                  <w:pPr>
                    <w:adjustRightInd w:val="0"/>
                    <w:snapToGrid w:val="0"/>
                    <w:ind w:left="-105" w:leftChars="-50" w:right="-105" w:rightChars="-50"/>
                    <w:jc w:val="center"/>
                    <w:rPr>
                      <w:b/>
                      <w:color w:val="auto"/>
                      <w:sz w:val="21"/>
                      <w:szCs w:val="21"/>
                    </w:rPr>
                  </w:pPr>
                  <w:r>
                    <w:rPr>
                      <w:rFonts w:hAnsi="宋体"/>
                      <w:b/>
                      <w:color w:val="auto"/>
                      <w:sz w:val="21"/>
                      <w:szCs w:val="21"/>
                    </w:rPr>
                    <w:t>空间相对位置</w:t>
                  </w:r>
                  <w:r>
                    <w:rPr>
                      <w:b/>
                      <w:color w:val="auto"/>
                      <w:sz w:val="21"/>
                      <w:szCs w:val="21"/>
                    </w:rPr>
                    <w:t>/m</w:t>
                  </w:r>
                </w:p>
              </w:tc>
              <w:tc>
                <w:tcPr>
                  <w:tcW w:w="263" w:type="pct"/>
                  <w:vMerge w:val="restart"/>
                  <w:noWrap w:val="0"/>
                  <w:vAlign w:val="center"/>
                </w:tcPr>
                <w:p w14:paraId="05063CCA">
                  <w:pPr>
                    <w:adjustRightInd w:val="0"/>
                    <w:snapToGrid w:val="0"/>
                    <w:ind w:left="-105" w:leftChars="-50" w:right="-105" w:rightChars="-50"/>
                    <w:jc w:val="center"/>
                    <w:rPr>
                      <w:b/>
                      <w:color w:val="auto"/>
                      <w:sz w:val="21"/>
                      <w:szCs w:val="21"/>
                    </w:rPr>
                  </w:pPr>
                  <w:r>
                    <w:rPr>
                      <w:rFonts w:hAnsi="宋体"/>
                      <w:b/>
                      <w:color w:val="auto"/>
                      <w:sz w:val="21"/>
                      <w:szCs w:val="21"/>
                    </w:rPr>
                    <w:t>距室内边界</w:t>
                  </w:r>
                  <w:r>
                    <w:rPr>
                      <w:rFonts w:hint="eastAsia" w:hAnsi="宋体"/>
                      <w:b/>
                      <w:color w:val="auto"/>
                      <w:sz w:val="21"/>
                      <w:szCs w:val="21"/>
                      <w:lang w:eastAsia="zh-CN"/>
                    </w:rPr>
                    <w:t>最近</w:t>
                  </w:r>
                  <w:r>
                    <w:rPr>
                      <w:rFonts w:hAnsi="宋体"/>
                      <w:b/>
                      <w:color w:val="auto"/>
                      <w:sz w:val="21"/>
                      <w:szCs w:val="21"/>
                    </w:rPr>
                    <w:t>距离</w:t>
                  </w:r>
                  <w:r>
                    <w:rPr>
                      <w:b/>
                      <w:color w:val="auto"/>
                      <w:sz w:val="21"/>
                      <w:szCs w:val="21"/>
                    </w:rPr>
                    <w:t>/m</w:t>
                  </w:r>
                </w:p>
              </w:tc>
              <w:tc>
                <w:tcPr>
                  <w:tcW w:w="261" w:type="pct"/>
                  <w:vMerge w:val="restart"/>
                  <w:noWrap w:val="0"/>
                  <w:vAlign w:val="center"/>
                </w:tcPr>
                <w:p w14:paraId="5860D4EC">
                  <w:pPr>
                    <w:adjustRightInd w:val="0"/>
                    <w:snapToGrid w:val="0"/>
                    <w:ind w:left="-105" w:leftChars="-50" w:right="-105" w:rightChars="-50"/>
                    <w:jc w:val="center"/>
                    <w:rPr>
                      <w:b/>
                      <w:color w:val="auto"/>
                      <w:sz w:val="21"/>
                      <w:szCs w:val="21"/>
                    </w:rPr>
                  </w:pPr>
                  <w:r>
                    <w:rPr>
                      <w:rFonts w:hAnsi="宋体"/>
                      <w:b/>
                      <w:color w:val="auto"/>
                      <w:sz w:val="21"/>
                      <w:szCs w:val="21"/>
                    </w:rPr>
                    <w:t>室内边界声级</w:t>
                  </w:r>
                </w:p>
              </w:tc>
              <w:tc>
                <w:tcPr>
                  <w:tcW w:w="375" w:type="pct"/>
                  <w:vMerge w:val="restart"/>
                  <w:noWrap w:val="0"/>
                  <w:vAlign w:val="center"/>
                </w:tcPr>
                <w:p w14:paraId="22353CF7">
                  <w:pPr>
                    <w:adjustRightInd w:val="0"/>
                    <w:snapToGrid w:val="0"/>
                    <w:ind w:left="-105" w:leftChars="-50" w:right="-105" w:rightChars="-50"/>
                    <w:jc w:val="center"/>
                    <w:rPr>
                      <w:b/>
                      <w:color w:val="auto"/>
                      <w:sz w:val="21"/>
                      <w:szCs w:val="21"/>
                    </w:rPr>
                  </w:pPr>
                  <w:r>
                    <w:rPr>
                      <w:rFonts w:hAnsi="宋体"/>
                      <w:b/>
                      <w:color w:val="auto"/>
                      <w:sz w:val="21"/>
                      <w:szCs w:val="21"/>
                    </w:rPr>
                    <w:t>运行时段</w:t>
                  </w:r>
                </w:p>
              </w:tc>
              <w:tc>
                <w:tcPr>
                  <w:tcW w:w="326" w:type="pct"/>
                  <w:vMerge w:val="restart"/>
                  <w:noWrap w:val="0"/>
                  <w:vAlign w:val="center"/>
                </w:tcPr>
                <w:p w14:paraId="625751F1">
                  <w:pPr>
                    <w:adjustRightInd w:val="0"/>
                    <w:snapToGrid w:val="0"/>
                    <w:ind w:left="-105" w:leftChars="-50" w:right="-105" w:rightChars="-50"/>
                    <w:jc w:val="center"/>
                    <w:rPr>
                      <w:b/>
                      <w:color w:val="auto"/>
                      <w:sz w:val="21"/>
                      <w:szCs w:val="21"/>
                    </w:rPr>
                  </w:pPr>
                  <w:r>
                    <w:rPr>
                      <w:rFonts w:hAnsi="宋体"/>
                      <w:b/>
                      <w:color w:val="auto"/>
                      <w:sz w:val="21"/>
                      <w:szCs w:val="21"/>
                    </w:rPr>
                    <w:t>建筑物插入损失</w:t>
                  </w:r>
                  <w:r>
                    <w:rPr>
                      <w:b/>
                      <w:color w:val="auto"/>
                      <w:sz w:val="21"/>
                      <w:szCs w:val="21"/>
                    </w:rPr>
                    <w:t>/dB(A)</w:t>
                  </w:r>
                </w:p>
              </w:tc>
              <w:tc>
                <w:tcPr>
                  <w:tcW w:w="764" w:type="pct"/>
                  <w:gridSpan w:val="2"/>
                  <w:noWrap w:val="0"/>
                  <w:vAlign w:val="center"/>
                </w:tcPr>
                <w:p w14:paraId="07131D65">
                  <w:pPr>
                    <w:adjustRightInd w:val="0"/>
                    <w:snapToGrid w:val="0"/>
                    <w:ind w:left="-105" w:leftChars="-50" w:right="-105" w:rightChars="-50"/>
                    <w:jc w:val="center"/>
                    <w:rPr>
                      <w:b/>
                      <w:color w:val="auto"/>
                      <w:sz w:val="21"/>
                      <w:szCs w:val="21"/>
                    </w:rPr>
                  </w:pPr>
                  <w:r>
                    <w:rPr>
                      <w:rFonts w:hAnsi="宋体"/>
                      <w:b/>
                      <w:color w:val="auto"/>
                      <w:sz w:val="21"/>
                      <w:szCs w:val="21"/>
                    </w:rPr>
                    <w:t>建筑物外噪声</w:t>
                  </w:r>
                </w:p>
              </w:tc>
            </w:tr>
            <w:tr w14:paraId="0AA55E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noWrap w:val="0"/>
                  <w:vAlign w:val="center"/>
                </w:tcPr>
                <w:p w14:paraId="148A34C3">
                  <w:pPr>
                    <w:adjustRightInd w:val="0"/>
                    <w:snapToGrid w:val="0"/>
                    <w:ind w:left="-105" w:leftChars="-50" w:right="-105" w:rightChars="-50"/>
                    <w:jc w:val="center"/>
                    <w:rPr>
                      <w:b/>
                      <w:color w:val="auto"/>
                      <w:sz w:val="21"/>
                      <w:szCs w:val="21"/>
                    </w:rPr>
                  </w:pPr>
                </w:p>
              </w:tc>
              <w:tc>
                <w:tcPr>
                  <w:tcW w:w="812" w:type="pct"/>
                  <w:vMerge w:val="continue"/>
                  <w:noWrap w:val="0"/>
                  <w:vAlign w:val="center"/>
                </w:tcPr>
                <w:p w14:paraId="736F756B">
                  <w:pPr>
                    <w:adjustRightInd w:val="0"/>
                    <w:snapToGrid w:val="0"/>
                    <w:ind w:left="-105" w:leftChars="-50" w:right="-105" w:rightChars="-50"/>
                    <w:jc w:val="center"/>
                    <w:rPr>
                      <w:b/>
                      <w:color w:val="auto"/>
                      <w:sz w:val="21"/>
                      <w:szCs w:val="21"/>
                    </w:rPr>
                  </w:pPr>
                </w:p>
              </w:tc>
              <w:tc>
                <w:tcPr>
                  <w:tcW w:w="202" w:type="pct"/>
                  <w:vMerge w:val="continue"/>
                  <w:noWrap w:val="0"/>
                  <w:vAlign w:val="center"/>
                </w:tcPr>
                <w:p w14:paraId="19E9B2F2">
                  <w:pPr>
                    <w:adjustRightInd w:val="0"/>
                    <w:snapToGrid w:val="0"/>
                    <w:ind w:left="-105" w:leftChars="-50" w:right="-105" w:rightChars="-50"/>
                    <w:jc w:val="center"/>
                    <w:rPr>
                      <w:b/>
                      <w:color w:val="auto"/>
                      <w:sz w:val="21"/>
                      <w:szCs w:val="21"/>
                    </w:rPr>
                  </w:pPr>
                </w:p>
              </w:tc>
              <w:tc>
                <w:tcPr>
                  <w:tcW w:w="204" w:type="pct"/>
                  <w:vMerge w:val="continue"/>
                  <w:noWrap w:val="0"/>
                  <w:vAlign w:val="center"/>
                </w:tcPr>
                <w:p w14:paraId="6B326A5B">
                  <w:pPr>
                    <w:adjustRightInd w:val="0"/>
                    <w:snapToGrid w:val="0"/>
                    <w:ind w:left="-105" w:leftChars="-50" w:right="-105" w:rightChars="-50"/>
                    <w:jc w:val="center"/>
                    <w:rPr>
                      <w:b/>
                      <w:color w:val="auto"/>
                      <w:sz w:val="21"/>
                      <w:szCs w:val="21"/>
                    </w:rPr>
                  </w:pPr>
                </w:p>
              </w:tc>
              <w:tc>
                <w:tcPr>
                  <w:tcW w:w="587" w:type="pct"/>
                  <w:noWrap w:val="0"/>
                  <w:vAlign w:val="center"/>
                </w:tcPr>
                <w:p w14:paraId="510836C5">
                  <w:pPr>
                    <w:adjustRightInd w:val="0"/>
                    <w:snapToGrid w:val="0"/>
                    <w:ind w:left="-105" w:leftChars="-50" w:right="-105" w:rightChars="-50"/>
                    <w:jc w:val="center"/>
                    <w:rPr>
                      <w:b/>
                      <w:color w:val="auto"/>
                      <w:sz w:val="21"/>
                      <w:szCs w:val="21"/>
                    </w:rPr>
                  </w:pPr>
                  <w:r>
                    <w:rPr>
                      <w:rFonts w:hAnsi="宋体"/>
                      <w:b/>
                      <w:color w:val="auto"/>
                      <w:sz w:val="21"/>
                      <w:szCs w:val="21"/>
                    </w:rPr>
                    <w:t>声</w:t>
                  </w:r>
                  <w:r>
                    <w:rPr>
                      <w:rFonts w:hint="eastAsia" w:hAnsi="宋体"/>
                      <w:b/>
                      <w:color w:val="auto"/>
                      <w:sz w:val="21"/>
                      <w:szCs w:val="21"/>
                      <w:lang w:eastAsia="zh-CN"/>
                    </w:rPr>
                    <w:t>功率</w:t>
                  </w:r>
                  <w:r>
                    <w:rPr>
                      <w:rFonts w:hAnsi="宋体"/>
                      <w:b/>
                      <w:color w:val="auto"/>
                      <w:sz w:val="21"/>
                      <w:szCs w:val="21"/>
                    </w:rPr>
                    <w:t>级</w:t>
                  </w:r>
                  <w:r>
                    <w:rPr>
                      <w:b/>
                      <w:color w:val="auto"/>
                      <w:sz w:val="21"/>
                      <w:szCs w:val="21"/>
                    </w:rPr>
                    <w:t>/dB(A)</w:t>
                  </w:r>
                </w:p>
              </w:tc>
              <w:tc>
                <w:tcPr>
                  <w:tcW w:w="344" w:type="pct"/>
                  <w:vMerge w:val="continue"/>
                  <w:noWrap w:val="0"/>
                  <w:vAlign w:val="center"/>
                </w:tcPr>
                <w:p w14:paraId="71481876">
                  <w:pPr>
                    <w:adjustRightInd w:val="0"/>
                    <w:snapToGrid w:val="0"/>
                    <w:ind w:left="-105" w:leftChars="-50" w:right="-105" w:rightChars="-50"/>
                    <w:jc w:val="center"/>
                    <w:rPr>
                      <w:b/>
                      <w:color w:val="auto"/>
                      <w:sz w:val="21"/>
                      <w:szCs w:val="21"/>
                    </w:rPr>
                  </w:pPr>
                </w:p>
              </w:tc>
              <w:tc>
                <w:tcPr>
                  <w:tcW w:w="209" w:type="pct"/>
                  <w:noWrap w:val="0"/>
                  <w:vAlign w:val="center"/>
                </w:tcPr>
                <w:p w14:paraId="62E7BAF9">
                  <w:pPr>
                    <w:adjustRightInd w:val="0"/>
                    <w:snapToGrid w:val="0"/>
                    <w:ind w:left="-105" w:leftChars="-50" w:right="-105" w:rightChars="-50"/>
                    <w:jc w:val="center"/>
                    <w:rPr>
                      <w:b/>
                      <w:color w:val="auto"/>
                      <w:sz w:val="21"/>
                      <w:szCs w:val="21"/>
                    </w:rPr>
                  </w:pPr>
                  <w:r>
                    <w:rPr>
                      <w:b/>
                      <w:color w:val="auto"/>
                      <w:sz w:val="21"/>
                      <w:szCs w:val="21"/>
                    </w:rPr>
                    <w:t>X</w:t>
                  </w:r>
                </w:p>
              </w:tc>
              <w:tc>
                <w:tcPr>
                  <w:tcW w:w="209" w:type="pct"/>
                  <w:noWrap w:val="0"/>
                  <w:vAlign w:val="center"/>
                </w:tcPr>
                <w:p w14:paraId="5BBEC22C">
                  <w:pPr>
                    <w:adjustRightInd w:val="0"/>
                    <w:snapToGrid w:val="0"/>
                    <w:ind w:left="-105" w:leftChars="-50" w:right="-105" w:rightChars="-50"/>
                    <w:jc w:val="center"/>
                    <w:rPr>
                      <w:b/>
                      <w:color w:val="auto"/>
                      <w:sz w:val="21"/>
                      <w:szCs w:val="21"/>
                    </w:rPr>
                  </w:pPr>
                  <w:r>
                    <w:rPr>
                      <w:b/>
                      <w:color w:val="auto"/>
                      <w:sz w:val="21"/>
                      <w:szCs w:val="21"/>
                    </w:rPr>
                    <w:t>Y</w:t>
                  </w:r>
                </w:p>
              </w:tc>
              <w:tc>
                <w:tcPr>
                  <w:tcW w:w="230" w:type="pct"/>
                  <w:noWrap w:val="0"/>
                  <w:vAlign w:val="center"/>
                </w:tcPr>
                <w:p w14:paraId="16F127A4">
                  <w:pPr>
                    <w:adjustRightInd w:val="0"/>
                    <w:snapToGrid w:val="0"/>
                    <w:ind w:left="-105" w:leftChars="-50" w:right="-105" w:rightChars="-50"/>
                    <w:jc w:val="center"/>
                    <w:rPr>
                      <w:b/>
                      <w:color w:val="auto"/>
                      <w:sz w:val="21"/>
                      <w:szCs w:val="21"/>
                    </w:rPr>
                  </w:pPr>
                  <w:r>
                    <w:rPr>
                      <w:b/>
                      <w:color w:val="auto"/>
                      <w:sz w:val="21"/>
                      <w:szCs w:val="21"/>
                    </w:rPr>
                    <w:t>Z</w:t>
                  </w:r>
                </w:p>
              </w:tc>
              <w:tc>
                <w:tcPr>
                  <w:tcW w:w="263" w:type="pct"/>
                  <w:vMerge w:val="continue"/>
                  <w:noWrap w:val="0"/>
                  <w:vAlign w:val="center"/>
                </w:tcPr>
                <w:p w14:paraId="157CBDDC">
                  <w:pPr>
                    <w:adjustRightInd w:val="0"/>
                    <w:snapToGrid w:val="0"/>
                    <w:ind w:left="-105" w:leftChars="-50" w:right="-105" w:rightChars="-50"/>
                    <w:jc w:val="center"/>
                    <w:rPr>
                      <w:b/>
                      <w:color w:val="auto"/>
                      <w:sz w:val="21"/>
                      <w:szCs w:val="21"/>
                    </w:rPr>
                  </w:pPr>
                </w:p>
              </w:tc>
              <w:tc>
                <w:tcPr>
                  <w:tcW w:w="261" w:type="pct"/>
                  <w:vMerge w:val="continue"/>
                  <w:noWrap w:val="0"/>
                  <w:vAlign w:val="center"/>
                </w:tcPr>
                <w:p w14:paraId="350E5C91">
                  <w:pPr>
                    <w:adjustRightInd w:val="0"/>
                    <w:snapToGrid w:val="0"/>
                    <w:ind w:left="-105" w:leftChars="-50" w:right="-105" w:rightChars="-50"/>
                    <w:jc w:val="center"/>
                    <w:rPr>
                      <w:b/>
                      <w:color w:val="auto"/>
                      <w:sz w:val="21"/>
                      <w:szCs w:val="21"/>
                    </w:rPr>
                  </w:pPr>
                </w:p>
              </w:tc>
              <w:tc>
                <w:tcPr>
                  <w:tcW w:w="375" w:type="pct"/>
                  <w:vMerge w:val="continue"/>
                  <w:noWrap w:val="0"/>
                  <w:vAlign w:val="center"/>
                </w:tcPr>
                <w:p w14:paraId="72CCCD6B">
                  <w:pPr>
                    <w:adjustRightInd w:val="0"/>
                    <w:snapToGrid w:val="0"/>
                    <w:ind w:left="-105" w:leftChars="-50" w:right="-105" w:rightChars="-50"/>
                    <w:jc w:val="center"/>
                    <w:rPr>
                      <w:b/>
                      <w:color w:val="auto"/>
                      <w:sz w:val="21"/>
                      <w:szCs w:val="21"/>
                    </w:rPr>
                  </w:pPr>
                </w:p>
              </w:tc>
              <w:tc>
                <w:tcPr>
                  <w:tcW w:w="326" w:type="pct"/>
                  <w:vMerge w:val="continue"/>
                  <w:noWrap w:val="0"/>
                  <w:vAlign w:val="center"/>
                </w:tcPr>
                <w:p w14:paraId="13BA154E">
                  <w:pPr>
                    <w:adjustRightInd w:val="0"/>
                    <w:snapToGrid w:val="0"/>
                    <w:ind w:left="-105" w:leftChars="-50" w:right="-105" w:rightChars="-50"/>
                    <w:jc w:val="center"/>
                    <w:rPr>
                      <w:b/>
                      <w:color w:val="auto"/>
                      <w:sz w:val="21"/>
                      <w:szCs w:val="21"/>
                    </w:rPr>
                  </w:pPr>
                </w:p>
              </w:tc>
              <w:tc>
                <w:tcPr>
                  <w:tcW w:w="367" w:type="pct"/>
                  <w:noWrap w:val="0"/>
                  <w:vAlign w:val="center"/>
                </w:tcPr>
                <w:p w14:paraId="6098E981">
                  <w:pPr>
                    <w:adjustRightInd w:val="0"/>
                    <w:snapToGrid w:val="0"/>
                    <w:ind w:left="-105" w:leftChars="-50" w:right="-105" w:rightChars="-50"/>
                    <w:jc w:val="center"/>
                    <w:rPr>
                      <w:b/>
                      <w:color w:val="auto"/>
                      <w:sz w:val="21"/>
                      <w:szCs w:val="21"/>
                    </w:rPr>
                  </w:pPr>
                  <w:r>
                    <w:rPr>
                      <w:rFonts w:hAnsi="宋体"/>
                      <w:b/>
                      <w:color w:val="auto"/>
                      <w:sz w:val="21"/>
                      <w:szCs w:val="21"/>
                    </w:rPr>
                    <w:t>声压级</w:t>
                  </w:r>
                  <w:r>
                    <w:rPr>
                      <w:b/>
                      <w:color w:val="auto"/>
                      <w:sz w:val="21"/>
                      <w:szCs w:val="21"/>
                    </w:rPr>
                    <w:t>/dB(A)</w:t>
                  </w:r>
                </w:p>
              </w:tc>
              <w:tc>
                <w:tcPr>
                  <w:tcW w:w="396" w:type="pct"/>
                  <w:noWrap w:val="0"/>
                  <w:vAlign w:val="center"/>
                </w:tcPr>
                <w:p w14:paraId="6BBD0963">
                  <w:pPr>
                    <w:adjustRightInd w:val="0"/>
                    <w:snapToGrid w:val="0"/>
                    <w:ind w:left="-105" w:leftChars="-50" w:right="-105" w:rightChars="-50"/>
                    <w:jc w:val="center"/>
                    <w:rPr>
                      <w:b/>
                      <w:color w:val="auto"/>
                      <w:sz w:val="21"/>
                      <w:szCs w:val="21"/>
                    </w:rPr>
                  </w:pPr>
                  <w:r>
                    <w:rPr>
                      <w:rFonts w:hAnsi="宋体"/>
                      <w:b/>
                      <w:color w:val="auto"/>
                      <w:sz w:val="21"/>
                      <w:szCs w:val="21"/>
                    </w:rPr>
                    <w:t>建筑物外距离</w:t>
                  </w:r>
                </w:p>
              </w:tc>
            </w:tr>
            <w:tr w14:paraId="23CA43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restart"/>
                  <w:noWrap w:val="0"/>
                  <w:vAlign w:val="center"/>
                </w:tcPr>
                <w:p w14:paraId="644C4464">
                  <w:pPr>
                    <w:adjustRightInd w:val="0"/>
                    <w:snapToGrid w:val="0"/>
                    <w:ind w:left="-105" w:leftChars="-50" w:right="-105" w:rightChars="-50"/>
                    <w:jc w:val="center"/>
                    <w:rPr>
                      <w:rFonts w:hint="default" w:hAnsi="宋体"/>
                      <w:color w:val="auto"/>
                      <w:sz w:val="21"/>
                      <w:szCs w:val="21"/>
                      <w:lang w:val="en-US" w:eastAsia="zh-CN"/>
                    </w:rPr>
                  </w:pPr>
                  <w:r>
                    <w:rPr>
                      <w:rFonts w:hint="eastAsia" w:hAnsi="宋体"/>
                      <w:color w:val="auto"/>
                      <w:sz w:val="21"/>
                      <w:szCs w:val="21"/>
                      <w:lang w:val="en-US" w:eastAsia="zh-CN"/>
                    </w:rPr>
                    <w:t>车间</w:t>
                  </w:r>
                </w:p>
              </w:tc>
              <w:tc>
                <w:tcPr>
                  <w:tcW w:w="812" w:type="pct"/>
                  <w:noWrap w:val="0"/>
                  <w:vAlign w:val="center"/>
                </w:tcPr>
                <w:p w14:paraId="519D764D">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印刷机</w:t>
                  </w:r>
                </w:p>
              </w:tc>
              <w:tc>
                <w:tcPr>
                  <w:tcW w:w="202" w:type="pct"/>
                  <w:noWrap w:val="0"/>
                  <w:vAlign w:val="center"/>
                </w:tcPr>
                <w:p w14:paraId="1121DE7E">
                  <w:pPr>
                    <w:widowControl/>
                    <w:adjustRightInd w:val="0"/>
                    <w:snapToGrid w:val="0"/>
                    <w:ind w:left="-105" w:leftChars="-50" w:right="-105" w:rightChars="-50"/>
                    <w:jc w:val="center"/>
                    <w:textAlignment w:val="center"/>
                    <w:rPr>
                      <w:rFonts w:hint="eastAsia"/>
                      <w:color w:val="auto"/>
                      <w:sz w:val="21"/>
                      <w:szCs w:val="21"/>
                    </w:rPr>
                  </w:pPr>
                  <w:r>
                    <w:rPr>
                      <w:rFonts w:hint="eastAsia"/>
                      <w:color w:val="auto"/>
                      <w:sz w:val="21"/>
                      <w:szCs w:val="21"/>
                    </w:rPr>
                    <w:t>/</w:t>
                  </w:r>
                </w:p>
              </w:tc>
              <w:tc>
                <w:tcPr>
                  <w:tcW w:w="204" w:type="pct"/>
                  <w:noWrap w:val="0"/>
                  <w:vAlign w:val="center"/>
                </w:tcPr>
                <w:p w14:paraId="33D47F45">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87" w:type="pct"/>
                  <w:noWrap w:val="0"/>
                  <w:vAlign w:val="center"/>
                </w:tcPr>
                <w:p w14:paraId="3F775B61">
                  <w:pPr>
                    <w:jc w:val="center"/>
                    <w:rPr>
                      <w:rFonts w:hint="default"/>
                      <w:color w:val="auto"/>
                      <w:sz w:val="21"/>
                      <w:szCs w:val="21"/>
                      <w:lang w:val="en-US" w:eastAsia="zh-CN"/>
                    </w:rPr>
                  </w:pPr>
                  <w:r>
                    <w:rPr>
                      <w:rFonts w:hint="eastAsia"/>
                      <w:color w:val="auto"/>
                      <w:sz w:val="21"/>
                      <w:szCs w:val="21"/>
                      <w:lang w:val="en-US" w:eastAsia="zh-CN"/>
                    </w:rPr>
                    <w:t>70</w:t>
                  </w:r>
                </w:p>
              </w:tc>
              <w:tc>
                <w:tcPr>
                  <w:tcW w:w="344" w:type="pct"/>
                  <w:vMerge w:val="restart"/>
                  <w:noWrap w:val="0"/>
                  <w:vAlign w:val="center"/>
                </w:tcPr>
                <w:p w14:paraId="75E548C4">
                  <w:pPr>
                    <w:adjustRightInd w:val="0"/>
                    <w:snapToGrid w:val="0"/>
                    <w:ind w:left="-105" w:leftChars="-50" w:right="-105" w:rightChars="-50"/>
                    <w:jc w:val="center"/>
                    <w:rPr>
                      <w:rFonts w:hAnsi="宋体"/>
                      <w:bCs/>
                      <w:color w:val="auto"/>
                      <w:sz w:val="21"/>
                      <w:szCs w:val="21"/>
                    </w:rPr>
                  </w:pPr>
                  <w:r>
                    <w:rPr>
                      <w:rFonts w:hAnsi="宋体"/>
                      <w:bCs/>
                      <w:color w:val="auto"/>
                      <w:sz w:val="21"/>
                      <w:szCs w:val="21"/>
                    </w:rPr>
                    <w:t>减振、厂房隔音</w:t>
                  </w:r>
                </w:p>
              </w:tc>
              <w:tc>
                <w:tcPr>
                  <w:tcW w:w="209" w:type="pct"/>
                  <w:noWrap w:val="0"/>
                  <w:vAlign w:val="center"/>
                </w:tcPr>
                <w:p w14:paraId="3225B004">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12</w:t>
                  </w:r>
                </w:p>
              </w:tc>
              <w:tc>
                <w:tcPr>
                  <w:tcW w:w="209" w:type="pct"/>
                  <w:noWrap w:val="0"/>
                  <w:vAlign w:val="center"/>
                </w:tcPr>
                <w:p w14:paraId="6D88F501">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25</w:t>
                  </w:r>
                </w:p>
              </w:tc>
              <w:tc>
                <w:tcPr>
                  <w:tcW w:w="230" w:type="pct"/>
                  <w:noWrap w:val="0"/>
                  <w:vAlign w:val="center"/>
                </w:tcPr>
                <w:p w14:paraId="0E5974C1">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1</w:t>
                  </w:r>
                </w:p>
              </w:tc>
              <w:tc>
                <w:tcPr>
                  <w:tcW w:w="263" w:type="pct"/>
                  <w:noWrap w:val="0"/>
                  <w:vAlign w:val="center"/>
                </w:tcPr>
                <w:p w14:paraId="4FA3ADE4">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3</w:t>
                  </w:r>
                </w:p>
              </w:tc>
              <w:tc>
                <w:tcPr>
                  <w:tcW w:w="261" w:type="pct"/>
                  <w:noWrap w:val="0"/>
                  <w:vAlign w:val="center"/>
                </w:tcPr>
                <w:p w14:paraId="24CAB3BD">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60.46</w:t>
                  </w:r>
                </w:p>
              </w:tc>
              <w:tc>
                <w:tcPr>
                  <w:tcW w:w="375" w:type="pct"/>
                  <w:noWrap w:val="0"/>
                  <w:vAlign w:val="center"/>
                </w:tcPr>
                <w:p w14:paraId="3EE9EE5F">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8:00-16:00</w:t>
                  </w:r>
                </w:p>
              </w:tc>
              <w:tc>
                <w:tcPr>
                  <w:tcW w:w="326" w:type="pct"/>
                  <w:noWrap w:val="0"/>
                  <w:vAlign w:val="center"/>
                </w:tcPr>
                <w:p w14:paraId="0A544A60">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25</w:t>
                  </w:r>
                </w:p>
              </w:tc>
              <w:tc>
                <w:tcPr>
                  <w:tcW w:w="1019" w:type="dxa"/>
                  <w:noWrap w:val="0"/>
                  <w:vAlign w:val="center"/>
                </w:tcPr>
                <w:p w14:paraId="582E236A">
                  <w:pPr>
                    <w:adjustRightInd w:val="0"/>
                    <w:snapToGrid w:val="0"/>
                    <w:ind w:left="-105" w:leftChars="-50" w:right="-105" w:rightChars="-5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35.46</w:t>
                  </w:r>
                </w:p>
              </w:tc>
              <w:tc>
                <w:tcPr>
                  <w:tcW w:w="396" w:type="pct"/>
                  <w:noWrap w:val="0"/>
                  <w:vAlign w:val="center"/>
                </w:tcPr>
                <w:p w14:paraId="0AB5799D">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1m</w:t>
                  </w:r>
                </w:p>
              </w:tc>
            </w:tr>
            <w:tr w14:paraId="27C987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noWrap w:val="0"/>
                  <w:vAlign w:val="center"/>
                </w:tcPr>
                <w:p w14:paraId="0EEFD92F">
                  <w:pPr>
                    <w:adjustRightInd w:val="0"/>
                    <w:snapToGrid w:val="0"/>
                    <w:ind w:left="-105" w:leftChars="-50" w:right="-105" w:rightChars="-50"/>
                    <w:jc w:val="center"/>
                    <w:rPr>
                      <w:rFonts w:hint="eastAsia" w:hAnsi="宋体"/>
                      <w:color w:val="auto"/>
                      <w:sz w:val="21"/>
                      <w:szCs w:val="21"/>
                      <w:lang w:eastAsia="zh-CN"/>
                    </w:rPr>
                  </w:pPr>
                </w:p>
              </w:tc>
              <w:tc>
                <w:tcPr>
                  <w:tcW w:w="812" w:type="pct"/>
                  <w:noWrap w:val="0"/>
                  <w:vAlign w:val="center"/>
                </w:tcPr>
                <w:p w14:paraId="3FBD379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cs="Times New Roman"/>
                      <w:bCs/>
                      <w:color w:val="auto"/>
                      <w:sz w:val="21"/>
                      <w:szCs w:val="21"/>
                      <w:lang w:val="en-US" w:eastAsia="zh-CN"/>
                    </w:rPr>
                    <w:t>复合机</w:t>
                  </w:r>
                </w:p>
              </w:tc>
              <w:tc>
                <w:tcPr>
                  <w:tcW w:w="202" w:type="pct"/>
                  <w:noWrap w:val="0"/>
                  <w:vAlign w:val="center"/>
                </w:tcPr>
                <w:p w14:paraId="32DB74A7">
                  <w:pPr>
                    <w:widowControl/>
                    <w:adjustRightInd w:val="0"/>
                    <w:snapToGrid w:val="0"/>
                    <w:ind w:left="-105" w:leftChars="-50" w:right="-105" w:rightChars="-50"/>
                    <w:jc w:val="center"/>
                    <w:textAlignment w:val="center"/>
                    <w:rPr>
                      <w:rFonts w:hint="eastAsia"/>
                      <w:color w:val="auto"/>
                      <w:sz w:val="21"/>
                      <w:szCs w:val="21"/>
                    </w:rPr>
                  </w:pPr>
                  <w:r>
                    <w:rPr>
                      <w:rFonts w:hint="eastAsia"/>
                      <w:color w:val="auto"/>
                      <w:sz w:val="21"/>
                      <w:szCs w:val="21"/>
                    </w:rPr>
                    <w:t>/</w:t>
                  </w:r>
                </w:p>
              </w:tc>
              <w:tc>
                <w:tcPr>
                  <w:tcW w:w="204" w:type="pct"/>
                  <w:noWrap w:val="0"/>
                  <w:vAlign w:val="center"/>
                </w:tcPr>
                <w:p w14:paraId="2C07F34D">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87" w:type="pct"/>
                  <w:noWrap w:val="0"/>
                  <w:vAlign w:val="center"/>
                </w:tcPr>
                <w:p w14:paraId="65991972">
                  <w:pPr>
                    <w:jc w:val="center"/>
                    <w:rPr>
                      <w:rFonts w:hint="eastAsia"/>
                      <w:color w:val="auto"/>
                      <w:sz w:val="21"/>
                      <w:szCs w:val="21"/>
                      <w:lang w:val="en-US" w:eastAsia="zh-CN"/>
                    </w:rPr>
                  </w:pPr>
                  <w:r>
                    <w:rPr>
                      <w:rFonts w:hint="eastAsia"/>
                      <w:color w:val="auto"/>
                      <w:sz w:val="21"/>
                      <w:szCs w:val="21"/>
                      <w:lang w:val="en-US" w:eastAsia="zh-CN"/>
                    </w:rPr>
                    <w:t>70</w:t>
                  </w:r>
                </w:p>
              </w:tc>
              <w:tc>
                <w:tcPr>
                  <w:tcW w:w="344" w:type="pct"/>
                  <w:vMerge w:val="continue"/>
                  <w:noWrap w:val="0"/>
                  <w:vAlign w:val="center"/>
                </w:tcPr>
                <w:p w14:paraId="2793D84A">
                  <w:pPr>
                    <w:adjustRightInd w:val="0"/>
                    <w:snapToGrid w:val="0"/>
                    <w:ind w:left="-105" w:leftChars="-50" w:right="-105" w:rightChars="-50"/>
                    <w:jc w:val="center"/>
                    <w:rPr>
                      <w:rFonts w:hAnsi="宋体"/>
                      <w:bCs/>
                      <w:color w:val="auto"/>
                      <w:sz w:val="21"/>
                      <w:szCs w:val="21"/>
                    </w:rPr>
                  </w:pPr>
                </w:p>
              </w:tc>
              <w:tc>
                <w:tcPr>
                  <w:tcW w:w="209" w:type="pct"/>
                  <w:noWrap w:val="0"/>
                  <w:vAlign w:val="center"/>
                </w:tcPr>
                <w:p w14:paraId="7975CFB6">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18</w:t>
                  </w:r>
                </w:p>
              </w:tc>
              <w:tc>
                <w:tcPr>
                  <w:tcW w:w="209" w:type="pct"/>
                  <w:noWrap w:val="0"/>
                  <w:vAlign w:val="center"/>
                </w:tcPr>
                <w:p w14:paraId="308D4C75">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25</w:t>
                  </w:r>
                </w:p>
              </w:tc>
              <w:tc>
                <w:tcPr>
                  <w:tcW w:w="230" w:type="pct"/>
                  <w:noWrap w:val="0"/>
                  <w:vAlign w:val="center"/>
                </w:tcPr>
                <w:p w14:paraId="7E8D025F">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1</w:t>
                  </w:r>
                </w:p>
              </w:tc>
              <w:tc>
                <w:tcPr>
                  <w:tcW w:w="263" w:type="pct"/>
                  <w:noWrap w:val="0"/>
                  <w:vAlign w:val="center"/>
                </w:tcPr>
                <w:p w14:paraId="60A1428D">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3</w:t>
                  </w:r>
                </w:p>
              </w:tc>
              <w:tc>
                <w:tcPr>
                  <w:tcW w:w="261" w:type="pct"/>
                  <w:noWrap w:val="0"/>
                  <w:vAlign w:val="center"/>
                </w:tcPr>
                <w:p w14:paraId="3C83ED70">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60.46</w:t>
                  </w:r>
                </w:p>
              </w:tc>
              <w:tc>
                <w:tcPr>
                  <w:tcW w:w="375" w:type="pct"/>
                  <w:noWrap w:val="0"/>
                  <w:vAlign w:val="center"/>
                </w:tcPr>
                <w:p w14:paraId="61958F52">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8:00-16:00</w:t>
                  </w:r>
                </w:p>
              </w:tc>
              <w:tc>
                <w:tcPr>
                  <w:tcW w:w="326" w:type="pct"/>
                  <w:noWrap w:val="0"/>
                  <w:vAlign w:val="center"/>
                </w:tcPr>
                <w:p w14:paraId="7B7F6ACE">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25</w:t>
                  </w:r>
                </w:p>
              </w:tc>
              <w:tc>
                <w:tcPr>
                  <w:tcW w:w="1019" w:type="dxa"/>
                  <w:noWrap w:val="0"/>
                  <w:vAlign w:val="center"/>
                </w:tcPr>
                <w:p w14:paraId="6C5C26A5">
                  <w:pPr>
                    <w:adjustRightInd w:val="0"/>
                    <w:snapToGrid w:val="0"/>
                    <w:ind w:left="-105" w:leftChars="-50" w:right="-105" w:rightChars="-5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35.46</w:t>
                  </w:r>
                </w:p>
              </w:tc>
              <w:tc>
                <w:tcPr>
                  <w:tcW w:w="396" w:type="pct"/>
                  <w:noWrap w:val="0"/>
                  <w:vAlign w:val="center"/>
                </w:tcPr>
                <w:p w14:paraId="29A111B7">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1m</w:t>
                  </w:r>
                </w:p>
              </w:tc>
            </w:tr>
            <w:tr w14:paraId="4D3A55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noWrap w:val="0"/>
                  <w:vAlign w:val="center"/>
                </w:tcPr>
                <w:p w14:paraId="4B37A910">
                  <w:pPr>
                    <w:adjustRightInd w:val="0"/>
                    <w:snapToGrid w:val="0"/>
                    <w:ind w:left="-105" w:leftChars="-50" w:right="-105" w:rightChars="-50"/>
                    <w:jc w:val="center"/>
                    <w:rPr>
                      <w:rFonts w:hint="eastAsia" w:hAnsi="宋体"/>
                      <w:color w:val="auto"/>
                      <w:sz w:val="21"/>
                      <w:szCs w:val="21"/>
                      <w:lang w:eastAsia="zh-CN"/>
                    </w:rPr>
                  </w:pPr>
                </w:p>
              </w:tc>
              <w:tc>
                <w:tcPr>
                  <w:tcW w:w="812" w:type="pct"/>
                  <w:noWrap w:val="0"/>
                  <w:vAlign w:val="center"/>
                </w:tcPr>
                <w:p w14:paraId="0728D136">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eastAsia" w:cs="Times New Roman"/>
                      <w:bCs/>
                      <w:color w:val="auto"/>
                      <w:sz w:val="21"/>
                      <w:szCs w:val="21"/>
                      <w:lang w:val="en-US" w:eastAsia="zh-CN"/>
                    </w:rPr>
                    <w:t>复合机</w:t>
                  </w:r>
                </w:p>
              </w:tc>
              <w:tc>
                <w:tcPr>
                  <w:tcW w:w="202" w:type="pct"/>
                  <w:noWrap w:val="0"/>
                  <w:vAlign w:val="center"/>
                </w:tcPr>
                <w:p w14:paraId="0309F84F">
                  <w:pPr>
                    <w:widowControl/>
                    <w:adjustRightInd w:val="0"/>
                    <w:snapToGrid w:val="0"/>
                    <w:ind w:left="-105" w:leftChars="-50" w:right="-105" w:rightChars="-50"/>
                    <w:jc w:val="center"/>
                    <w:textAlignment w:val="center"/>
                    <w:rPr>
                      <w:rFonts w:hint="eastAsia"/>
                      <w:color w:val="auto"/>
                      <w:sz w:val="21"/>
                      <w:szCs w:val="21"/>
                    </w:rPr>
                  </w:pPr>
                  <w:r>
                    <w:rPr>
                      <w:rFonts w:hint="eastAsia"/>
                      <w:color w:val="auto"/>
                      <w:sz w:val="21"/>
                      <w:szCs w:val="21"/>
                    </w:rPr>
                    <w:t>/</w:t>
                  </w:r>
                </w:p>
              </w:tc>
              <w:tc>
                <w:tcPr>
                  <w:tcW w:w="204" w:type="pct"/>
                  <w:noWrap w:val="0"/>
                  <w:vAlign w:val="center"/>
                </w:tcPr>
                <w:p w14:paraId="5CC55357">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87" w:type="pct"/>
                  <w:noWrap w:val="0"/>
                  <w:vAlign w:val="center"/>
                </w:tcPr>
                <w:p w14:paraId="094D5FB0">
                  <w:pPr>
                    <w:jc w:val="center"/>
                    <w:rPr>
                      <w:rFonts w:hint="eastAsia"/>
                      <w:color w:val="auto"/>
                      <w:sz w:val="21"/>
                      <w:szCs w:val="21"/>
                      <w:lang w:val="en-US" w:eastAsia="zh-CN"/>
                    </w:rPr>
                  </w:pPr>
                  <w:r>
                    <w:rPr>
                      <w:rFonts w:hint="eastAsia"/>
                      <w:color w:val="auto"/>
                      <w:sz w:val="21"/>
                      <w:szCs w:val="21"/>
                      <w:lang w:val="en-US" w:eastAsia="zh-CN"/>
                    </w:rPr>
                    <w:t>70</w:t>
                  </w:r>
                </w:p>
              </w:tc>
              <w:tc>
                <w:tcPr>
                  <w:tcW w:w="344" w:type="pct"/>
                  <w:vMerge w:val="continue"/>
                  <w:noWrap w:val="0"/>
                  <w:vAlign w:val="center"/>
                </w:tcPr>
                <w:p w14:paraId="0B0D225E">
                  <w:pPr>
                    <w:adjustRightInd w:val="0"/>
                    <w:snapToGrid w:val="0"/>
                    <w:ind w:left="-105" w:leftChars="-50" w:right="-105" w:rightChars="-50"/>
                    <w:jc w:val="center"/>
                    <w:rPr>
                      <w:rFonts w:hAnsi="宋体"/>
                      <w:bCs/>
                      <w:color w:val="auto"/>
                      <w:sz w:val="21"/>
                      <w:szCs w:val="21"/>
                    </w:rPr>
                  </w:pPr>
                </w:p>
              </w:tc>
              <w:tc>
                <w:tcPr>
                  <w:tcW w:w="209" w:type="pct"/>
                  <w:noWrap w:val="0"/>
                  <w:vAlign w:val="center"/>
                </w:tcPr>
                <w:p w14:paraId="6B97781F">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24</w:t>
                  </w:r>
                </w:p>
              </w:tc>
              <w:tc>
                <w:tcPr>
                  <w:tcW w:w="209" w:type="pct"/>
                  <w:noWrap w:val="0"/>
                  <w:vAlign w:val="center"/>
                </w:tcPr>
                <w:p w14:paraId="7C950D40">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25</w:t>
                  </w:r>
                </w:p>
              </w:tc>
              <w:tc>
                <w:tcPr>
                  <w:tcW w:w="230" w:type="pct"/>
                  <w:noWrap w:val="0"/>
                  <w:vAlign w:val="center"/>
                </w:tcPr>
                <w:p w14:paraId="4D0DD491">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1</w:t>
                  </w:r>
                </w:p>
              </w:tc>
              <w:tc>
                <w:tcPr>
                  <w:tcW w:w="263" w:type="pct"/>
                  <w:noWrap w:val="0"/>
                  <w:vAlign w:val="center"/>
                </w:tcPr>
                <w:p w14:paraId="1029D7CA">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3</w:t>
                  </w:r>
                </w:p>
              </w:tc>
              <w:tc>
                <w:tcPr>
                  <w:tcW w:w="261" w:type="pct"/>
                  <w:noWrap w:val="0"/>
                  <w:vAlign w:val="center"/>
                </w:tcPr>
                <w:p w14:paraId="76AA4C29">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60.46</w:t>
                  </w:r>
                </w:p>
              </w:tc>
              <w:tc>
                <w:tcPr>
                  <w:tcW w:w="375" w:type="pct"/>
                  <w:noWrap w:val="0"/>
                  <w:vAlign w:val="center"/>
                </w:tcPr>
                <w:p w14:paraId="510B725E">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8:00-16:00</w:t>
                  </w:r>
                </w:p>
              </w:tc>
              <w:tc>
                <w:tcPr>
                  <w:tcW w:w="326" w:type="pct"/>
                  <w:noWrap w:val="0"/>
                  <w:vAlign w:val="center"/>
                </w:tcPr>
                <w:p w14:paraId="0287A291">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25</w:t>
                  </w:r>
                </w:p>
              </w:tc>
              <w:tc>
                <w:tcPr>
                  <w:tcW w:w="1019" w:type="dxa"/>
                  <w:noWrap w:val="0"/>
                  <w:vAlign w:val="center"/>
                </w:tcPr>
                <w:p w14:paraId="41F493C2">
                  <w:pPr>
                    <w:adjustRightInd w:val="0"/>
                    <w:snapToGrid w:val="0"/>
                    <w:ind w:left="-105" w:leftChars="-50" w:right="-105" w:rightChars="-5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35.46</w:t>
                  </w:r>
                </w:p>
              </w:tc>
              <w:tc>
                <w:tcPr>
                  <w:tcW w:w="396" w:type="pct"/>
                  <w:noWrap w:val="0"/>
                  <w:vAlign w:val="center"/>
                </w:tcPr>
                <w:p w14:paraId="7ABAA8B4">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1m</w:t>
                  </w:r>
                </w:p>
              </w:tc>
            </w:tr>
            <w:tr w14:paraId="1C7D06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noWrap w:val="0"/>
                  <w:vAlign w:val="center"/>
                </w:tcPr>
                <w:p w14:paraId="4DC7DED2">
                  <w:pPr>
                    <w:adjustRightInd w:val="0"/>
                    <w:snapToGrid w:val="0"/>
                    <w:ind w:left="-105" w:leftChars="-50" w:right="-105" w:rightChars="-50"/>
                    <w:jc w:val="center"/>
                    <w:rPr>
                      <w:rFonts w:hint="eastAsia" w:hAnsi="宋体"/>
                      <w:color w:val="auto"/>
                      <w:sz w:val="21"/>
                      <w:szCs w:val="21"/>
                      <w:lang w:eastAsia="zh-CN"/>
                    </w:rPr>
                  </w:pPr>
                </w:p>
              </w:tc>
              <w:tc>
                <w:tcPr>
                  <w:tcW w:w="812" w:type="pct"/>
                  <w:noWrap w:val="0"/>
                  <w:vAlign w:val="center"/>
                </w:tcPr>
                <w:p w14:paraId="592ED90B">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cs="Times New Roman"/>
                      <w:snapToGrid w:val="0"/>
                      <w:color w:val="auto"/>
                      <w:szCs w:val="21"/>
                      <w:lang w:eastAsia="zh-CN"/>
                    </w:rPr>
                    <w:t>制袋机</w:t>
                  </w:r>
                </w:p>
              </w:tc>
              <w:tc>
                <w:tcPr>
                  <w:tcW w:w="202" w:type="pct"/>
                  <w:noWrap w:val="0"/>
                  <w:vAlign w:val="center"/>
                </w:tcPr>
                <w:p w14:paraId="41DCDE2F">
                  <w:pPr>
                    <w:widowControl/>
                    <w:adjustRightInd w:val="0"/>
                    <w:snapToGrid w:val="0"/>
                    <w:ind w:left="-105" w:leftChars="-50" w:right="-105" w:rightChars="-50"/>
                    <w:jc w:val="center"/>
                    <w:textAlignment w:val="center"/>
                    <w:rPr>
                      <w:rFonts w:hint="eastAsia"/>
                      <w:color w:val="auto"/>
                      <w:sz w:val="21"/>
                      <w:szCs w:val="21"/>
                    </w:rPr>
                  </w:pPr>
                  <w:r>
                    <w:rPr>
                      <w:rFonts w:hint="eastAsia"/>
                      <w:color w:val="auto"/>
                      <w:sz w:val="21"/>
                      <w:szCs w:val="21"/>
                    </w:rPr>
                    <w:t>/</w:t>
                  </w:r>
                </w:p>
              </w:tc>
              <w:tc>
                <w:tcPr>
                  <w:tcW w:w="204" w:type="pct"/>
                  <w:noWrap w:val="0"/>
                  <w:vAlign w:val="center"/>
                </w:tcPr>
                <w:p w14:paraId="4F034886">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87" w:type="pct"/>
                  <w:noWrap w:val="0"/>
                  <w:vAlign w:val="center"/>
                </w:tcPr>
                <w:p w14:paraId="64D93DF8">
                  <w:pPr>
                    <w:jc w:val="center"/>
                    <w:rPr>
                      <w:rFonts w:hint="default"/>
                      <w:color w:val="auto"/>
                      <w:sz w:val="21"/>
                      <w:szCs w:val="21"/>
                      <w:lang w:val="en-US" w:eastAsia="zh-CN"/>
                    </w:rPr>
                  </w:pPr>
                  <w:r>
                    <w:rPr>
                      <w:rFonts w:hint="eastAsia"/>
                      <w:color w:val="auto"/>
                      <w:sz w:val="21"/>
                      <w:szCs w:val="21"/>
                      <w:lang w:val="en-US" w:eastAsia="zh-CN"/>
                    </w:rPr>
                    <w:t>75</w:t>
                  </w:r>
                </w:p>
              </w:tc>
              <w:tc>
                <w:tcPr>
                  <w:tcW w:w="344" w:type="pct"/>
                  <w:vMerge w:val="continue"/>
                  <w:noWrap w:val="0"/>
                  <w:vAlign w:val="center"/>
                </w:tcPr>
                <w:p w14:paraId="58693191">
                  <w:pPr>
                    <w:adjustRightInd w:val="0"/>
                    <w:snapToGrid w:val="0"/>
                    <w:ind w:left="-105" w:leftChars="-50" w:right="-105" w:rightChars="-50"/>
                    <w:jc w:val="center"/>
                    <w:rPr>
                      <w:rFonts w:hAnsi="宋体"/>
                      <w:bCs/>
                      <w:color w:val="auto"/>
                      <w:sz w:val="21"/>
                      <w:szCs w:val="21"/>
                    </w:rPr>
                  </w:pPr>
                </w:p>
              </w:tc>
              <w:tc>
                <w:tcPr>
                  <w:tcW w:w="209" w:type="pct"/>
                  <w:noWrap w:val="0"/>
                  <w:vAlign w:val="center"/>
                </w:tcPr>
                <w:p w14:paraId="117D7D92">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12</w:t>
                  </w:r>
                </w:p>
              </w:tc>
              <w:tc>
                <w:tcPr>
                  <w:tcW w:w="209" w:type="pct"/>
                  <w:noWrap w:val="0"/>
                  <w:vAlign w:val="center"/>
                </w:tcPr>
                <w:p w14:paraId="5350A9A3">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10</w:t>
                  </w:r>
                </w:p>
              </w:tc>
              <w:tc>
                <w:tcPr>
                  <w:tcW w:w="230" w:type="pct"/>
                  <w:noWrap w:val="0"/>
                  <w:vAlign w:val="center"/>
                </w:tcPr>
                <w:p w14:paraId="04FF10F0">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1</w:t>
                  </w:r>
                </w:p>
              </w:tc>
              <w:tc>
                <w:tcPr>
                  <w:tcW w:w="263" w:type="pct"/>
                  <w:noWrap w:val="0"/>
                  <w:vAlign w:val="center"/>
                </w:tcPr>
                <w:p w14:paraId="55DF1FDF">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4</w:t>
                  </w:r>
                </w:p>
              </w:tc>
              <w:tc>
                <w:tcPr>
                  <w:tcW w:w="261" w:type="pct"/>
                  <w:noWrap w:val="0"/>
                  <w:vAlign w:val="center"/>
                </w:tcPr>
                <w:p w14:paraId="4441B299">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62.96</w:t>
                  </w:r>
                </w:p>
              </w:tc>
              <w:tc>
                <w:tcPr>
                  <w:tcW w:w="375" w:type="pct"/>
                  <w:noWrap w:val="0"/>
                  <w:vAlign w:val="center"/>
                </w:tcPr>
                <w:p w14:paraId="18013CA6">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8:00-16:00</w:t>
                  </w:r>
                </w:p>
              </w:tc>
              <w:tc>
                <w:tcPr>
                  <w:tcW w:w="326" w:type="pct"/>
                  <w:noWrap w:val="0"/>
                  <w:vAlign w:val="center"/>
                </w:tcPr>
                <w:p w14:paraId="46345893">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25</w:t>
                  </w:r>
                </w:p>
              </w:tc>
              <w:tc>
                <w:tcPr>
                  <w:tcW w:w="1019" w:type="dxa"/>
                  <w:noWrap w:val="0"/>
                  <w:vAlign w:val="center"/>
                </w:tcPr>
                <w:p w14:paraId="4E1845FA">
                  <w:pPr>
                    <w:adjustRightInd w:val="0"/>
                    <w:snapToGrid w:val="0"/>
                    <w:ind w:left="-105" w:leftChars="-50" w:right="-105" w:rightChars="-5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37.96</w:t>
                  </w:r>
                </w:p>
              </w:tc>
              <w:tc>
                <w:tcPr>
                  <w:tcW w:w="396" w:type="pct"/>
                  <w:noWrap w:val="0"/>
                  <w:vAlign w:val="center"/>
                </w:tcPr>
                <w:p w14:paraId="6FCF726F">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1m</w:t>
                  </w:r>
                </w:p>
              </w:tc>
            </w:tr>
            <w:tr w14:paraId="778236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noWrap w:val="0"/>
                  <w:vAlign w:val="center"/>
                </w:tcPr>
                <w:p w14:paraId="3A487004">
                  <w:pPr>
                    <w:adjustRightInd w:val="0"/>
                    <w:snapToGrid w:val="0"/>
                    <w:ind w:left="-105" w:leftChars="-50" w:right="-105" w:rightChars="-50"/>
                    <w:jc w:val="center"/>
                    <w:rPr>
                      <w:rFonts w:hint="eastAsia" w:hAnsi="宋体"/>
                      <w:color w:val="auto"/>
                      <w:sz w:val="21"/>
                      <w:szCs w:val="21"/>
                      <w:lang w:eastAsia="zh-CN"/>
                    </w:rPr>
                  </w:pPr>
                </w:p>
              </w:tc>
              <w:tc>
                <w:tcPr>
                  <w:tcW w:w="812" w:type="pct"/>
                  <w:noWrap w:val="0"/>
                  <w:vAlign w:val="center"/>
                </w:tcPr>
                <w:p w14:paraId="0127577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w:t>
                  </w:r>
                  <w:r>
                    <w:rPr>
                      <w:rFonts w:hint="eastAsia" w:cs="Times New Roman"/>
                      <w:snapToGrid w:val="0"/>
                      <w:color w:val="auto"/>
                      <w:szCs w:val="21"/>
                      <w:lang w:eastAsia="zh-CN"/>
                    </w:rPr>
                    <w:t>制袋机</w:t>
                  </w:r>
                </w:p>
              </w:tc>
              <w:tc>
                <w:tcPr>
                  <w:tcW w:w="202" w:type="pct"/>
                  <w:noWrap w:val="0"/>
                  <w:vAlign w:val="center"/>
                </w:tcPr>
                <w:p w14:paraId="2EBD9BED">
                  <w:pPr>
                    <w:widowControl/>
                    <w:adjustRightInd w:val="0"/>
                    <w:snapToGrid w:val="0"/>
                    <w:ind w:left="-105" w:leftChars="-50" w:right="-105" w:rightChars="-50"/>
                    <w:jc w:val="center"/>
                    <w:textAlignment w:val="center"/>
                    <w:rPr>
                      <w:rFonts w:hint="eastAsia"/>
                      <w:color w:val="auto"/>
                      <w:sz w:val="21"/>
                      <w:szCs w:val="21"/>
                    </w:rPr>
                  </w:pPr>
                  <w:r>
                    <w:rPr>
                      <w:rFonts w:hint="eastAsia"/>
                      <w:color w:val="auto"/>
                      <w:sz w:val="21"/>
                      <w:szCs w:val="21"/>
                    </w:rPr>
                    <w:t>/</w:t>
                  </w:r>
                </w:p>
              </w:tc>
              <w:tc>
                <w:tcPr>
                  <w:tcW w:w="204" w:type="pct"/>
                  <w:noWrap w:val="0"/>
                  <w:vAlign w:val="center"/>
                </w:tcPr>
                <w:p w14:paraId="3AE69722">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87" w:type="pct"/>
                  <w:noWrap w:val="0"/>
                  <w:vAlign w:val="center"/>
                </w:tcPr>
                <w:p w14:paraId="5A04A664">
                  <w:pPr>
                    <w:jc w:val="center"/>
                    <w:rPr>
                      <w:rFonts w:hint="eastAsia"/>
                      <w:color w:val="auto"/>
                      <w:sz w:val="21"/>
                      <w:szCs w:val="21"/>
                      <w:lang w:val="en-US" w:eastAsia="zh-CN"/>
                    </w:rPr>
                  </w:pPr>
                  <w:r>
                    <w:rPr>
                      <w:rFonts w:hint="eastAsia"/>
                      <w:color w:val="auto"/>
                      <w:sz w:val="21"/>
                      <w:szCs w:val="21"/>
                      <w:lang w:val="en-US" w:eastAsia="zh-CN"/>
                    </w:rPr>
                    <w:t>75</w:t>
                  </w:r>
                </w:p>
              </w:tc>
              <w:tc>
                <w:tcPr>
                  <w:tcW w:w="344" w:type="pct"/>
                  <w:vMerge w:val="continue"/>
                  <w:noWrap w:val="0"/>
                  <w:vAlign w:val="center"/>
                </w:tcPr>
                <w:p w14:paraId="765D95A6">
                  <w:pPr>
                    <w:adjustRightInd w:val="0"/>
                    <w:snapToGrid w:val="0"/>
                    <w:ind w:left="-105" w:leftChars="-50" w:right="-105" w:rightChars="-50"/>
                    <w:jc w:val="center"/>
                    <w:rPr>
                      <w:rFonts w:hAnsi="宋体"/>
                      <w:bCs/>
                      <w:color w:val="auto"/>
                      <w:sz w:val="21"/>
                      <w:szCs w:val="21"/>
                    </w:rPr>
                  </w:pPr>
                </w:p>
              </w:tc>
              <w:tc>
                <w:tcPr>
                  <w:tcW w:w="209" w:type="pct"/>
                  <w:noWrap w:val="0"/>
                  <w:vAlign w:val="center"/>
                </w:tcPr>
                <w:p w14:paraId="17F7A1B2">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17</w:t>
                  </w:r>
                </w:p>
              </w:tc>
              <w:tc>
                <w:tcPr>
                  <w:tcW w:w="209" w:type="pct"/>
                  <w:noWrap w:val="0"/>
                  <w:vAlign w:val="center"/>
                </w:tcPr>
                <w:p w14:paraId="1DB1DF17">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10</w:t>
                  </w:r>
                </w:p>
              </w:tc>
              <w:tc>
                <w:tcPr>
                  <w:tcW w:w="230" w:type="pct"/>
                  <w:noWrap w:val="0"/>
                  <w:vAlign w:val="center"/>
                </w:tcPr>
                <w:p w14:paraId="02CA1F4B">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1</w:t>
                  </w:r>
                </w:p>
              </w:tc>
              <w:tc>
                <w:tcPr>
                  <w:tcW w:w="263" w:type="pct"/>
                  <w:noWrap w:val="0"/>
                  <w:vAlign w:val="center"/>
                </w:tcPr>
                <w:p w14:paraId="6BE689A8">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4</w:t>
                  </w:r>
                </w:p>
              </w:tc>
              <w:tc>
                <w:tcPr>
                  <w:tcW w:w="261" w:type="pct"/>
                  <w:noWrap w:val="0"/>
                  <w:vAlign w:val="center"/>
                </w:tcPr>
                <w:p w14:paraId="2BF08EC2">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62.96</w:t>
                  </w:r>
                </w:p>
              </w:tc>
              <w:tc>
                <w:tcPr>
                  <w:tcW w:w="375" w:type="pct"/>
                  <w:noWrap w:val="0"/>
                  <w:vAlign w:val="center"/>
                </w:tcPr>
                <w:p w14:paraId="2DA78306">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8:00-16:00</w:t>
                  </w:r>
                </w:p>
              </w:tc>
              <w:tc>
                <w:tcPr>
                  <w:tcW w:w="326" w:type="pct"/>
                  <w:noWrap w:val="0"/>
                  <w:vAlign w:val="center"/>
                </w:tcPr>
                <w:p w14:paraId="40B49792">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25</w:t>
                  </w:r>
                </w:p>
              </w:tc>
              <w:tc>
                <w:tcPr>
                  <w:tcW w:w="1019" w:type="dxa"/>
                  <w:noWrap w:val="0"/>
                  <w:vAlign w:val="center"/>
                </w:tcPr>
                <w:p w14:paraId="0EA981F7">
                  <w:pPr>
                    <w:adjustRightInd w:val="0"/>
                    <w:snapToGrid w:val="0"/>
                    <w:ind w:left="-105" w:leftChars="-50" w:right="-105" w:rightChars="-5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37.96</w:t>
                  </w:r>
                </w:p>
              </w:tc>
              <w:tc>
                <w:tcPr>
                  <w:tcW w:w="396" w:type="pct"/>
                  <w:noWrap w:val="0"/>
                  <w:vAlign w:val="center"/>
                </w:tcPr>
                <w:p w14:paraId="04B8E340">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1m</w:t>
                  </w:r>
                </w:p>
              </w:tc>
            </w:tr>
            <w:tr w14:paraId="30BBA4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noWrap w:val="0"/>
                  <w:vAlign w:val="center"/>
                </w:tcPr>
                <w:p w14:paraId="20EC781B">
                  <w:pPr>
                    <w:adjustRightInd w:val="0"/>
                    <w:snapToGrid w:val="0"/>
                    <w:ind w:left="-105" w:leftChars="-50" w:right="-105" w:rightChars="-50"/>
                    <w:jc w:val="center"/>
                    <w:rPr>
                      <w:rFonts w:hint="eastAsia" w:hAnsi="宋体"/>
                      <w:color w:val="auto"/>
                      <w:sz w:val="21"/>
                      <w:szCs w:val="21"/>
                      <w:lang w:eastAsia="zh-CN"/>
                    </w:rPr>
                  </w:pPr>
                </w:p>
              </w:tc>
              <w:tc>
                <w:tcPr>
                  <w:tcW w:w="812" w:type="pct"/>
                  <w:noWrap w:val="0"/>
                  <w:vAlign w:val="center"/>
                </w:tcPr>
                <w:p w14:paraId="0C321B3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w:t>
                  </w:r>
                  <w:r>
                    <w:rPr>
                      <w:rFonts w:hint="eastAsia" w:cs="Times New Roman"/>
                      <w:snapToGrid w:val="0"/>
                      <w:color w:val="auto"/>
                      <w:szCs w:val="21"/>
                      <w:lang w:eastAsia="zh-CN"/>
                    </w:rPr>
                    <w:t>制袋机</w:t>
                  </w:r>
                </w:p>
              </w:tc>
              <w:tc>
                <w:tcPr>
                  <w:tcW w:w="202" w:type="pct"/>
                  <w:noWrap w:val="0"/>
                  <w:vAlign w:val="center"/>
                </w:tcPr>
                <w:p w14:paraId="490E6F5E">
                  <w:pPr>
                    <w:widowControl/>
                    <w:adjustRightInd w:val="0"/>
                    <w:snapToGrid w:val="0"/>
                    <w:ind w:left="-105" w:leftChars="-50" w:right="-105" w:rightChars="-50"/>
                    <w:jc w:val="center"/>
                    <w:textAlignment w:val="center"/>
                    <w:rPr>
                      <w:rFonts w:hint="eastAsia"/>
                      <w:color w:val="auto"/>
                      <w:sz w:val="21"/>
                      <w:szCs w:val="21"/>
                    </w:rPr>
                  </w:pPr>
                  <w:r>
                    <w:rPr>
                      <w:rFonts w:hint="eastAsia"/>
                      <w:color w:val="auto"/>
                      <w:sz w:val="21"/>
                      <w:szCs w:val="21"/>
                    </w:rPr>
                    <w:t>/</w:t>
                  </w:r>
                </w:p>
              </w:tc>
              <w:tc>
                <w:tcPr>
                  <w:tcW w:w="204" w:type="pct"/>
                  <w:noWrap w:val="0"/>
                  <w:vAlign w:val="center"/>
                </w:tcPr>
                <w:p w14:paraId="70FD1C52">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87" w:type="pct"/>
                  <w:noWrap w:val="0"/>
                  <w:vAlign w:val="center"/>
                </w:tcPr>
                <w:p w14:paraId="0CDD1C57">
                  <w:pPr>
                    <w:jc w:val="center"/>
                    <w:rPr>
                      <w:rFonts w:hint="eastAsia"/>
                      <w:color w:val="auto"/>
                      <w:sz w:val="21"/>
                      <w:szCs w:val="21"/>
                      <w:lang w:val="en-US" w:eastAsia="zh-CN"/>
                    </w:rPr>
                  </w:pPr>
                  <w:r>
                    <w:rPr>
                      <w:rFonts w:hint="eastAsia"/>
                      <w:color w:val="auto"/>
                      <w:sz w:val="21"/>
                      <w:szCs w:val="21"/>
                      <w:lang w:val="en-US" w:eastAsia="zh-CN"/>
                    </w:rPr>
                    <w:t>75</w:t>
                  </w:r>
                </w:p>
              </w:tc>
              <w:tc>
                <w:tcPr>
                  <w:tcW w:w="344" w:type="pct"/>
                  <w:vMerge w:val="continue"/>
                  <w:noWrap w:val="0"/>
                  <w:vAlign w:val="center"/>
                </w:tcPr>
                <w:p w14:paraId="67404CF5">
                  <w:pPr>
                    <w:adjustRightInd w:val="0"/>
                    <w:snapToGrid w:val="0"/>
                    <w:ind w:left="-105" w:leftChars="-50" w:right="-105" w:rightChars="-50"/>
                    <w:jc w:val="center"/>
                    <w:rPr>
                      <w:rFonts w:hAnsi="宋体"/>
                      <w:bCs/>
                      <w:color w:val="auto"/>
                      <w:sz w:val="21"/>
                      <w:szCs w:val="21"/>
                    </w:rPr>
                  </w:pPr>
                </w:p>
              </w:tc>
              <w:tc>
                <w:tcPr>
                  <w:tcW w:w="209" w:type="pct"/>
                  <w:noWrap w:val="0"/>
                  <w:vAlign w:val="center"/>
                </w:tcPr>
                <w:p w14:paraId="6F3449D2">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22</w:t>
                  </w:r>
                </w:p>
              </w:tc>
              <w:tc>
                <w:tcPr>
                  <w:tcW w:w="209" w:type="pct"/>
                  <w:noWrap w:val="0"/>
                  <w:vAlign w:val="center"/>
                </w:tcPr>
                <w:p w14:paraId="4F8652EA">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10</w:t>
                  </w:r>
                </w:p>
              </w:tc>
              <w:tc>
                <w:tcPr>
                  <w:tcW w:w="230" w:type="pct"/>
                  <w:noWrap w:val="0"/>
                  <w:vAlign w:val="center"/>
                </w:tcPr>
                <w:p w14:paraId="3DA0EE4D">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1</w:t>
                  </w:r>
                </w:p>
              </w:tc>
              <w:tc>
                <w:tcPr>
                  <w:tcW w:w="263" w:type="pct"/>
                  <w:noWrap w:val="0"/>
                  <w:vAlign w:val="center"/>
                </w:tcPr>
                <w:p w14:paraId="5BB45A77">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4</w:t>
                  </w:r>
                </w:p>
              </w:tc>
              <w:tc>
                <w:tcPr>
                  <w:tcW w:w="261" w:type="pct"/>
                  <w:noWrap w:val="0"/>
                  <w:vAlign w:val="center"/>
                </w:tcPr>
                <w:p w14:paraId="13CF603E">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62.96</w:t>
                  </w:r>
                </w:p>
              </w:tc>
              <w:tc>
                <w:tcPr>
                  <w:tcW w:w="375" w:type="pct"/>
                  <w:noWrap w:val="0"/>
                  <w:vAlign w:val="center"/>
                </w:tcPr>
                <w:p w14:paraId="316A226F">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8:00-16:00</w:t>
                  </w:r>
                </w:p>
              </w:tc>
              <w:tc>
                <w:tcPr>
                  <w:tcW w:w="326" w:type="pct"/>
                  <w:noWrap w:val="0"/>
                  <w:vAlign w:val="center"/>
                </w:tcPr>
                <w:p w14:paraId="41820E90">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25</w:t>
                  </w:r>
                </w:p>
              </w:tc>
              <w:tc>
                <w:tcPr>
                  <w:tcW w:w="1019" w:type="dxa"/>
                  <w:noWrap w:val="0"/>
                  <w:vAlign w:val="center"/>
                </w:tcPr>
                <w:p w14:paraId="050916DB">
                  <w:pPr>
                    <w:adjustRightInd w:val="0"/>
                    <w:snapToGrid w:val="0"/>
                    <w:ind w:left="-105" w:leftChars="-50" w:right="-105" w:rightChars="-5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37.96</w:t>
                  </w:r>
                </w:p>
              </w:tc>
              <w:tc>
                <w:tcPr>
                  <w:tcW w:w="396" w:type="pct"/>
                  <w:noWrap w:val="0"/>
                  <w:vAlign w:val="center"/>
                </w:tcPr>
                <w:p w14:paraId="48B3CB0A">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1m</w:t>
                  </w:r>
                </w:p>
              </w:tc>
            </w:tr>
            <w:tr w14:paraId="4B84A6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noWrap w:val="0"/>
                  <w:vAlign w:val="center"/>
                </w:tcPr>
                <w:p w14:paraId="2851567B">
                  <w:pPr>
                    <w:adjustRightInd w:val="0"/>
                    <w:snapToGrid w:val="0"/>
                    <w:ind w:left="-105" w:leftChars="-50" w:right="-105" w:rightChars="-50"/>
                    <w:jc w:val="center"/>
                    <w:rPr>
                      <w:rFonts w:hint="eastAsia" w:hAnsi="宋体"/>
                      <w:color w:val="auto"/>
                      <w:sz w:val="21"/>
                      <w:szCs w:val="21"/>
                      <w:lang w:eastAsia="zh-CN"/>
                    </w:rPr>
                  </w:pPr>
                </w:p>
              </w:tc>
              <w:tc>
                <w:tcPr>
                  <w:tcW w:w="812" w:type="pct"/>
                  <w:noWrap w:val="0"/>
                  <w:vAlign w:val="center"/>
                </w:tcPr>
                <w:p w14:paraId="2370128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w:t>
                  </w:r>
                  <w:r>
                    <w:rPr>
                      <w:rFonts w:hint="eastAsia" w:cs="Times New Roman"/>
                      <w:snapToGrid w:val="0"/>
                      <w:color w:val="auto"/>
                      <w:szCs w:val="21"/>
                      <w:lang w:eastAsia="zh-CN"/>
                    </w:rPr>
                    <w:t>制袋机</w:t>
                  </w:r>
                </w:p>
              </w:tc>
              <w:tc>
                <w:tcPr>
                  <w:tcW w:w="202" w:type="pct"/>
                  <w:noWrap w:val="0"/>
                  <w:vAlign w:val="center"/>
                </w:tcPr>
                <w:p w14:paraId="68743091">
                  <w:pPr>
                    <w:widowControl/>
                    <w:adjustRightInd w:val="0"/>
                    <w:snapToGrid w:val="0"/>
                    <w:ind w:left="-105" w:leftChars="-50" w:right="-105" w:rightChars="-50"/>
                    <w:jc w:val="center"/>
                    <w:textAlignment w:val="center"/>
                    <w:rPr>
                      <w:rFonts w:hint="eastAsia"/>
                      <w:color w:val="auto"/>
                      <w:sz w:val="21"/>
                      <w:szCs w:val="21"/>
                    </w:rPr>
                  </w:pPr>
                  <w:r>
                    <w:rPr>
                      <w:rFonts w:hint="eastAsia"/>
                      <w:color w:val="auto"/>
                      <w:sz w:val="21"/>
                      <w:szCs w:val="21"/>
                    </w:rPr>
                    <w:t>/</w:t>
                  </w:r>
                </w:p>
              </w:tc>
              <w:tc>
                <w:tcPr>
                  <w:tcW w:w="204" w:type="pct"/>
                  <w:noWrap w:val="0"/>
                  <w:vAlign w:val="center"/>
                </w:tcPr>
                <w:p w14:paraId="5887AC1B">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87" w:type="pct"/>
                  <w:noWrap w:val="0"/>
                  <w:vAlign w:val="center"/>
                </w:tcPr>
                <w:p w14:paraId="4E48F3AD">
                  <w:pPr>
                    <w:jc w:val="center"/>
                    <w:rPr>
                      <w:rFonts w:hint="eastAsia"/>
                      <w:color w:val="auto"/>
                      <w:sz w:val="21"/>
                      <w:szCs w:val="21"/>
                      <w:lang w:val="en-US" w:eastAsia="zh-CN"/>
                    </w:rPr>
                  </w:pPr>
                  <w:r>
                    <w:rPr>
                      <w:rFonts w:hint="eastAsia"/>
                      <w:color w:val="auto"/>
                      <w:sz w:val="21"/>
                      <w:szCs w:val="21"/>
                      <w:lang w:val="en-US" w:eastAsia="zh-CN"/>
                    </w:rPr>
                    <w:t>75</w:t>
                  </w:r>
                </w:p>
              </w:tc>
              <w:tc>
                <w:tcPr>
                  <w:tcW w:w="344" w:type="pct"/>
                  <w:vMerge w:val="continue"/>
                  <w:noWrap w:val="0"/>
                  <w:vAlign w:val="center"/>
                </w:tcPr>
                <w:p w14:paraId="6B17AC39">
                  <w:pPr>
                    <w:adjustRightInd w:val="0"/>
                    <w:snapToGrid w:val="0"/>
                    <w:ind w:left="-105" w:leftChars="-50" w:right="-105" w:rightChars="-50"/>
                    <w:jc w:val="center"/>
                    <w:rPr>
                      <w:rFonts w:hAnsi="宋体"/>
                      <w:bCs/>
                      <w:color w:val="auto"/>
                      <w:sz w:val="21"/>
                      <w:szCs w:val="21"/>
                    </w:rPr>
                  </w:pPr>
                </w:p>
              </w:tc>
              <w:tc>
                <w:tcPr>
                  <w:tcW w:w="209" w:type="pct"/>
                  <w:noWrap w:val="0"/>
                  <w:vAlign w:val="center"/>
                </w:tcPr>
                <w:p w14:paraId="01800294">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27</w:t>
                  </w:r>
                </w:p>
              </w:tc>
              <w:tc>
                <w:tcPr>
                  <w:tcW w:w="209" w:type="pct"/>
                  <w:noWrap w:val="0"/>
                  <w:vAlign w:val="center"/>
                </w:tcPr>
                <w:p w14:paraId="5CE7BC3E">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10</w:t>
                  </w:r>
                </w:p>
              </w:tc>
              <w:tc>
                <w:tcPr>
                  <w:tcW w:w="230" w:type="pct"/>
                  <w:noWrap w:val="0"/>
                  <w:vAlign w:val="center"/>
                </w:tcPr>
                <w:p w14:paraId="2AE9B9AD">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1</w:t>
                  </w:r>
                </w:p>
              </w:tc>
              <w:tc>
                <w:tcPr>
                  <w:tcW w:w="263" w:type="pct"/>
                  <w:noWrap w:val="0"/>
                  <w:vAlign w:val="center"/>
                </w:tcPr>
                <w:p w14:paraId="723215E6">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4</w:t>
                  </w:r>
                </w:p>
              </w:tc>
              <w:tc>
                <w:tcPr>
                  <w:tcW w:w="261" w:type="pct"/>
                  <w:noWrap w:val="0"/>
                  <w:vAlign w:val="center"/>
                </w:tcPr>
                <w:p w14:paraId="13CBC4DB">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62.96</w:t>
                  </w:r>
                </w:p>
              </w:tc>
              <w:tc>
                <w:tcPr>
                  <w:tcW w:w="375" w:type="pct"/>
                  <w:noWrap w:val="0"/>
                  <w:vAlign w:val="center"/>
                </w:tcPr>
                <w:p w14:paraId="032CDB11">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8:00-16:00</w:t>
                  </w:r>
                </w:p>
              </w:tc>
              <w:tc>
                <w:tcPr>
                  <w:tcW w:w="326" w:type="pct"/>
                  <w:noWrap w:val="0"/>
                  <w:vAlign w:val="center"/>
                </w:tcPr>
                <w:p w14:paraId="55BA81F1">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25</w:t>
                  </w:r>
                </w:p>
              </w:tc>
              <w:tc>
                <w:tcPr>
                  <w:tcW w:w="1019" w:type="dxa"/>
                  <w:noWrap w:val="0"/>
                  <w:vAlign w:val="center"/>
                </w:tcPr>
                <w:p w14:paraId="6224DA6A">
                  <w:pPr>
                    <w:adjustRightInd w:val="0"/>
                    <w:snapToGrid w:val="0"/>
                    <w:ind w:left="-105" w:leftChars="-50" w:right="-105" w:rightChars="-5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37.96</w:t>
                  </w:r>
                </w:p>
              </w:tc>
              <w:tc>
                <w:tcPr>
                  <w:tcW w:w="396" w:type="pct"/>
                  <w:noWrap w:val="0"/>
                  <w:vAlign w:val="center"/>
                </w:tcPr>
                <w:p w14:paraId="7BB874EF">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1m</w:t>
                  </w:r>
                </w:p>
              </w:tc>
            </w:tr>
            <w:tr w14:paraId="7793CC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noWrap w:val="0"/>
                  <w:vAlign w:val="center"/>
                </w:tcPr>
                <w:p w14:paraId="4F0B413B">
                  <w:pPr>
                    <w:adjustRightInd w:val="0"/>
                    <w:snapToGrid w:val="0"/>
                    <w:ind w:left="-105" w:leftChars="-50" w:right="-105" w:rightChars="-50"/>
                    <w:jc w:val="center"/>
                    <w:rPr>
                      <w:rFonts w:hint="eastAsia" w:hAnsi="宋体"/>
                      <w:color w:val="auto"/>
                      <w:sz w:val="21"/>
                      <w:szCs w:val="21"/>
                      <w:lang w:eastAsia="zh-CN"/>
                    </w:rPr>
                  </w:pPr>
                </w:p>
              </w:tc>
              <w:tc>
                <w:tcPr>
                  <w:tcW w:w="812" w:type="pct"/>
                  <w:noWrap w:val="0"/>
                  <w:vAlign w:val="center"/>
                </w:tcPr>
                <w:p w14:paraId="12A1CF4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w:t>
                  </w:r>
                  <w:r>
                    <w:rPr>
                      <w:rFonts w:hint="eastAsia" w:cs="Times New Roman"/>
                      <w:snapToGrid w:val="0"/>
                      <w:color w:val="auto"/>
                      <w:szCs w:val="21"/>
                      <w:lang w:eastAsia="zh-CN"/>
                    </w:rPr>
                    <w:t>制袋机</w:t>
                  </w:r>
                </w:p>
              </w:tc>
              <w:tc>
                <w:tcPr>
                  <w:tcW w:w="202" w:type="pct"/>
                  <w:noWrap w:val="0"/>
                  <w:vAlign w:val="center"/>
                </w:tcPr>
                <w:p w14:paraId="0CB3891E">
                  <w:pPr>
                    <w:widowControl/>
                    <w:adjustRightInd w:val="0"/>
                    <w:snapToGrid w:val="0"/>
                    <w:ind w:left="-105" w:leftChars="-50" w:right="-105" w:rightChars="-50"/>
                    <w:jc w:val="center"/>
                    <w:textAlignment w:val="center"/>
                    <w:rPr>
                      <w:rFonts w:hint="eastAsia"/>
                      <w:color w:val="auto"/>
                      <w:sz w:val="21"/>
                      <w:szCs w:val="21"/>
                    </w:rPr>
                  </w:pPr>
                  <w:r>
                    <w:rPr>
                      <w:rFonts w:hint="eastAsia"/>
                      <w:color w:val="auto"/>
                      <w:sz w:val="21"/>
                      <w:szCs w:val="21"/>
                    </w:rPr>
                    <w:t>/</w:t>
                  </w:r>
                </w:p>
              </w:tc>
              <w:tc>
                <w:tcPr>
                  <w:tcW w:w="204" w:type="pct"/>
                  <w:noWrap w:val="0"/>
                  <w:vAlign w:val="center"/>
                </w:tcPr>
                <w:p w14:paraId="6E79EA81">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87" w:type="pct"/>
                  <w:noWrap w:val="0"/>
                  <w:vAlign w:val="center"/>
                </w:tcPr>
                <w:p w14:paraId="6CD34B31">
                  <w:pPr>
                    <w:jc w:val="center"/>
                    <w:rPr>
                      <w:rFonts w:hint="eastAsia"/>
                      <w:color w:val="auto"/>
                      <w:sz w:val="21"/>
                      <w:szCs w:val="21"/>
                      <w:lang w:val="en-US" w:eastAsia="zh-CN"/>
                    </w:rPr>
                  </w:pPr>
                  <w:r>
                    <w:rPr>
                      <w:rFonts w:hint="eastAsia"/>
                      <w:color w:val="auto"/>
                      <w:sz w:val="21"/>
                      <w:szCs w:val="21"/>
                      <w:lang w:val="en-US" w:eastAsia="zh-CN"/>
                    </w:rPr>
                    <w:t>75</w:t>
                  </w:r>
                </w:p>
              </w:tc>
              <w:tc>
                <w:tcPr>
                  <w:tcW w:w="344" w:type="pct"/>
                  <w:vMerge w:val="continue"/>
                  <w:noWrap w:val="0"/>
                  <w:vAlign w:val="center"/>
                </w:tcPr>
                <w:p w14:paraId="347129E4">
                  <w:pPr>
                    <w:adjustRightInd w:val="0"/>
                    <w:snapToGrid w:val="0"/>
                    <w:ind w:left="-105" w:leftChars="-50" w:right="-105" w:rightChars="-50"/>
                    <w:jc w:val="center"/>
                    <w:rPr>
                      <w:rFonts w:hAnsi="宋体"/>
                      <w:bCs/>
                      <w:color w:val="auto"/>
                      <w:sz w:val="21"/>
                      <w:szCs w:val="21"/>
                    </w:rPr>
                  </w:pPr>
                </w:p>
              </w:tc>
              <w:tc>
                <w:tcPr>
                  <w:tcW w:w="209" w:type="pct"/>
                  <w:noWrap w:val="0"/>
                  <w:vAlign w:val="center"/>
                </w:tcPr>
                <w:p w14:paraId="0D37AE01">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32</w:t>
                  </w:r>
                </w:p>
              </w:tc>
              <w:tc>
                <w:tcPr>
                  <w:tcW w:w="209" w:type="pct"/>
                  <w:noWrap w:val="0"/>
                  <w:vAlign w:val="center"/>
                </w:tcPr>
                <w:p w14:paraId="003A09DF">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10</w:t>
                  </w:r>
                </w:p>
              </w:tc>
              <w:tc>
                <w:tcPr>
                  <w:tcW w:w="230" w:type="pct"/>
                  <w:noWrap w:val="0"/>
                  <w:vAlign w:val="center"/>
                </w:tcPr>
                <w:p w14:paraId="20924EB0">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1</w:t>
                  </w:r>
                </w:p>
              </w:tc>
              <w:tc>
                <w:tcPr>
                  <w:tcW w:w="263" w:type="pct"/>
                  <w:noWrap w:val="0"/>
                  <w:vAlign w:val="center"/>
                </w:tcPr>
                <w:p w14:paraId="020961FC">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4</w:t>
                  </w:r>
                </w:p>
              </w:tc>
              <w:tc>
                <w:tcPr>
                  <w:tcW w:w="261" w:type="pct"/>
                  <w:noWrap w:val="0"/>
                  <w:vAlign w:val="center"/>
                </w:tcPr>
                <w:p w14:paraId="00E63117">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62.96</w:t>
                  </w:r>
                </w:p>
              </w:tc>
              <w:tc>
                <w:tcPr>
                  <w:tcW w:w="375" w:type="pct"/>
                  <w:noWrap w:val="0"/>
                  <w:vAlign w:val="center"/>
                </w:tcPr>
                <w:p w14:paraId="601D4EEC">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8:00-16:00</w:t>
                  </w:r>
                </w:p>
              </w:tc>
              <w:tc>
                <w:tcPr>
                  <w:tcW w:w="326" w:type="pct"/>
                  <w:noWrap w:val="0"/>
                  <w:vAlign w:val="center"/>
                </w:tcPr>
                <w:p w14:paraId="5F9119B8">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25</w:t>
                  </w:r>
                </w:p>
              </w:tc>
              <w:tc>
                <w:tcPr>
                  <w:tcW w:w="1019" w:type="dxa"/>
                  <w:noWrap w:val="0"/>
                  <w:vAlign w:val="center"/>
                </w:tcPr>
                <w:p w14:paraId="1D3F2319">
                  <w:pPr>
                    <w:adjustRightInd w:val="0"/>
                    <w:snapToGrid w:val="0"/>
                    <w:ind w:left="-105" w:leftChars="-50" w:right="-105" w:rightChars="-5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37.96</w:t>
                  </w:r>
                </w:p>
              </w:tc>
              <w:tc>
                <w:tcPr>
                  <w:tcW w:w="396" w:type="pct"/>
                  <w:noWrap w:val="0"/>
                  <w:vAlign w:val="center"/>
                </w:tcPr>
                <w:p w14:paraId="1A4B2004">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1m</w:t>
                  </w:r>
                </w:p>
              </w:tc>
            </w:tr>
            <w:tr w14:paraId="78936B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noWrap w:val="0"/>
                  <w:vAlign w:val="center"/>
                </w:tcPr>
                <w:p w14:paraId="0E65F9E7">
                  <w:pPr>
                    <w:adjustRightInd w:val="0"/>
                    <w:snapToGrid w:val="0"/>
                    <w:ind w:left="-105" w:leftChars="-50" w:right="-105" w:rightChars="-50"/>
                    <w:jc w:val="center"/>
                    <w:rPr>
                      <w:rFonts w:hint="eastAsia" w:hAnsi="宋体"/>
                      <w:color w:val="auto"/>
                      <w:sz w:val="21"/>
                      <w:szCs w:val="21"/>
                      <w:lang w:eastAsia="zh-CN"/>
                    </w:rPr>
                  </w:pPr>
                </w:p>
              </w:tc>
              <w:tc>
                <w:tcPr>
                  <w:tcW w:w="812" w:type="pct"/>
                  <w:noWrap w:val="0"/>
                  <w:vAlign w:val="center"/>
                </w:tcPr>
                <w:p w14:paraId="72A43269">
                  <w:pPr>
                    <w:jc w:val="center"/>
                    <w:rPr>
                      <w:rFonts w:hint="eastAsia" w:ascii="Times New Roman" w:hAnsi="Times New Roman" w:eastAsia="宋体" w:cs="Times New Roman"/>
                      <w:color w:val="auto"/>
                      <w:sz w:val="21"/>
                      <w:szCs w:val="21"/>
                      <w:lang w:val="en-US" w:eastAsia="zh-CN"/>
                    </w:rPr>
                  </w:pPr>
                  <w:r>
                    <w:rPr>
                      <w:rFonts w:hint="eastAsia" w:cs="Times New Roman"/>
                      <w:bCs/>
                      <w:color w:val="auto"/>
                      <w:kern w:val="2"/>
                      <w:sz w:val="21"/>
                      <w:szCs w:val="21"/>
                      <w:lang w:val="en-US" w:eastAsia="zh-CN" w:bidi="ar-SA"/>
                    </w:rPr>
                    <w:t>分切机</w:t>
                  </w:r>
                </w:p>
              </w:tc>
              <w:tc>
                <w:tcPr>
                  <w:tcW w:w="202" w:type="pct"/>
                  <w:noWrap w:val="0"/>
                  <w:vAlign w:val="center"/>
                </w:tcPr>
                <w:p w14:paraId="69A27CB6">
                  <w:pPr>
                    <w:widowControl/>
                    <w:adjustRightInd w:val="0"/>
                    <w:snapToGrid w:val="0"/>
                    <w:ind w:left="-105" w:leftChars="-50" w:right="-105" w:rightChars="-50"/>
                    <w:jc w:val="center"/>
                    <w:textAlignment w:val="center"/>
                    <w:rPr>
                      <w:rFonts w:hint="eastAsia"/>
                      <w:color w:val="auto"/>
                      <w:sz w:val="21"/>
                      <w:szCs w:val="21"/>
                    </w:rPr>
                  </w:pPr>
                  <w:r>
                    <w:rPr>
                      <w:rFonts w:hint="eastAsia"/>
                      <w:color w:val="auto"/>
                      <w:sz w:val="21"/>
                      <w:szCs w:val="21"/>
                    </w:rPr>
                    <w:t>/</w:t>
                  </w:r>
                </w:p>
              </w:tc>
              <w:tc>
                <w:tcPr>
                  <w:tcW w:w="204" w:type="pct"/>
                  <w:noWrap w:val="0"/>
                  <w:vAlign w:val="center"/>
                </w:tcPr>
                <w:p w14:paraId="538B6394">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87" w:type="pct"/>
                  <w:noWrap w:val="0"/>
                  <w:vAlign w:val="center"/>
                </w:tcPr>
                <w:p w14:paraId="3EDF7CF5">
                  <w:pPr>
                    <w:jc w:val="center"/>
                    <w:rPr>
                      <w:rFonts w:hint="default"/>
                      <w:color w:val="auto"/>
                      <w:sz w:val="21"/>
                      <w:szCs w:val="21"/>
                      <w:lang w:val="en-US" w:eastAsia="zh-CN"/>
                    </w:rPr>
                  </w:pPr>
                  <w:r>
                    <w:rPr>
                      <w:rFonts w:hint="eastAsia"/>
                      <w:color w:val="auto"/>
                      <w:sz w:val="21"/>
                      <w:szCs w:val="21"/>
                      <w:lang w:val="en-US" w:eastAsia="zh-CN"/>
                    </w:rPr>
                    <w:t>80</w:t>
                  </w:r>
                </w:p>
              </w:tc>
              <w:tc>
                <w:tcPr>
                  <w:tcW w:w="344" w:type="pct"/>
                  <w:vMerge w:val="continue"/>
                  <w:noWrap w:val="0"/>
                  <w:vAlign w:val="center"/>
                </w:tcPr>
                <w:p w14:paraId="0B4FA9A6">
                  <w:pPr>
                    <w:adjustRightInd w:val="0"/>
                    <w:snapToGrid w:val="0"/>
                    <w:ind w:left="-105" w:leftChars="-50" w:right="-105" w:rightChars="-50"/>
                    <w:jc w:val="center"/>
                    <w:rPr>
                      <w:rFonts w:hAnsi="宋体"/>
                      <w:bCs/>
                      <w:color w:val="auto"/>
                      <w:sz w:val="21"/>
                      <w:szCs w:val="21"/>
                    </w:rPr>
                  </w:pPr>
                </w:p>
              </w:tc>
              <w:tc>
                <w:tcPr>
                  <w:tcW w:w="209" w:type="pct"/>
                  <w:noWrap w:val="0"/>
                  <w:vAlign w:val="center"/>
                </w:tcPr>
                <w:p w14:paraId="3A09F310">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17</w:t>
                  </w:r>
                </w:p>
              </w:tc>
              <w:tc>
                <w:tcPr>
                  <w:tcW w:w="209" w:type="pct"/>
                  <w:noWrap w:val="0"/>
                  <w:vAlign w:val="center"/>
                </w:tcPr>
                <w:p w14:paraId="0A7E173A">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14</w:t>
                  </w:r>
                </w:p>
              </w:tc>
              <w:tc>
                <w:tcPr>
                  <w:tcW w:w="230" w:type="pct"/>
                  <w:noWrap w:val="0"/>
                  <w:vAlign w:val="center"/>
                </w:tcPr>
                <w:p w14:paraId="6DCF8903">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1</w:t>
                  </w:r>
                </w:p>
              </w:tc>
              <w:tc>
                <w:tcPr>
                  <w:tcW w:w="263" w:type="pct"/>
                  <w:noWrap w:val="0"/>
                  <w:vAlign w:val="center"/>
                </w:tcPr>
                <w:p w14:paraId="5DA1334B">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8</w:t>
                  </w:r>
                </w:p>
              </w:tc>
              <w:tc>
                <w:tcPr>
                  <w:tcW w:w="261" w:type="pct"/>
                  <w:noWrap w:val="0"/>
                  <w:vAlign w:val="center"/>
                </w:tcPr>
                <w:p w14:paraId="3A2B3048">
                  <w:pPr>
                    <w:adjustRightInd w:val="0"/>
                    <w:snapToGrid w:val="0"/>
                    <w:ind w:left="-105" w:leftChars="-50" w:right="-105" w:rightChars="-50"/>
                    <w:jc w:val="center"/>
                    <w:rPr>
                      <w:rFonts w:hint="default"/>
                      <w:color w:val="auto"/>
                      <w:sz w:val="21"/>
                      <w:szCs w:val="21"/>
                      <w:lang w:val="en-US" w:eastAsia="zh-CN"/>
                    </w:rPr>
                  </w:pPr>
                  <w:r>
                    <w:rPr>
                      <w:rFonts w:hint="default"/>
                      <w:color w:val="auto"/>
                      <w:sz w:val="21"/>
                      <w:szCs w:val="21"/>
                      <w:lang w:val="en-US" w:eastAsia="zh-CN"/>
                    </w:rPr>
                    <w:t>61.9</w:t>
                  </w:r>
                  <w:r>
                    <w:rPr>
                      <w:rFonts w:hint="eastAsia"/>
                      <w:color w:val="auto"/>
                      <w:sz w:val="21"/>
                      <w:szCs w:val="21"/>
                      <w:lang w:val="en-US" w:eastAsia="zh-CN"/>
                    </w:rPr>
                    <w:t>4</w:t>
                  </w:r>
                </w:p>
              </w:tc>
              <w:tc>
                <w:tcPr>
                  <w:tcW w:w="375" w:type="pct"/>
                  <w:noWrap w:val="0"/>
                  <w:vAlign w:val="center"/>
                </w:tcPr>
                <w:p w14:paraId="324E96A0">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8:00-16:00</w:t>
                  </w:r>
                </w:p>
              </w:tc>
              <w:tc>
                <w:tcPr>
                  <w:tcW w:w="326" w:type="pct"/>
                  <w:noWrap w:val="0"/>
                  <w:vAlign w:val="center"/>
                </w:tcPr>
                <w:p w14:paraId="183C368B">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25</w:t>
                  </w:r>
                </w:p>
              </w:tc>
              <w:tc>
                <w:tcPr>
                  <w:tcW w:w="1019" w:type="dxa"/>
                  <w:noWrap w:val="0"/>
                  <w:vAlign w:val="center"/>
                </w:tcPr>
                <w:p w14:paraId="545C35C7">
                  <w:pPr>
                    <w:adjustRightInd w:val="0"/>
                    <w:snapToGrid w:val="0"/>
                    <w:ind w:left="-105" w:leftChars="-50" w:right="-105" w:rightChars="-5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36.94</w:t>
                  </w:r>
                </w:p>
              </w:tc>
              <w:tc>
                <w:tcPr>
                  <w:tcW w:w="396" w:type="pct"/>
                  <w:noWrap w:val="0"/>
                  <w:vAlign w:val="center"/>
                </w:tcPr>
                <w:p w14:paraId="47117D14">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1m</w:t>
                  </w:r>
                </w:p>
              </w:tc>
            </w:tr>
          </w:tbl>
          <w:p w14:paraId="32A0D2F0">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表4-1</w:t>
            </w:r>
            <w:r>
              <w:rPr>
                <w:rFonts w:hint="eastAsia" w:cs="Times New Roman"/>
                <w:b/>
                <w:bCs/>
                <w:color w:val="auto"/>
                <w:sz w:val="21"/>
                <w:szCs w:val="21"/>
                <w:lang w:val="en-US" w:eastAsia="zh-CN"/>
              </w:rPr>
              <w:t>4</w:t>
            </w:r>
            <w:r>
              <w:rPr>
                <w:rFonts w:hint="eastAsia" w:cs="Times New Roman"/>
                <w:b/>
                <w:bCs/>
                <w:color w:val="auto"/>
                <w:sz w:val="21"/>
                <w:szCs w:val="21"/>
                <w:lang w:eastAsia="zh-CN"/>
              </w:rPr>
              <w:t>本项目</w:t>
            </w:r>
            <w:r>
              <w:rPr>
                <w:rFonts w:hint="default" w:ascii="Times New Roman" w:hAnsi="Times New Roman" w:eastAsia="宋体" w:cs="Times New Roman"/>
                <w:b/>
                <w:bCs/>
                <w:color w:val="auto"/>
                <w:sz w:val="21"/>
                <w:szCs w:val="21"/>
                <w:lang w:val="en-US" w:eastAsia="zh-CN"/>
              </w:rPr>
              <w:t>主要噪声污染源一览表（室外声源）</w:t>
            </w:r>
          </w:p>
          <w:tbl>
            <w:tblPr>
              <w:tblStyle w:val="31"/>
              <w:tblW w:w="4997"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52"/>
              <w:gridCol w:w="1566"/>
              <w:gridCol w:w="1021"/>
              <w:gridCol w:w="1305"/>
              <w:gridCol w:w="1305"/>
              <w:gridCol w:w="1316"/>
              <w:gridCol w:w="2137"/>
              <w:gridCol w:w="2207"/>
              <w:gridCol w:w="2162"/>
            </w:tblGrid>
            <w:tr w14:paraId="642F59E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7" w:type="pct"/>
                  <w:vMerge w:val="restart"/>
                  <w:tcBorders>
                    <w:tl2br w:val="nil"/>
                    <w:tr2bl w:val="nil"/>
                  </w:tcBorders>
                  <w:vAlign w:val="center"/>
                </w:tcPr>
                <w:p w14:paraId="1CE68ED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序号</w:t>
                  </w:r>
                </w:p>
              </w:tc>
              <w:tc>
                <w:tcPr>
                  <w:tcW w:w="564" w:type="pct"/>
                  <w:vMerge w:val="restart"/>
                  <w:tcBorders>
                    <w:tl2br w:val="nil"/>
                    <w:tr2bl w:val="nil"/>
                  </w:tcBorders>
                  <w:vAlign w:val="center"/>
                </w:tcPr>
                <w:p w14:paraId="3553841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lang w:val="en-US" w:eastAsia="zh-CN"/>
                    </w:rPr>
                    <w:t>声源名称</w:t>
                  </w:r>
                </w:p>
              </w:tc>
              <w:tc>
                <w:tcPr>
                  <w:tcW w:w="368" w:type="pct"/>
                  <w:vMerge w:val="restart"/>
                  <w:tcBorders>
                    <w:tl2br w:val="nil"/>
                    <w:tr2bl w:val="nil"/>
                  </w:tcBorders>
                  <w:vAlign w:val="center"/>
                </w:tcPr>
                <w:p w14:paraId="4CFABFD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数量</w:t>
                  </w:r>
                </w:p>
              </w:tc>
              <w:tc>
                <w:tcPr>
                  <w:tcW w:w="1414" w:type="pct"/>
                  <w:gridSpan w:val="3"/>
                  <w:tcBorders>
                    <w:tl2br w:val="nil"/>
                    <w:tr2bl w:val="nil"/>
                  </w:tcBorders>
                  <w:vAlign w:val="center"/>
                </w:tcPr>
                <w:p w14:paraId="3699D65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空间相对位置/m</w:t>
                  </w:r>
                </w:p>
              </w:tc>
              <w:tc>
                <w:tcPr>
                  <w:tcW w:w="770" w:type="pct"/>
                  <w:vMerge w:val="restart"/>
                  <w:tcBorders>
                    <w:tl2br w:val="nil"/>
                    <w:tr2bl w:val="nil"/>
                  </w:tcBorders>
                  <w:vAlign w:val="center"/>
                </w:tcPr>
                <w:p w14:paraId="2EE1BBB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单台声功率级dB(A)</w:t>
                  </w:r>
                </w:p>
              </w:tc>
              <w:tc>
                <w:tcPr>
                  <w:tcW w:w="795" w:type="pct"/>
                  <w:vMerge w:val="restart"/>
                  <w:tcBorders>
                    <w:tl2br w:val="nil"/>
                    <w:tr2bl w:val="nil"/>
                  </w:tcBorders>
                  <w:vAlign w:val="center"/>
                </w:tcPr>
                <w:p w14:paraId="2C79C07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声源控制</w:t>
                  </w:r>
                </w:p>
                <w:p w14:paraId="727191E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措施</w:t>
                  </w:r>
                </w:p>
              </w:tc>
              <w:tc>
                <w:tcPr>
                  <w:tcW w:w="779" w:type="pct"/>
                  <w:vMerge w:val="restart"/>
                  <w:tcBorders>
                    <w:tl2br w:val="nil"/>
                    <w:tr2bl w:val="nil"/>
                  </w:tcBorders>
                  <w:vAlign w:val="center"/>
                </w:tcPr>
                <w:p w14:paraId="079F1FE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运行时段</w:t>
                  </w:r>
                </w:p>
              </w:tc>
            </w:tr>
            <w:tr w14:paraId="46A7D74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7" w:type="pct"/>
                  <w:vMerge w:val="continue"/>
                  <w:tcBorders>
                    <w:tl2br w:val="nil"/>
                    <w:tr2bl w:val="nil"/>
                  </w:tcBorders>
                  <w:vAlign w:val="center"/>
                </w:tcPr>
                <w:p w14:paraId="5938535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564" w:type="pct"/>
                  <w:vMerge w:val="continue"/>
                  <w:tcBorders>
                    <w:tl2br w:val="nil"/>
                    <w:tr2bl w:val="nil"/>
                  </w:tcBorders>
                  <w:vAlign w:val="center"/>
                </w:tcPr>
                <w:p w14:paraId="0FA7353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368" w:type="pct"/>
                  <w:vMerge w:val="continue"/>
                  <w:tcBorders>
                    <w:tl2br w:val="nil"/>
                    <w:tr2bl w:val="nil"/>
                  </w:tcBorders>
                  <w:vAlign w:val="center"/>
                </w:tcPr>
                <w:p w14:paraId="5011F54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p>
              </w:tc>
              <w:tc>
                <w:tcPr>
                  <w:tcW w:w="470" w:type="pct"/>
                  <w:tcBorders>
                    <w:tl2br w:val="nil"/>
                    <w:tr2bl w:val="nil"/>
                  </w:tcBorders>
                  <w:vAlign w:val="center"/>
                </w:tcPr>
                <w:p w14:paraId="384C024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X</w:t>
                  </w:r>
                </w:p>
              </w:tc>
              <w:tc>
                <w:tcPr>
                  <w:tcW w:w="470" w:type="pct"/>
                  <w:tcBorders>
                    <w:tl2br w:val="nil"/>
                    <w:tr2bl w:val="nil"/>
                  </w:tcBorders>
                  <w:vAlign w:val="center"/>
                </w:tcPr>
                <w:p w14:paraId="0673884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Y</w:t>
                  </w:r>
                </w:p>
              </w:tc>
              <w:tc>
                <w:tcPr>
                  <w:tcW w:w="473" w:type="pct"/>
                  <w:tcBorders>
                    <w:tl2br w:val="nil"/>
                    <w:tr2bl w:val="nil"/>
                  </w:tcBorders>
                  <w:vAlign w:val="center"/>
                </w:tcPr>
                <w:p w14:paraId="08BB313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Z</w:t>
                  </w:r>
                </w:p>
              </w:tc>
              <w:tc>
                <w:tcPr>
                  <w:tcW w:w="770" w:type="pct"/>
                  <w:vMerge w:val="continue"/>
                  <w:tcBorders>
                    <w:tl2br w:val="nil"/>
                    <w:tr2bl w:val="nil"/>
                  </w:tcBorders>
                  <w:vAlign w:val="center"/>
                </w:tcPr>
                <w:p w14:paraId="3CC19A5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p>
              </w:tc>
              <w:tc>
                <w:tcPr>
                  <w:tcW w:w="795" w:type="pct"/>
                  <w:vMerge w:val="continue"/>
                  <w:tcBorders>
                    <w:tl2br w:val="nil"/>
                    <w:tr2bl w:val="nil"/>
                  </w:tcBorders>
                  <w:vAlign w:val="center"/>
                </w:tcPr>
                <w:p w14:paraId="5B84C4F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p>
              </w:tc>
              <w:tc>
                <w:tcPr>
                  <w:tcW w:w="779" w:type="pct"/>
                  <w:vMerge w:val="continue"/>
                  <w:tcBorders>
                    <w:tl2br w:val="nil"/>
                    <w:tr2bl w:val="nil"/>
                  </w:tcBorders>
                  <w:vAlign w:val="center"/>
                </w:tcPr>
                <w:p w14:paraId="6032F34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p>
              </w:tc>
            </w:tr>
            <w:tr w14:paraId="3FC4A26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7" w:type="pct"/>
                  <w:tcBorders>
                    <w:tl2br w:val="nil"/>
                    <w:tr2bl w:val="nil"/>
                  </w:tcBorders>
                  <w:vAlign w:val="center"/>
                </w:tcPr>
                <w:p w14:paraId="1A8D6CF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564" w:type="pct"/>
                  <w:tcBorders>
                    <w:tl2br w:val="nil"/>
                    <w:tr2bl w:val="nil"/>
                  </w:tcBorders>
                  <w:vAlign w:val="center"/>
                </w:tcPr>
                <w:p w14:paraId="2BD754A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Cs w:val="21"/>
                      <w:lang w:val="en-US" w:eastAsia="zh-CN"/>
                    </w:rPr>
                    <w:t>风机</w:t>
                  </w:r>
                  <w:r>
                    <w:rPr>
                      <w:rFonts w:hint="eastAsia" w:cs="Times New Roman"/>
                      <w:color w:val="auto"/>
                      <w:szCs w:val="21"/>
                      <w:lang w:val="en-US" w:eastAsia="zh-CN"/>
                    </w:rPr>
                    <w:t>（TA001）</w:t>
                  </w:r>
                </w:p>
              </w:tc>
              <w:tc>
                <w:tcPr>
                  <w:tcW w:w="368" w:type="pct"/>
                  <w:tcBorders>
                    <w:tl2br w:val="nil"/>
                    <w:tr2bl w:val="nil"/>
                  </w:tcBorders>
                  <w:vAlign w:val="center"/>
                </w:tcPr>
                <w:p w14:paraId="215B618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Cs w:val="21"/>
                      <w:lang w:val="en-US" w:eastAsia="zh-CN"/>
                    </w:rPr>
                    <w:t>1</w:t>
                  </w:r>
                </w:p>
              </w:tc>
              <w:tc>
                <w:tcPr>
                  <w:tcW w:w="470" w:type="pct"/>
                  <w:tcBorders>
                    <w:tl2br w:val="nil"/>
                    <w:tr2bl w:val="nil"/>
                  </w:tcBorders>
                  <w:vAlign w:val="center"/>
                </w:tcPr>
                <w:p w14:paraId="5C633B9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29</w:t>
                  </w:r>
                </w:p>
              </w:tc>
              <w:tc>
                <w:tcPr>
                  <w:tcW w:w="470" w:type="pct"/>
                  <w:tcBorders>
                    <w:tl2br w:val="nil"/>
                    <w:tr2bl w:val="nil"/>
                  </w:tcBorders>
                  <w:vAlign w:val="center"/>
                </w:tcPr>
                <w:p w14:paraId="3C7E7CB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30</w:t>
                  </w:r>
                </w:p>
              </w:tc>
              <w:tc>
                <w:tcPr>
                  <w:tcW w:w="473" w:type="pct"/>
                  <w:tcBorders>
                    <w:tl2br w:val="nil"/>
                    <w:tr2bl w:val="nil"/>
                  </w:tcBorders>
                  <w:vAlign w:val="center"/>
                </w:tcPr>
                <w:p w14:paraId="284DBBB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w:t>
                  </w:r>
                </w:p>
              </w:tc>
              <w:tc>
                <w:tcPr>
                  <w:tcW w:w="770" w:type="pct"/>
                  <w:tcBorders>
                    <w:tl2br w:val="nil"/>
                    <w:tr2bl w:val="nil"/>
                  </w:tcBorders>
                  <w:vAlign w:val="center"/>
                </w:tcPr>
                <w:p w14:paraId="27AA3D9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szCs w:val="21"/>
                      <w:lang w:val="en-US" w:eastAsia="zh-CN"/>
                    </w:rPr>
                    <w:t>85</w:t>
                  </w:r>
                </w:p>
              </w:tc>
              <w:tc>
                <w:tcPr>
                  <w:tcW w:w="795" w:type="pct"/>
                  <w:tcBorders>
                    <w:tl2br w:val="nil"/>
                    <w:tr2bl w:val="nil"/>
                  </w:tcBorders>
                  <w:vAlign w:val="center"/>
                </w:tcPr>
                <w:p w14:paraId="06320FF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lang w:val="en-US" w:eastAsia="zh-CN"/>
                    </w:rPr>
                  </w:pPr>
                  <w:r>
                    <w:rPr>
                      <w:rFonts w:hAnsi="宋体"/>
                      <w:bCs/>
                      <w:color w:val="auto"/>
                      <w:szCs w:val="20"/>
                    </w:rPr>
                    <w:t>减振、隔音</w:t>
                  </w:r>
                </w:p>
              </w:tc>
              <w:tc>
                <w:tcPr>
                  <w:tcW w:w="779" w:type="pct"/>
                  <w:tcBorders>
                    <w:tl2br w:val="nil"/>
                    <w:tr2bl w:val="nil"/>
                  </w:tcBorders>
                  <w:vAlign w:val="center"/>
                </w:tcPr>
                <w:p w14:paraId="5BE6ED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olor w:val="auto"/>
                      <w:sz w:val="21"/>
                      <w:szCs w:val="21"/>
                      <w:lang w:val="en-US" w:eastAsia="zh-CN"/>
                    </w:rPr>
                    <w:t>8:00-16:00</w:t>
                  </w:r>
                </w:p>
              </w:tc>
            </w:tr>
          </w:tbl>
          <w:p w14:paraId="35E30AEA">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注：</w:t>
            </w:r>
            <w:r>
              <w:rPr>
                <w:rFonts w:hint="default" w:ascii="Times New Roman" w:hAnsi="Times New Roman" w:cs="Times New Roman"/>
                <w:b/>
                <w:bCs/>
                <w:color w:val="auto"/>
                <w:sz w:val="21"/>
                <w:szCs w:val="21"/>
                <w:lang w:val="en-US" w:eastAsia="zh-CN"/>
              </w:rPr>
              <w:t>表4-</w:t>
            </w:r>
            <w:r>
              <w:rPr>
                <w:rFonts w:hint="eastAsia" w:ascii="Times New Roman" w:hAnsi="Times New Roman" w:cs="Times New Roman"/>
                <w:b/>
                <w:bCs/>
                <w:color w:val="auto"/>
                <w:sz w:val="21"/>
                <w:szCs w:val="21"/>
                <w:lang w:val="en-US" w:eastAsia="zh-CN"/>
              </w:rPr>
              <w:t>1</w:t>
            </w:r>
            <w:r>
              <w:rPr>
                <w:rFonts w:hint="eastAsia" w:cs="Times New Roman"/>
                <w:b/>
                <w:bCs/>
                <w:color w:val="auto"/>
                <w:sz w:val="21"/>
                <w:szCs w:val="21"/>
                <w:lang w:val="en-US" w:eastAsia="zh-CN"/>
              </w:rPr>
              <w:t>3</w:t>
            </w:r>
            <w:r>
              <w:rPr>
                <w:rFonts w:hint="default" w:ascii="Times New Roman" w:hAnsi="Times New Roman" w:cs="Times New Roman"/>
                <w:b/>
                <w:bCs/>
                <w:color w:val="auto"/>
                <w:sz w:val="21"/>
                <w:szCs w:val="21"/>
                <w:lang w:val="en-US" w:eastAsia="zh-CN"/>
              </w:rPr>
              <w:t>及表4-1</w:t>
            </w:r>
            <w:r>
              <w:rPr>
                <w:rFonts w:hint="eastAsia" w:cs="Times New Roman"/>
                <w:b/>
                <w:bCs/>
                <w:color w:val="auto"/>
                <w:sz w:val="21"/>
                <w:szCs w:val="21"/>
                <w:lang w:val="en-US" w:eastAsia="zh-CN"/>
              </w:rPr>
              <w:t>4</w:t>
            </w:r>
            <w:r>
              <w:rPr>
                <w:rFonts w:hint="default" w:ascii="Times New Roman" w:hAnsi="Times New Roman" w:cs="Times New Roman"/>
                <w:b/>
                <w:bCs/>
                <w:color w:val="auto"/>
                <w:sz w:val="21"/>
                <w:szCs w:val="21"/>
                <w:lang w:val="en-US" w:eastAsia="zh-CN"/>
              </w:rPr>
              <w:t>中</w:t>
            </w:r>
            <w:r>
              <w:rPr>
                <w:rFonts w:hint="default" w:ascii="Times New Roman" w:hAnsi="Times New Roman" w:eastAsia="宋体" w:cs="Times New Roman"/>
                <w:b/>
                <w:bCs/>
                <w:color w:val="auto"/>
                <w:sz w:val="21"/>
                <w:szCs w:val="21"/>
                <w:lang w:val="en-US" w:eastAsia="zh-CN"/>
              </w:rPr>
              <w:t>空间相对坐标以</w:t>
            </w:r>
            <w:r>
              <w:rPr>
                <w:rFonts w:hint="eastAsia" w:cs="Times New Roman"/>
                <w:b/>
                <w:bCs/>
                <w:color w:val="auto"/>
                <w:sz w:val="21"/>
                <w:szCs w:val="21"/>
                <w:lang w:val="en-US" w:eastAsia="zh-CN"/>
              </w:rPr>
              <w:t>厂区</w:t>
            </w:r>
            <w:r>
              <w:rPr>
                <w:rFonts w:hint="default" w:ascii="Times New Roman" w:hAnsi="Times New Roman" w:eastAsia="宋体" w:cs="Times New Roman"/>
                <w:b/>
                <w:bCs/>
                <w:color w:val="auto"/>
                <w:sz w:val="21"/>
                <w:szCs w:val="21"/>
                <w:lang w:val="en-US" w:eastAsia="zh-CN"/>
              </w:rPr>
              <w:t>西南角为原点（0，0，0）</w:t>
            </w:r>
            <w:r>
              <w:rPr>
                <w:rFonts w:hint="default" w:ascii="Times New Roman" w:hAnsi="Times New Roman" w:cs="Times New Roman"/>
                <w:b/>
                <w:bCs/>
                <w:color w:val="auto"/>
                <w:sz w:val="21"/>
                <w:szCs w:val="21"/>
                <w:lang w:val="en-US" w:eastAsia="zh-CN"/>
              </w:rPr>
              <w:t>，东西方向为X轴，南北方向为Y轴，垂直方向为Z轴</w:t>
            </w:r>
            <w:r>
              <w:rPr>
                <w:rFonts w:hint="default" w:ascii="Times New Roman" w:hAnsi="Times New Roman" w:eastAsia="宋体" w:cs="Times New Roman"/>
                <w:b/>
                <w:bCs/>
                <w:color w:val="auto"/>
                <w:sz w:val="21"/>
                <w:szCs w:val="21"/>
                <w:lang w:val="en-US" w:eastAsia="zh-CN"/>
              </w:rPr>
              <w:t>。</w:t>
            </w:r>
          </w:p>
          <w:p w14:paraId="378BE393">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vertAlign w:val="baseline"/>
              </w:rPr>
            </w:pPr>
          </w:p>
        </w:tc>
      </w:tr>
    </w:tbl>
    <w:p w14:paraId="4481E39A">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rPr>
        <w:sectPr>
          <w:headerReference r:id="rId10" w:type="default"/>
          <w:pgSz w:w="16838" w:h="11906" w:orient="landscape"/>
          <w:pgMar w:top="1451" w:right="1417" w:bottom="1451" w:left="1417" w:header="851" w:footer="1134" w:gutter="0"/>
          <w:pgBorders>
            <w:top w:val="none" w:sz="0" w:space="0"/>
            <w:left w:val="none" w:sz="0" w:space="0"/>
            <w:bottom w:val="none" w:sz="0" w:space="0"/>
            <w:right w:val="none" w:sz="0" w:space="0"/>
          </w:pgBorders>
          <w:pgNumType w:fmt="decimal"/>
          <w:cols w:space="720" w:num="1"/>
          <w:docGrid w:linePitch="312" w:charSpace="0"/>
        </w:sect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6B8B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6" w:hRule="atLeast"/>
        </w:trPr>
        <w:tc>
          <w:tcPr>
            <w:tcW w:w="9060" w:type="dxa"/>
          </w:tcPr>
          <w:p w14:paraId="022F6A87">
            <w:pPr>
              <w:adjustRightInd w:val="0"/>
              <w:snapToGrid w:val="0"/>
              <w:spacing w:line="500" w:lineRule="exact"/>
              <w:ind w:firstLine="422" w:firstLineChars="200"/>
              <w:rPr>
                <w:rFonts w:hint="default" w:ascii="Times New Roman" w:hAnsi="Times New Roman" w:cs="Times New Roman"/>
                <w:b/>
                <w:bCs/>
                <w:color w:val="auto"/>
                <w:sz w:val="21"/>
                <w:szCs w:val="21"/>
              </w:rPr>
            </w:pPr>
            <w:r>
              <w:rPr>
                <w:rFonts w:hint="eastAsia" w:cs="Times New Roman"/>
                <w:b/>
                <w:bCs/>
                <w:color w:val="auto"/>
                <w:sz w:val="21"/>
                <w:szCs w:val="21"/>
                <w:lang w:val="en-US" w:eastAsia="zh-CN"/>
              </w:rPr>
              <w:t>2、</w:t>
            </w:r>
            <w:r>
              <w:rPr>
                <w:rFonts w:hint="default" w:ascii="Times New Roman" w:hAnsi="Times New Roman" w:cs="Times New Roman"/>
                <w:b/>
                <w:bCs/>
                <w:color w:val="auto"/>
                <w:sz w:val="21"/>
                <w:szCs w:val="21"/>
                <w:lang w:val="en-US" w:eastAsia="zh-CN"/>
              </w:rPr>
              <w:t>排放</w:t>
            </w:r>
            <w:r>
              <w:rPr>
                <w:rFonts w:hint="default" w:ascii="Times New Roman" w:hAnsi="Times New Roman" w:cs="Times New Roman"/>
                <w:b/>
                <w:bCs/>
                <w:color w:val="auto"/>
                <w:sz w:val="21"/>
                <w:szCs w:val="21"/>
              </w:rPr>
              <w:t>达标情况分析</w:t>
            </w:r>
          </w:p>
          <w:p w14:paraId="6BD09598">
            <w:pPr>
              <w:adjustRightInd w:val="0"/>
              <w:snapToGrid w:val="0"/>
              <w:spacing w:line="500" w:lineRule="exact"/>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w:t>
            </w:r>
            <w:r>
              <w:rPr>
                <w:rFonts w:hint="eastAsia" w:cs="Times New Roman"/>
                <w:color w:val="auto"/>
                <w:sz w:val="21"/>
                <w:szCs w:val="21"/>
                <w:lang w:val="en-US" w:eastAsia="zh-CN"/>
              </w:rPr>
              <w:t>夜间不生产，</w:t>
            </w:r>
            <w:r>
              <w:rPr>
                <w:rFonts w:hint="default" w:ascii="Times New Roman" w:hAnsi="Times New Roman" w:eastAsia="宋体" w:cs="Times New Roman"/>
                <w:color w:val="auto"/>
                <w:sz w:val="21"/>
                <w:szCs w:val="21"/>
                <w:lang w:val="en-US" w:eastAsia="zh-CN"/>
              </w:rPr>
              <w:t>故本次评价对东、南、西、北厂界进行昼间噪声的影响预测。</w:t>
            </w:r>
            <w:r>
              <w:rPr>
                <w:rFonts w:hint="default" w:ascii="Times New Roman" w:hAnsi="Times New Roman" w:cs="Times New Roman"/>
                <w:color w:val="auto"/>
                <w:sz w:val="21"/>
                <w:szCs w:val="21"/>
              </w:rPr>
              <w:t>根据企业提供的噪声设</w:t>
            </w:r>
            <w:r>
              <w:rPr>
                <w:rFonts w:hint="default" w:ascii="Times New Roman" w:hAnsi="Times New Roman" w:eastAsia="宋体" w:cs="Times New Roman"/>
                <w:color w:val="auto"/>
                <w:sz w:val="21"/>
                <w:szCs w:val="21"/>
              </w:rPr>
              <w:t>备分布情况，</w:t>
            </w:r>
            <w:r>
              <w:rPr>
                <w:rFonts w:hint="default" w:ascii="Times New Roman" w:hAnsi="Times New Roman" w:eastAsia="宋体" w:cs="Times New Roman"/>
                <w:color w:val="auto"/>
                <w:sz w:val="21"/>
                <w:szCs w:val="21"/>
                <w:lang w:val="en-US" w:eastAsia="zh-CN"/>
              </w:rPr>
              <w:t>噪声源对厂界噪声的影响预测结果见下表。</w:t>
            </w:r>
          </w:p>
          <w:p w14:paraId="13454FD7">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表4-1</w:t>
            </w:r>
            <w:r>
              <w:rPr>
                <w:rFonts w:hint="eastAsia" w:cs="Times New Roman"/>
                <w:b/>
                <w:bCs/>
                <w:color w:val="auto"/>
                <w:sz w:val="21"/>
                <w:szCs w:val="21"/>
                <w:lang w:val="en-US" w:eastAsia="zh-CN"/>
              </w:rPr>
              <w:t>5</w:t>
            </w:r>
            <w:r>
              <w:rPr>
                <w:rFonts w:hint="default" w:ascii="Times New Roman" w:hAnsi="Times New Roman" w:cs="Times New Roman"/>
                <w:b/>
                <w:bCs/>
                <w:color w:val="auto"/>
                <w:sz w:val="21"/>
                <w:szCs w:val="21"/>
                <w:lang w:val="en-US" w:eastAsia="zh-CN"/>
              </w:rPr>
              <w:t>本项目各厂界</w:t>
            </w:r>
            <w:r>
              <w:rPr>
                <w:rFonts w:hint="eastAsia" w:cs="Times New Roman"/>
                <w:b/>
                <w:bCs/>
                <w:color w:val="auto"/>
                <w:sz w:val="21"/>
                <w:szCs w:val="21"/>
                <w:lang w:val="en-US" w:eastAsia="zh-CN"/>
              </w:rPr>
              <w:t xml:space="preserve"> </w:t>
            </w:r>
            <w:r>
              <w:rPr>
                <w:rFonts w:hint="default" w:ascii="Times New Roman" w:hAnsi="Times New Roman" w:cs="Times New Roman"/>
                <w:b/>
                <w:bCs/>
                <w:color w:val="auto"/>
                <w:sz w:val="21"/>
                <w:szCs w:val="21"/>
                <w:lang w:val="en-US" w:eastAsia="zh-CN"/>
              </w:rPr>
              <w:t>噪声预测结果dB(A)</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93"/>
              <w:gridCol w:w="3162"/>
              <w:gridCol w:w="3185"/>
            </w:tblGrid>
            <w:tr w14:paraId="381D99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10" w:type="pct"/>
                  <w:vMerge w:val="restart"/>
                  <w:tcMar>
                    <w:left w:w="0" w:type="dxa"/>
                    <w:right w:w="0" w:type="dxa"/>
                  </w:tcMar>
                  <w:vAlign w:val="center"/>
                </w:tcPr>
                <w:p w14:paraId="36768B73">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目标</w:t>
                  </w:r>
                </w:p>
              </w:tc>
              <w:tc>
                <w:tcPr>
                  <w:tcW w:w="1788" w:type="pct"/>
                  <w:vMerge w:val="restart"/>
                  <w:tcMar>
                    <w:left w:w="0" w:type="dxa"/>
                    <w:right w:w="0" w:type="dxa"/>
                  </w:tcMar>
                  <w:vAlign w:val="center"/>
                </w:tcPr>
                <w:p w14:paraId="2F880C3A">
                  <w:pPr>
                    <w:jc w:val="center"/>
                    <w:rPr>
                      <w:rFonts w:hint="eastAsia" w:cs="Times New Roman"/>
                      <w:b/>
                      <w:color w:val="auto"/>
                      <w:sz w:val="21"/>
                      <w:szCs w:val="21"/>
                      <w:lang w:val="en-US" w:eastAsia="zh-CN"/>
                    </w:rPr>
                  </w:pPr>
                  <w:r>
                    <w:rPr>
                      <w:rFonts w:hint="eastAsia" w:cs="Times New Roman"/>
                      <w:b/>
                      <w:color w:val="auto"/>
                      <w:sz w:val="21"/>
                      <w:szCs w:val="21"/>
                      <w:lang w:val="en-US" w:eastAsia="zh-CN"/>
                    </w:rPr>
                    <w:t>噪声</w:t>
                  </w:r>
                  <w:r>
                    <w:rPr>
                      <w:rFonts w:hint="default" w:ascii="Times New Roman" w:hAnsi="Times New Roman" w:cs="Times New Roman"/>
                      <w:b/>
                      <w:color w:val="auto"/>
                      <w:sz w:val="21"/>
                      <w:szCs w:val="21"/>
                    </w:rPr>
                    <w:t>贡献值</w:t>
                  </w:r>
                </w:p>
              </w:tc>
              <w:tc>
                <w:tcPr>
                  <w:tcW w:w="1801" w:type="pct"/>
                  <w:tcMar>
                    <w:left w:w="0" w:type="dxa"/>
                    <w:right w:w="0" w:type="dxa"/>
                  </w:tcMar>
                  <w:vAlign w:val="center"/>
                </w:tcPr>
                <w:p w14:paraId="2C89D0EE">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标准</w:t>
                  </w:r>
                </w:p>
              </w:tc>
            </w:tr>
            <w:tr w14:paraId="23D861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10" w:type="pct"/>
                  <w:vMerge w:val="continue"/>
                  <w:tcMar>
                    <w:left w:w="0" w:type="dxa"/>
                    <w:right w:w="0" w:type="dxa"/>
                  </w:tcMar>
                  <w:vAlign w:val="center"/>
                </w:tcPr>
                <w:p w14:paraId="1BAC0CC0">
                  <w:pPr>
                    <w:jc w:val="center"/>
                    <w:rPr>
                      <w:rFonts w:hint="default" w:ascii="Times New Roman" w:hAnsi="Times New Roman" w:cs="Times New Roman"/>
                      <w:b/>
                      <w:color w:val="auto"/>
                      <w:sz w:val="21"/>
                      <w:szCs w:val="21"/>
                    </w:rPr>
                  </w:pPr>
                </w:p>
              </w:tc>
              <w:tc>
                <w:tcPr>
                  <w:tcW w:w="1788" w:type="pct"/>
                  <w:vMerge w:val="continue"/>
                  <w:tcMar>
                    <w:left w:w="0" w:type="dxa"/>
                    <w:right w:w="0" w:type="dxa"/>
                  </w:tcMar>
                  <w:vAlign w:val="center"/>
                </w:tcPr>
                <w:p w14:paraId="7873A609">
                  <w:pPr>
                    <w:jc w:val="center"/>
                    <w:rPr>
                      <w:rFonts w:hint="eastAsia" w:ascii="Times New Roman" w:hAnsi="Times New Roman" w:eastAsia="宋体" w:cs="Times New Roman"/>
                      <w:b/>
                      <w:color w:val="auto"/>
                      <w:sz w:val="21"/>
                      <w:szCs w:val="21"/>
                      <w:lang w:val="en-US" w:eastAsia="zh-CN"/>
                    </w:rPr>
                  </w:pPr>
                </w:p>
              </w:tc>
              <w:tc>
                <w:tcPr>
                  <w:tcW w:w="1801" w:type="pct"/>
                  <w:tcMar>
                    <w:left w:w="0" w:type="dxa"/>
                    <w:right w:w="0" w:type="dxa"/>
                  </w:tcMar>
                  <w:vAlign w:val="center"/>
                </w:tcPr>
                <w:p w14:paraId="0E962589">
                  <w:pPr>
                    <w:jc w:val="center"/>
                    <w:rPr>
                      <w:rFonts w:hint="eastAsia" w:ascii="Times New Roman" w:hAnsi="Times New Roman" w:eastAsia="宋体" w:cs="Times New Roman"/>
                      <w:b/>
                      <w:color w:val="auto"/>
                      <w:sz w:val="21"/>
                      <w:szCs w:val="21"/>
                      <w:lang w:val="en-US" w:eastAsia="zh-CN"/>
                    </w:rPr>
                  </w:pPr>
                  <w:r>
                    <w:rPr>
                      <w:rFonts w:hint="default" w:ascii="Times New Roman" w:hAnsi="Times New Roman" w:cs="Times New Roman"/>
                      <w:b/>
                      <w:color w:val="auto"/>
                      <w:sz w:val="21"/>
                      <w:szCs w:val="21"/>
                    </w:rPr>
                    <w:t>昼间</w:t>
                  </w:r>
                </w:p>
              </w:tc>
            </w:tr>
            <w:tr w14:paraId="510403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10" w:type="pct"/>
                  <w:tcMar>
                    <w:left w:w="0" w:type="dxa"/>
                    <w:right w:w="0" w:type="dxa"/>
                  </w:tcMar>
                  <w:vAlign w:val="center"/>
                </w:tcPr>
                <w:p w14:paraId="60F794BB">
                  <w:pPr>
                    <w:spacing w:line="30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东厂界</w:t>
                  </w:r>
                </w:p>
              </w:tc>
              <w:tc>
                <w:tcPr>
                  <w:tcW w:w="1788" w:type="pct"/>
                  <w:tcMar>
                    <w:left w:w="0" w:type="dxa"/>
                    <w:right w:w="0" w:type="dxa"/>
                  </w:tcMar>
                  <w:vAlign w:val="center"/>
                </w:tcPr>
                <w:p w14:paraId="004B1E8D">
                  <w:pPr>
                    <w:pStyle w:val="19"/>
                    <w:tabs>
                      <w:tab w:val="clear" w:pos="4153"/>
                      <w:tab w:val="clear" w:pos="8306"/>
                    </w:tabs>
                    <w:snapToGrid/>
                    <w:spacing w:line="300" w:lineRule="exact"/>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42.49</w:t>
                  </w:r>
                </w:p>
              </w:tc>
              <w:tc>
                <w:tcPr>
                  <w:tcW w:w="1801" w:type="pct"/>
                  <w:tcMar>
                    <w:left w:w="0" w:type="dxa"/>
                    <w:right w:w="0" w:type="dxa"/>
                  </w:tcMar>
                  <w:vAlign w:val="center"/>
                </w:tcPr>
                <w:p w14:paraId="7150F6BE">
                  <w:pPr>
                    <w:pStyle w:val="19"/>
                    <w:tabs>
                      <w:tab w:val="clear" w:pos="4153"/>
                      <w:tab w:val="clear" w:pos="8306"/>
                    </w:tabs>
                    <w:snapToGrid/>
                    <w:spacing w:line="300" w:lineRule="exact"/>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rPr>
                    <w:t>6</w:t>
                  </w:r>
                  <w:r>
                    <w:rPr>
                      <w:rFonts w:hint="default" w:ascii="Times New Roman" w:hAnsi="Times New Roman" w:cs="Times New Roman"/>
                      <w:bCs/>
                      <w:color w:val="auto"/>
                      <w:sz w:val="21"/>
                      <w:szCs w:val="21"/>
                      <w:lang w:val="en-US" w:eastAsia="zh-CN"/>
                    </w:rPr>
                    <w:t>5</w:t>
                  </w:r>
                </w:p>
              </w:tc>
            </w:tr>
            <w:tr w14:paraId="2304CC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10" w:type="pct"/>
                  <w:tcMar>
                    <w:left w:w="0" w:type="dxa"/>
                    <w:right w:w="0" w:type="dxa"/>
                  </w:tcMar>
                  <w:vAlign w:val="center"/>
                </w:tcPr>
                <w:p w14:paraId="1C9E71E5">
                  <w:pPr>
                    <w:spacing w:line="30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南厂界</w:t>
                  </w:r>
                </w:p>
              </w:tc>
              <w:tc>
                <w:tcPr>
                  <w:tcW w:w="1788" w:type="pct"/>
                  <w:tcMar>
                    <w:left w:w="0" w:type="dxa"/>
                    <w:right w:w="0" w:type="dxa"/>
                  </w:tcMar>
                  <w:vAlign w:val="center"/>
                </w:tcPr>
                <w:p w14:paraId="07D22258">
                  <w:pPr>
                    <w:pStyle w:val="19"/>
                    <w:tabs>
                      <w:tab w:val="clear" w:pos="4153"/>
                      <w:tab w:val="clear" w:pos="8306"/>
                    </w:tabs>
                    <w:snapToGrid/>
                    <w:spacing w:line="300" w:lineRule="exact"/>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44.28</w:t>
                  </w:r>
                </w:p>
              </w:tc>
              <w:tc>
                <w:tcPr>
                  <w:tcW w:w="1801" w:type="pct"/>
                  <w:tcMar>
                    <w:left w:w="0" w:type="dxa"/>
                    <w:right w:w="0" w:type="dxa"/>
                  </w:tcMar>
                  <w:vAlign w:val="center"/>
                </w:tcPr>
                <w:p w14:paraId="24FD2080">
                  <w:pPr>
                    <w:pStyle w:val="19"/>
                    <w:tabs>
                      <w:tab w:val="clear" w:pos="4153"/>
                      <w:tab w:val="clear" w:pos="8306"/>
                    </w:tabs>
                    <w:snapToGrid/>
                    <w:spacing w:line="300" w:lineRule="exac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w:t>
                  </w:r>
                  <w:r>
                    <w:rPr>
                      <w:rFonts w:hint="default" w:ascii="Times New Roman" w:hAnsi="Times New Roman" w:cs="Times New Roman"/>
                      <w:bCs/>
                      <w:color w:val="auto"/>
                      <w:sz w:val="21"/>
                      <w:szCs w:val="21"/>
                      <w:lang w:val="en-US" w:eastAsia="zh-CN"/>
                    </w:rPr>
                    <w:t>5</w:t>
                  </w:r>
                </w:p>
              </w:tc>
            </w:tr>
            <w:tr w14:paraId="07ED09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10" w:type="pct"/>
                  <w:tcMar>
                    <w:left w:w="0" w:type="dxa"/>
                    <w:right w:w="0" w:type="dxa"/>
                  </w:tcMar>
                  <w:vAlign w:val="center"/>
                </w:tcPr>
                <w:p w14:paraId="34E18B0B">
                  <w:pPr>
                    <w:spacing w:line="30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西厂界</w:t>
                  </w:r>
                </w:p>
              </w:tc>
              <w:tc>
                <w:tcPr>
                  <w:tcW w:w="1788" w:type="pct"/>
                  <w:tcMar>
                    <w:left w:w="0" w:type="dxa"/>
                    <w:right w:w="0" w:type="dxa"/>
                  </w:tcMar>
                  <w:vAlign w:val="center"/>
                </w:tcPr>
                <w:p w14:paraId="640D4B53">
                  <w:pPr>
                    <w:pStyle w:val="19"/>
                    <w:tabs>
                      <w:tab w:val="clear" w:pos="4153"/>
                      <w:tab w:val="clear" w:pos="8306"/>
                    </w:tabs>
                    <w:snapToGrid/>
                    <w:spacing w:line="300" w:lineRule="exact"/>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43.77</w:t>
                  </w:r>
                </w:p>
              </w:tc>
              <w:tc>
                <w:tcPr>
                  <w:tcW w:w="1801" w:type="pct"/>
                  <w:tcMar>
                    <w:left w:w="0" w:type="dxa"/>
                    <w:right w:w="0" w:type="dxa"/>
                  </w:tcMar>
                  <w:vAlign w:val="center"/>
                </w:tcPr>
                <w:p w14:paraId="505E004B">
                  <w:pPr>
                    <w:pStyle w:val="19"/>
                    <w:tabs>
                      <w:tab w:val="clear" w:pos="4153"/>
                      <w:tab w:val="clear" w:pos="8306"/>
                    </w:tabs>
                    <w:snapToGrid/>
                    <w:spacing w:line="300" w:lineRule="exac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w:t>
                  </w:r>
                  <w:r>
                    <w:rPr>
                      <w:rFonts w:hint="default" w:ascii="Times New Roman" w:hAnsi="Times New Roman" w:cs="Times New Roman"/>
                      <w:bCs/>
                      <w:color w:val="auto"/>
                      <w:sz w:val="21"/>
                      <w:szCs w:val="21"/>
                      <w:lang w:val="en-US" w:eastAsia="zh-CN"/>
                    </w:rPr>
                    <w:t>5</w:t>
                  </w:r>
                </w:p>
              </w:tc>
            </w:tr>
            <w:tr w14:paraId="0F1457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10" w:type="pct"/>
                  <w:tcMar>
                    <w:left w:w="0" w:type="dxa"/>
                    <w:right w:w="0" w:type="dxa"/>
                  </w:tcMar>
                  <w:vAlign w:val="center"/>
                </w:tcPr>
                <w:p w14:paraId="18C384B8">
                  <w:pPr>
                    <w:spacing w:line="30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北厂界</w:t>
                  </w:r>
                </w:p>
              </w:tc>
              <w:tc>
                <w:tcPr>
                  <w:tcW w:w="1788" w:type="pct"/>
                  <w:tcMar>
                    <w:left w:w="0" w:type="dxa"/>
                    <w:right w:w="0" w:type="dxa"/>
                  </w:tcMar>
                  <w:vAlign w:val="center"/>
                </w:tcPr>
                <w:p w14:paraId="6086E216">
                  <w:pPr>
                    <w:pStyle w:val="19"/>
                    <w:tabs>
                      <w:tab w:val="clear" w:pos="4153"/>
                      <w:tab w:val="clear" w:pos="8306"/>
                    </w:tabs>
                    <w:snapToGrid/>
                    <w:spacing w:line="300" w:lineRule="exact"/>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52.31</w:t>
                  </w:r>
                </w:p>
              </w:tc>
              <w:tc>
                <w:tcPr>
                  <w:tcW w:w="1801" w:type="pct"/>
                  <w:tcMar>
                    <w:left w:w="0" w:type="dxa"/>
                    <w:right w:w="0" w:type="dxa"/>
                  </w:tcMar>
                  <w:vAlign w:val="center"/>
                </w:tcPr>
                <w:p w14:paraId="3B25B288">
                  <w:pPr>
                    <w:pStyle w:val="19"/>
                    <w:tabs>
                      <w:tab w:val="clear" w:pos="4153"/>
                      <w:tab w:val="clear" w:pos="8306"/>
                    </w:tabs>
                    <w:snapToGrid/>
                    <w:spacing w:line="300" w:lineRule="exac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w:t>
                  </w:r>
                  <w:r>
                    <w:rPr>
                      <w:rFonts w:hint="default" w:ascii="Times New Roman" w:hAnsi="Times New Roman" w:cs="Times New Roman"/>
                      <w:bCs/>
                      <w:color w:val="auto"/>
                      <w:sz w:val="21"/>
                      <w:szCs w:val="21"/>
                      <w:lang w:val="en-US" w:eastAsia="zh-CN"/>
                    </w:rPr>
                    <w:t>5</w:t>
                  </w:r>
                </w:p>
              </w:tc>
            </w:tr>
          </w:tbl>
          <w:p w14:paraId="1FDC74D5">
            <w:pPr>
              <w:adjustRightInd w:val="0"/>
              <w:snapToGrid w:val="0"/>
              <w:spacing w:line="500" w:lineRule="exact"/>
              <w:ind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由上表可知，本项目经过减振、隔音等降噪措施后，东、南、西、北各厂界</w:t>
            </w:r>
            <w:r>
              <w:rPr>
                <w:rFonts w:hint="default" w:ascii="Times New Roman" w:hAnsi="Times New Roman" w:eastAsia="宋体" w:cs="Times New Roman"/>
                <w:color w:val="auto"/>
                <w:sz w:val="21"/>
                <w:szCs w:val="21"/>
                <w:lang w:val="en-US" w:eastAsia="zh-CN"/>
              </w:rPr>
              <w:t>昼间</w:t>
            </w:r>
            <w:r>
              <w:rPr>
                <w:rFonts w:hint="default" w:ascii="Times New Roman" w:hAnsi="Times New Roman" w:eastAsia="宋体" w:cs="Times New Roman"/>
                <w:bCs/>
                <w:color w:val="auto"/>
                <w:sz w:val="21"/>
                <w:szCs w:val="21"/>
                <w:lang w:val="en-US" w:eastAsia="zh-CN"/>
              </w:rPr>
              <w:t>噪声贡献值均符合《工业企业</w:t>
            </w:r>
            <w:r>
              <w:rPr>
                <w:rFonts w:hint="eastAsia" w:cs="Times New Roman"/>
                <w:bCs/>
                <w:color w:val="auto"/>
                <w:sz w:val="21"/>
                <w:szCs w:val="21"/>
                <w:lang w:val="en-US" w:eastAsia="zh-CN"/>
              </w:rPr>
              <w:t>厂界</w:t>
            </w:r>
            <w:r>
              <w:rPr>
                <w:rFonts w:hint="default" w:ascii="Times New Roman" w:hAnsi="Times New Roman" w:eastAsia="宋体" w:cs="Times New Roman"/>
                <w:bCs/>
                <w:color w:val="auto"/>
                <w:sz w:val="21"/>
                <w:szCs w:val="21"/>
                <w:lang w:val="en-US" w:eastAsia="zh-CN"/>
              </w:rPr>
              <w:t>环境噪声排放标准》（GB12348-2008）3类标准。</w:t>
            </w:r>
          </w:p>
          <w:p w14:paraId="71BE1A1F">
            <w:pPr>
              <w:adjustRightInd w:val="0"/>
              <w:snapToGrid w:val="0"/>
              <w:spacing w:line="500" w:lineRule="exact"/>
              <w:ind w:firstLine="422" w:firstLineChars="200"/>
              <w:rPr>
                <w:rFonts w:hint="default" w:ascii="Times New Roman" w:hAnsi="Times New Roman" w:eastAsia="宋体" w:cs="Times New Roman"/>
                <w:b/>
                <w:bCs/>
                <w:color w:val="auto"/>
                <w:sz w:val="21"/>
                <w:szCs w:val="21"/>
                <w:lang w:eastAsia="zh-CN"/>
              </w:rPr>
            </w:pPr>
            <w:r>
              <w:rPr>
                <w:rFonts w:hint="eastAsia" w:cs="Times New Roman"/>
                <w:b/>
                <w:bCs/>
                <w:color w:val="auto"/>
                <w:sz w:val="21"/>
                <w:szCs w:val="21"/>
                <w:lang w:val="en-US" w:eastAsia="zh-CN"/>
              </w:rPr>
              <w:t>3、</w:t>
            </w:r>
            <w:r>
              <w:rPr>
                <w:rFonts w:hint="default" w:ascii="Times New Roman" w:hAnsi="Times New Roman" w:cs="Times New Roman"/>
                <w:b/>
                <w:bCs/>
                <w:color w:val="auto"/>
                <w:sz w:val="21"/>
                <w:szCs w:val="21"/>
              </w:rPr>
              <w:t>监测</w:t>
            </w:r>
            <w:r>
              <w:rPr>
                <w:rFonts w:hint="default" w:ascii="Times New Roman" w:hAnsi="Times New Roman" w:cs="Times New Roman"/>
                <w:b/>
                <w:bCs/>
                <w:color w:val="auto"/>
                <w:sz w:val="21"/>
                <w:szCs w:val="21"/>
                <w:lang w:val="en-US" w:eastAsia="zh-CN"/>
              </w:rPr>
              <w:t>要求</w:t>
            </w:r>
          </w:p>
          <w:p w14:paraId="6C8A5756">
            <w:pPr>
              <w:adjustRightInd w:val="0"/>
              <w:snapToGrid w:val="0"/>
              <w:spacing w:line="500" w:lineRule="exact"/>
              <w:ind w:firstLine="420" w:firstLineChars="20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 xml:space="preserve">根据《排污单位自行监测技术指南 </w:t>
            </w:r>
            <w:r>
              <w:rPr>
                <w:rFonts w:hint="eastAsia" w:ascii="Times New Roman" w:hAnsi="Times New Roman" w:eastAsia="宋体" w:cs="Times New Roman"/>
                <w:bCs/>
                <w:color w:val="auto"/>
                <w:sz w:val="21"/>
                <w:szCs w:val="21"/>
                <w:lang w:val="en-US" w:eastAsia="zh-CN"/>
              </w:rPr>
              <w:t>橡胶和塑料制品</w:t>
            </w:r>
            <w:r>
              <w:rPr>
                <w:rFonts w:hint="default" w:ascii="Times New Roman" w:hAnsi="Times New Roman" w:eastAsia="宋体" w:cs="Times New Roman"/>
                <w:bCs/>
                <w:color w:val="auto"/>
                <w:sz w:val="21"/>
                <w:szCs w:val="21"/>
                <w:lang w:val="en-US" w:eastAsia="zh-CN"/>
              </w:rPr>
              <w:t>》（HJ</w:t>
            </w:r>
            <w:r>
              <w:rPr>
                <w:rFonts w:hint="eastAsia" w:ascii="Times New Roman" w:hAnsi="Times New Roman" w:eastAsia="宋体" w:cs="Times New Roman"/>
                <w:bCs/>
                <w:color w:val="auto"/>
                <w:sz w:val="21"/>
                <w:szCs w:val="21"/>
                <w:lang w:val="en-US" w:eastAsia="zh-CN"/>
              </w:rPr>
              <w:t>1207-2021</w:t>
            </w:r>
            <w:r>
              <w:rPr>
                <w:rFonts w:hint="default" w:ascii="Times New Roman" w:hAnsi="Times New Roman" w:eastAsia="宋体" w:cs="Times New Roman"/>
                <w:bCs/>
                <w:color w:val="auto"/>
                <w:sz w:val="21"/>
                <w:szCs w:val="21"/>
                <w:lang w:val="en-US" w:eastAsia="zh-CN"/>
              </w:rPr>
              <w:t>）要求，</w:t>
            </w:r>
            <w:r>
              <w:rPr>
                <w:rFonts w:hint="eastAsia" w:ascii="Times New Roman" w:hAnsi="Times New Roman" w:eastAsia="宋体" w:cs="Times New Roman"/>
                <w:bCs/>
                <w:color w:val="auto"/>
                <w:sz w:val="21"/>
                <w:szCs w:val="21"/>
                <w:lang w:val="en-US" w:eastAsia="zh-CN"/>
              </w:rPr>
              <w:t>企业需</w:t>
            </w:r>
            <w:r>
              <w:rPr>
                <w:rFonts w:hint="default" w:ascii="Times New Roman" w:hAnsi="Times New Roman" w:eastAsia="宋体" w:cs="Times New Roman"/>
                <w:bCs/>
                <w:color w:val="auto"/>
                <w:sz w:val="21"/>
                <w:szCs w:val="21"/>
                <w:lang w:val="en-US" w:eastAsia="zh-CN"/>
              </w:rPr>
              <w:t>定期委托有资质环境监测机构对厂界噪声进行监测，具体见下表</w:t>
            </w:r>
            <w:r>
              <w:rPr>
                <w:rFonts w:hint="eastAsia" w:ascii="Times New Roman" w:hAnsi="Times New Roman" w:eastAsia="宋体" w:cs="Times New Roman"/>
                <w:bCs/>
                <w:color w:val="auto"/>
                <w:sz w:val="21"/>
                <w:szCs w:val="21"/>
                <w:lang w:val="en-US" w:eastAsia="zh-CN"/>
              </w:rPr>
              <w:t>。</w:t>
            </w:r>
          </w:p>
          <w:p w14:paraId="27A7DD58">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表4-1</w:t>
            </w:r>
            <w:r>
              <w:rPr>
                <w:rFonts w:hint="eastAsia" w:cs="Times New Roman"/>
                <w:b/>
                <w:bCs/>
                <w:color w:val="auto"/>
                <w:sz w:val="21"/>
                <w:szCs w:val="21"/>
                <w:lang w:val="en-US" w:eastAsia="zh-CN"/>
              </w:rPr>
              <w:t>6</w:t>
            </w:r>
            <w:r>
              <w:rPr>
                <w:rFonts w:hint="default" w:ascii="Times New Roman" w:hAnsi="Times New Roman" w:cs="Times New Roman"/>
                <w:b/>
                <w:bCs/>
                <w:color w:val="auto"/>
                <w:sz w:val="21"/>
                <w:szCs w:val="21"/>
                <w:lang w:val="en-US" w:eastAsia="zh-CN"/>
              </w:rPr>
              <w:t>噪声监测因子及频次表</w:t>
            </w:r>
          </w:p>
          <w:tbl>
            <w:tblPr>
              <w:tblStyle w:val="31"/>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1167"/>
              <w:gridCol w:w="2032"/>
              <w:gridCol w:w="2771"/>
              <w:gridCol w:w="2869"/>
            </w:tblGrid>
            <w:tr w14:paraId="1B8BD7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660" w:type="pct"/>
                  <w:tcBorders>
                    <w:tl2br w:val="nil"/>
                    <w:tr2bl w:val="nil"/>
                  </w:tcBorders>
                  <w:vAlign w:val="center"/>
                </w:tcPr>
                <w:p w14:paraId="5D4B6E25">
                  <w:pPr>
                    <w:snapToGrid w:val="0"/>
                    <w:spacing w:line="280" w:lineRule="exact"/>
                    <w:jc w:val="center"/>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lang w:val="en-US" w:eastAsia="zh-CN"/>
                    </w:rPr>
                    <w:t>类别</w:t>
                  </w:r>
                </w:p>
              </w:tc>
              <w:tc>
                <w:tcPr>
                  <w:tcW w:w="1149" w:type="pct"/>
                  <w:tcBorders>
                    <w:tl2br w:val="nil"/>
                    <w:tr2bl w:val="nil"/>
                  </w:tcBorders>
                  <w:vAlign w:val="center"/>
                </w:tcPr>
                <w:p w14:paraId="34CCC22D">
                  <w:pPr>
                    <w:snapToGrid w:val="0"/>
                    <w:spacing w:line="28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监测点位</w:t>
                  </w:r>
                </w:p>
              </w:tc>
              <w:tc>
                <w:tcPr>
                  <w:tcW w:w="1567" w:type="pct"/>
                  <w:tcBorders>
                    <w:tl2br w:val="nil"/>
                    <w:tr2bl w:val="nil"/>
                  </w:tcBorders>
                  <w:vAlign w:val="center"/>
                </w:tcPr>
                <w:p w14:paraId="72E176CF">
                  <w:pPr>
                    <w:snapToGrid w:val="0"/>
                    <w:spacing w:line="280" w:lineRule="exact"/>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auto"/>
                      <w:sz w:val="21"/>
                      <w:szCs w:val="21"/>
                    </w:rPr>
                    <w:t>监测</w:t>
                  </w:r>
                  <w:r>
                    <w:rPr>
                      <w:rFonts w:hint="default" w:ascii="Times New Roman" w:hAnsi="Times New Roman" w:cs="Times New Roman"/>
                      <w:b/>
                      <w:color w:val="auto"/>
                      <w:sz w:val="21"/>
                      <w:szCs w:val="21"/>
                      <w:lang w:val="en-US" w:eastAsia="zh-CN"/>
                    </w:rPr>
                    <w:t>项目</w:t>
                  </w:r>
                </w:p>
              </w:tc>
              <w:tc>
                <w:tcPr>
                  <w:tcW w:w="1622" w:type="pct"/>
                  <w:tcBorders>
                    <w:tl2br w:val="nil"/>
                    <w:tr2bl w:val="nil"/>
                  </w:tcBorders>
                  <w:vAlign w:val="center"/>
                </w:tcPr>
                <w:p w14:paraId="7A5CA877">
                  <w:pPr>
                    <w:snapToGrid w:val="0"/>
                    <w:spacing w:line="28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监测频次</w:t>
                  </w:r>
                </w:p>
              </w:tc>
            </w:tr>
            <w:tr w14:paraId="61DF03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660" w:type="pct"/>
                  <w:tcBorders>
                    <w:tl2br w:val="nil"/>
                    <w:tr2bl w:val="nil"/>
                  </w:tcBorders>
                  <w:vAlign w:val="center"/>
                </w:tcPr>
                <w:p w14:paraId="5A7570BD">
                  <w:pPr>
                    <w:snapToGrid w:val="0"/>
                    <w:spacing w:line="28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噪声</w:t>
                  </w:r>
                </w:p>
              </w:tc>
              <w:tc>
                <w:tcPr>
                  <w:tcW w:w="1149" w:type="pct"/>
                  <w:tcBorders>
                    <w:tl2br w:val="nil"/>
                    <w:tr2bl w:val="nil"/>
                  </w:tcBorders>
                  <w:vAlign w:val="center"/>
                </w:tcPr>
                <w:p w14:paraId="1422EF74">
                  <w:pPr>
                    <w:snapToGrid w:val="0"/>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四周</w:t>
                  </w:r>
                  <w:r>
                    <w:rPr>
                      <w:rFonts w:hint="default" w:ascii="Times New Roman" w:hAnsi="Times New Roman" w:cs="Times New Roman"/>
                      <w:color w:val="auto"/>
                      <w:sz w:val="21"/>
                      <w:szCs w:val="21"/>
                    </w:rPr>
                    <w:t>厂界</w:t>
                  </w:r>
                  <w:r>
                    <w:rPr>
                      <w:rFonts w:hint="default" w:ascii="Times New Roman" w:hAnsi="Times New Roman" w:cs="Times New Roman"/>
                      <w:color w:val="auto"/>
                      <w:sz w:val="21"/>
                      <w:szCs w:val="21"/>
                      <w:lang w:val="en-US" w:eastAsia="zh-CN"/>
                    </w:rPr>
                    <w:t>外1米处</w:t>
                  </w:r>
                </w:p>
              </w:tc>
              <w:tc>
                <w:tcPr>
                  <w:tcW w:w="1567" w:type="pct"/>
                  <w:tcBorders>
                    <w:tl2br w:val="nil"/>
                    <w:tr2bl w:val="nil"/>
                  </w:tcBorders>
                  <w:vAlign w:val="center"/>
                </w:tcPr>
                <w:p w14:paraId="5C79E041">
                  <w:pPr>
                    <w:snapToGrid w:val="0"/>
                    <w:spacing w:line="28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昼</w:t>
                  </w:r>
                  <w:r>
                    <w:rPr>
                      <w:rFonts w:hint="eastAsia" w:cs="Times New Roman"/>
                      <w:bCs/>
                      <w:color w:val="auto"/>
                      <w:sz w:val="21"/>
                      <w:szCs w:val="21"/>
                      <w:lang w:val="en-US" w:eastAsia="zh-CN"/>
                    </w:rPr>
                    <w:t>间</w:t>
                  </w:r>
                  <w:r>
                    <w:rPr>
                      <w:rFonts w:hint="default" w:ascii="Times New Roman" w:hAnsi="Times New Roman" w:cs="Times New Roman"/>
                      <w:bCs/>
                      <w:color w:val="auto"/>
                      <w:sz w:val="21"/>
                      <w:szCs w:val="21"/>
                    </w:rPr>
                    <w:t>等效连续A声级</w:t>
                  </w:r>
                </w:p>
              </w:tc>
              <w:tc>
                <w:tcPr>
                  <w:tcW w:w="1622" w:type="pct"/>
                  <w:tcBorders>
                    <w:tl2br w:val="nil"/>
                    <w:tr2bl w:val="nil"/>
                  </w:tcBorders>
                  <w:vAlign w:val="center"/>
                </w:tcPr>
                <w:p w14:paraId="56287A82">
                  <w:pPr>
                    <w:snapToGrid w:val="0"/>
                    <w:spacing w:line="28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每季度监测1次</w:t>
                  </w:r>
                </w:p>
              </w:tc>
            </w:tr>
          </w:tbl>
          <w:p w14:paraId="78D381D5">
            <w:pPr>
              <w:adjustRightInd w:val="0"/>
              <w:snapToGrid w:val="0"/>
              <w:spacing w:line="500" w:lineRule="exact"/>
              <w:rPr>
                <w:rFonts w:hint="default" w:ascii="Times New Roman" w:hAnsi="Times New Roman" w:cs="Times New Roman"/>
                <w:b/>
                <w:color w:val="auto"/>
                <w:sz w:val="21"/>
                <w:szCs w:val="21"/>
              </w:rPr>
            </w:pPr>
            <w:r>
              <w:rPr>
                <w:rFonts w:hint="eastAsia" w:cs="Times New Roman"/>
                <w:b/>
                <w:color w:val="auto"/>
                <w:sz w:val="21"/>
                <w:szCs w:val="21"/>
                <w:lang w:eastAsia="zh-CN"/>
              </w:rPr>
              <w:t>四</w:t>
            </w:r>
            <w:r>
              <w:rPr>
                <w:rFonts w:hint="default" w:ascii="Times New Roman" w:hAnsi="Times New Roman" w:cs="Times New Roman"/>
                <w:b/>
                <w:color w:val="auto"/>
                <w:sz w:val="21"/>
                <w:szCs w:val="21"/>
              </w:rPr>
              <w:t>、固体废物</w:t>
            </w:r>
          </w:p>
          <w:p w14:paraId="3EA6D888">
            <w:pPr>
              <w:adjustRightInd w:val="0"/>
              <w:snapToGrid w:val="0"/>
              <w:spacing w:line="500" w:lineRule="exact"/>
              <w:ind w:firstLine="422" w:firstLineChars="200"/>
              <w:rPr>
                <w:rFonts w:hint="default" w:ascii="Times New Roman" w:hAnsi="Times New Roman" w:cs="Times New Roman"/>
                <w:b/>
                <w:bCs/>
                <w:color w:val="auto"/>
                <w:sz w:val="21"/>
                <w:szCs w:val="21"/>
              </w:rPr>
            </w:pPr>
            <w:r>
              <w:rPr>
                <w:rFonts w:hint="eastAsia" w:cs="Times New Roman"/>
                <w:b/>
                <w:bCs/>
                <w:color w:val="auto"/>
                <w:sz w:val="21"/>
                <w:szCs w:val="21"/>
                <w:lang w:val="en-US" w:eastAsia="zh-CN"/>
              </w:rPr>
              <w:t>1、</w:t>
            </w:r>
            <w:r>
              <w:rPr>
                <w:rFonts w:hint="default" w:ascii="Times New Roman" w:hAnsi="Times New Roman" w:cs="Times New Roman"/>
                <w:b/>
                <w:bCs/>
                <w:color w:val="auto"/>
                <w:sz w:val="21"/>
                <w:szCs w:val="21"/>
              </w:rPr>
              <w:t>固体废物产生情况</w:t>
            </w:r>
          </w:p>
          <w:p w14:paraId="17487D0D">
            <w:pPr>
              <w:pStyle w:val="7"/>
              <w:adjustRightInd w:val="0"/>
              <w:snapToGrid w:val="0"/>
              <w:spacing w:line="500" w:lineRule="exact"/>
              <w:ind w:firstLine="420" w:firstLineChars="200"/>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含油墨</w:t>
            </w:r>
            <w:r>
              <w:rPr>
                <w:rFonts w:hint="default" w:ascii="Times New Roman" w:hAnsi="Times New Roman" w:eastAsia="宋体" w:cs="Times New Roman"/>
                <w:b w:val="0"/>
                <w:bCs w:val="0"/>
                <w:color w:val="auto"/>
                <w:kern w:val="2"/>
                <w:sz w:val="21"/>
                <w:szCs w:val="21"/>
                <w:lang w:val="en-US" w:eastAsia="zh-CN" w:bidi="ar-SA"/>
              </w:rPr>
              <w:t>废抹布（S</w:t>
            </w:r>
            <w:r>
              <w:rPr>
                <w:rFonts w:hint="eastAsia" w:ascii="Times New Roman" w:hAnsi="Times New Roman" w:eastAsia="宋体" w:cs="Times New Roman"/>
                <w:b w:val="0"/>
                <w:bCs w:val="0"/>
                <w:color w:val="auto"/>
                <w:kern w:val="2"/>
                <w:sz w:val="21"/>
                <w:szCs w:val="21"/>
                <w:lang w:val="en-US" w:eastAsia="zh-CN" w:bidi="ar-SA"/>
              </w:rPr>
              <w:t>1</w:t>
            </w:r>
            <w:r>
              <w:rPr>
                <w:rFonts w:hint="default" w:ascii="Times New Roman" w:hAnsi="Times New Roman" w:eastAsia="宋体"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项目</w:t>
            </w:r>
            <w:r>
              <w:rPr>
                <w:rFonts w:hint="default" w:ascii="Times New Roman" w:hAnsi="Times New Roman" w:eastAsia="宋体" w:cs="Times New Roman"/>
                <w:b w:val="0"/>
                <w:bCs w:val="0"/>
                <w:color w:val="auto"/>
                <w:kern w:val="2"/>
                <w:sz w:val="21"/>
                <w:szCs w:val="21"/>
                <w:lang w:val="en-US" w:eastAsia="zh-CN" w:bidi="ar-SA"/>
              </w:rPr>
              <w:t>印刷机</w:t>
            </w:r>
            <w:r>
              <w:rPr>
                <w:rFonts w:hint="eastAsia" w:ascii="Times New Roman" w:hAnsi="Times New Roman" w:eastAsia="宋体" w:cs="Times New Roman"/>
                <w:b w:val="0"/>
                <w:bCs w:val="0"/>
                <w:color w:val="auto"/>
                <w:kern w:val="2"/>
                <w:sz w:val="21"/>
                <w:szCs w:val="21"/>
                <w:lang w:val="en-US" w:eastAsia="zh-CN" w:bidi="ar-SA"/>
              </w:rPr>
              <w:t>墨辊</w:t>
            </w:r>
            <w:r>
              <w:rPr>
                <w:rFonts w:hint="default" w:ascii="Times New Roman" w:hAnsi="Times New Roman" w:eastAsia="宋体" w:cs="Times New Roman"/>
                <w:b w:val="0"/>
                <w:bCs w:val="0"/>
                <w:color w:val="auto"/>
                <w:kern w:val="2"/>
                <w:sz w:val="21"/>
                <w:szCs w:val="21"/>
                <w:lang w:val="en-US" w:eastAsia="zh-CN" w:bidi="ar-SA"/>
              </w:rPr>
              <w:t>定期</w:t>
            </w:r>
            <w:r>
              <w:rPr>
                <w:rFonts w:hint="eastAsia" w:ascii="Times New Roman" w:hAnsi="Times New Roman" w:cs="Times New Roman"/>
                <w:b w:val="0"/>
                <w:bCs w:val="0"/>
                <w:color w:val="auto"/>
                <w:kern w:val="2"/>
                <w:sz w:val="21"/>
                <w:szCs w:val="21"/>
                <w:lang w:val="en-US" w:eastAsia="zh-CN" w:bidi="ar-SA"/>
              </w:rPr>
              <w:t>清洁，产生少量</w:t>
            </w:r>
            <w:r>
              <w:rPr>
                <w:rFonts w:hint="eastAsia" w:ascii="Times New Roman" w:hAnsi="Times New Roman" w:eastAsia="宋体" w:cs="Times New Roman"/>
                <w:b w:val="0"/>
                <w:bCs w:val="0"/>
                <w:color w:val="auto"/>
                <w:kern w:val="2"/>
                <w:sz w:val="21"/>
                <w:szCs w:val="21"/>
                <w:lang w:val="en-US" w:eastAsia="zh-CN" w:bidi="ar-SA"/>
              </w:rPr>
              <w:t>含油墨</w:t>
            </w:r>
            <w:r>
              <w:rPr>
                <w:rFonts w:hint="default" w:ascii="Times New Roman" w:hAnsi="Times New Roman" w:eastAsia="宋体" w:cs="Times New Roman"/>
                <w:b w:val="0"/>
                <w:bCs w:val="0"/>
                <w:color w:val="auto"/>
                <w:kern w:val="2"/>
                <w:sz w:val="21"/>
                <w:szCs w:val="21"/>
                <w:lang w:val="en-US" w:eastAsia="zh-CN" w:bidi="ar-SA"/>
              </w:rPr>
              <w:t>废抹布，产生量约</w:t>
            </w:r>
            <w:r>
              <w:rPr>
                <w:rFonts w:hint="eastAsia" w:ascii="Times New Roman" w:hAnsi="Times New Roman" w:eastAsia="宋体" w:cs="Times New Roman"/>
                <w:b w:val="0"/>
                <w:bCs w:val="0"/>
                <w:color w:val="auto"/>
                <w:kern w:val="2"/>
                <w:sz w:val="21"/>
                <w:szCs w:val="21"/>
                <w:lang w:val="en-US" w:eastAsia="zh-CN" w:bidi="ar-SA"/>
              </w:rPr>
              <w:t>0.</w:t>
            </w:r>
            <w:r>
              <w:rPr>
                <w:rFonts w:hint="eastAsia" w:ascii="Times New Roman" w:hAnsi="Times New Roman" w:cs="Times New Roman"/>
                <w:b w:val="0"/>
                <w:bCs w:val="0"/>
                <w:color w:val="auto"/>
                <w:kern w:val="2"/>
                <w:sz w:val="21"/>
                <w:szCs w:val="21"/>
                <w:lang w:val="en-US" w:eastAsia="zh-CN" w:bidi="ar-SA"/>
              </w:rPr>
              <w:t>1</w:t>
            </w:r>
            <w:r>
              <w:rPr>
                <w:rFonts w:hint="default" w:ascii="Times New Roman" w:hAnsi="Times New Roman" w:eastAsia="宋体" w:cs="Times New Roman"/>
                <w:b w:val="0"/>
                <w:bCs w:val="0"/>
                <w:color w:val="auto"/>
                <w:kern w:val="2"/>
                <w:sz w:val="21"/>
                <w:szCs w:val="21"/>
                <w:lang w:val="en-US" w:eastAsia="zh-CN" w:bidi="ar-SA"/>
              </w:rPr>
              <w:t>t/a。</w:t>
            </w:r>
          </w:p>
          <w:p w14:paraId="12CDCE53">
            <w:pPr>
              <w:adjustRightInd w:val="0"/>
              <w:snapToGrid w:val="0"/>
              <w:spacing w:line="500" w:lineRule="exact"/>
              <w:ind w:firstLine="420" w:firstLineChars="200"/>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边角料</w:t>
            </w:r>
            <w:r>
              <w:rPr>
                <w:rFonts w:hint="default" w:ascii="Times New Roman" w:hAnsi="Times New Roman" w:eastAsia="宋体" w:cs="Times New Roman"/>
                <w:b w:val="0"/>
                <w:bCs w:val="0"/>
                <w:color w:val="auto"/>
                <w:kern w:val="2"/>
                <w:sz w:val="21"/>
                <w:szCs w:val="21"/>
                <w:lang w:val="en-US" w:eastAsia="zh-CN" w:bidi="ar-SA"/>
              </w:rPr>
              <w:t>(S</w:t>
            </w:r>
            <w:r>
              <w:rPr>
                <w:rFonts w:hint="eastAsia" w:cs="Times New Roman"/>
                <w:b w:val="0"/>
                <w:bCs w:val="0"/>
                <w:color w:val="auto"/>
                <w:kern w:val="2"/>
                <w:sz w:val="21"/>
                <w:szCs w:val="21"/>
                <w:lang w:val="en-US" w:eastAsia="zh-CN" w:bidi="ar-SA"/>
              </w:rPr>
              <w:t>2</w:t>
            </w:r>
            <w:r>
              <w:rPr>
                <w:rFonts w:hint="default" w:ascii="Times New Roman" w:hAnsi="Times New Roman" w:eastAsia="宋体"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项目分切</w:t>
            </w:r>
            <w:r>
              <w:rPr>
                <w:rFonts w:hint="default" w:ascii="Times New Roman" w:hAnsi="Times New Roman" w:eastAsia="宋体" w:cs="Times New Roman"/>
                <w:b w:val="0"/>
                <w:bCs w:val="0"/>
                <w:color w:val="auto"/>
                <w:kern w:val="2"/>
                <w:sz w:val="21"/>
                <w:szCs w:val="21"/>
                <w:lang w:val="en-US" w:eastAsia="zh-CN" w:bidi="ar-SA"/>
              </w:rPr>
              <w:t>过程中会产生</w:t>
            </w:r>
            <w:r>
              <w:rPr>
                <w:rFonts w:hint="eastAsia" w:ascii="Times New Roman" w:hAnsi="Times New Roman" w:eastAsia="宋体" w:cs="Times New Roman"/>
                <w:b w:val="0"/>
                <w:bCs w:val="0"/>
                <w:color w:val="auto"/>
                <w:kern w:val="2"/>
                <w:sz w:val="21"/>
                <w:szCs w:val="21"/>
                <w:lang w:val="en-US" w:eastAsia="zh-CN" w:bidi="ar-SA"/>
              </w:rPr>
              <w:t>少量边角料</w:t>
            </w:r>
            <w:r>
              <w:rPr>
                <w:rFonts w:hint="default" w:ascii="Times New Roman" w:hAnsi="Times New Roman" w:eastAsia="宋体"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根据企业提供的材料，边角料</w:t>
            </w:r>
            <w:r>
              <w:rPr>
                <w:rFonts w:hint="default" w:ascii="Times New Roman" w:hAnsi="Times New Roman" w:eastAsia="宋体" w:cs="Times New Roman"/>
                <w:b w:val="0"/>
                <w:bCs w:val="0"/>
                <w:color w:val="auto"/>
                <w:kern w:val="2"/>
                <w:sz w:val="21"/>
                <w:szCs w:val="21"/>
                <w:lang w:val="en-US" w:eastAsia="zh-CN" w:bidi="ar-SA"/>
              </w:rPr>
              <w:t>产生量</w:t>
            </w:r>
            <w:r>
              <w:rPr>
                <w:rFonts w:hint="eastAsia" w:ascii="Times New Roman" w:hAnsi="Times New Roman" w:eastAsia="宋体" w:cs="Times New Roman"/>
                <w:b w:val="0"/>
                <w:bCs w:val="0"/>
                <w:color w:val="auto"/>
                <w:kern w:val="2"/>
                <w:sz w:val="21"/>
                <w:szCs w:val="21"/>
                <w:lang w:val="en-US" w:eastAsia="zh-CN" w:bidi="ar-SA"/>
              </w:rPr>
              <w:t>约</w:t>
            </w:r>
            <w:r>
              <w:rPr>
                <w:rFonts w:hint="default" w:ascii="Times New Roman" w:hAnsi="Times New Roman" w:eastAsia="宋体" w:cs="Times New Roman"/>
                <w:b w:val="0"/>
                <w:bCs w:val="0"/>
                <w:color w:val="auto"/>
                <w:kern w:val="2"/>
                <w:sz w:val="21"/>
                <w:szCs w:val="21"/>
                <w:lang w:val="en-US" w:eastAsia="zh-CN" w:bidi="ar-SA"/>
              </w:rPr>
              <w:t>为</w:t>
            </w:r>
            <w:r>
              <w:rPr>
                <w:rFonts w:hint="eastAsia" w:ascii="Times New Roman" w:hAnsi="Times New Roman" w:eastAsia="宋体" w:cs="Times New Roman"/>
                <w:b w:val="0"/>
                <w:bCs w:val="0"/>
                <w:color w:val="auto"/>
                <w:kern w:val="2"/>
                <w:sz w:val="21"/>
                <w:szCs w:val="21"/>
                <w:lang w:val="en-US" w:eastAsia="zh-CN" w:bidi="ar-SA"/>
              </w:rPr>
              <w:t>3</w:t>
            </w:r>
            <w:r>
              <w:rPr>
                <w:rFonts w:hint="default" w:ascii="Times New Roman" w:hAnsi="Times New Roman" w:eastAsia="宋体" w:cs="Times New Roman"/>
                <w:b w:val="0"/>
                <w:bCs w:val="0"/>
                <w:color w:val="auto"/>
                <w:kern w:val="2"/>
                <w:sz w:val="21"/>
                <w:szCs w:val="21"/>
                <w:lang w:val="en-US" w:eastAsia="zh-CN" w:bidi="ar-SA"/>
              </w:rPr>
              <w:t>t/a。</w:t>
            </w:r>
          </w:p>
          <w:p w14:paraId="53F2D459">
            <w:pPr>
              <w:adjustRightInd w:val="0"/>
              <w:snapToGrid w:val="0"/>
              <w:spacing w:line="500" w:lineRule="exact"/>
              <w:ind w:firstLine="420" w:firstLineChars="200"/>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次品</w:t>
            </w:r>
            <w:r>
              <w:rPr>
                <w:rFonts w:hint="default" w:ascii="Times New Roman" w:hAnsi="Times New Roman" w:eastAsia="宋体" w:cs="Times New Roman"/>
                <w:b w:val="0"/>
                <w:bCs w:val="0"/>
                <w:color w:val="auto"/>
                <w:kern w:val="2"/>
                <w:sz w:val="21"/>
                <w:szCs w:val="21"/>
                <w:lang w:val="en-US" w:eastAsia="zh-CN" w:bidi="ar-SA"/>
              </w:rPr>
              <w:t>(S</w:t>
            </w:r>
            <w:r>
              <w:rPr>
                <w:rFonts w:hint="eastAsia" w:cs="Times New Roman"/>
                <w:b w:val="0"/>
                <w:bCs w:val="0"/>
                <w:color w:val="auto"/>
                <w:kern w:val="2"/>
                <w:sz w:val="21"/>
                <w:szCs w:val="21"/>
                <w:lang w:val="en-US" w:eastAsia="zh-CN" w:bidi="ar-SA"/>
              </w:rPr>
              <w:t>3</w:t>
            </w:r>
            <w:r>
              <w:rPr>
                <w:rFonts w:hint="default" w:ascii="Times New Roman" w:hAnsi="Times New Roman" w:eastAsia="宋体"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：项目产品检验</w:t>
            </w:r>
            <w:r>
              <w:rPr>
                <w:rFonts w:hint="default" w:ascii="Times New Roman" w:hAnsi="Times New Roman" w:eastAsia="宋体" w:cs="Times New Roman"/>
                <w:b w:val="0"/>
                <w:bCs w:val="0"/>
                <w:color w:val="auto"/>
                <w:kern w:val="2"/>
                <w:sz w:val="21"/>
                <w:szCs w:val="21"/>
                <w:lang w:val="en-US" w:eastAsia="zh-CN" w:bidi="ar-SA"/>
              </w:rPr>
              <w:t>过程中会产生</w:t>
            </w:r>
            <w:r>
              <w:rPr>
                <w:rFonts w:hint="eastAsia" w:ascii="Times New Roman" w:hAnsi="Times New Roman" w:eastAsia="宋体" w:cs="Times New Roman"/>
                <w:b w:val="0"/>
                <w:bCs w:val="0"/>
                <w:color w:val="auto"/>
                <w:kern w:val="2"/>
                <w:sz w:val="21"/>
                <w:szCs w:val="21"/>
                <w:lang w:val="en-US" w:eastAsia="zh-CN" w:bidi="ar-SA"/>
              </w:rPr>
              <w:t>少量次品</w:t>
            </w:r>
            <w:r>
              <w:rPr>
                <w:rFonts w:hint="default" w:ascii="Times New Roman" w:hAnsi="Times New Roman" w:eastAsia="宋体" w:cs="Times New Roman"/>
                <w:b w:val="0"/>
                <w:bCs w:val="0"/>
                <w:color w:val="auto"/>
                <w:kern w:val="2"/>
                <w:sz w:val="21"/>
                <w:szCs w:val="21"/>
                <w:lang w:val="en-US" w:eastAsia="zh-CN" w:bidi="ar-SA"/>
              </w:rPr>
              <w:t>，产生量约占原料量的</w:t>
            </w:r>
            <w:r>
              <w:rPr>
                <w:rFonts w:hint="eastAsia" w:ascii="Times New Roman" w:hAnsi="Times New Roman" w:eastAsia="宋体" w:cs="Times New Roman"/>
                <w:b w:val="0"/>
                <w:bCs w:val="0"/>
                <w:color w:val="auto"/>
                <w:kern w:val="2"/>
                <w:sz w:val="21"/>
                <w:szCs w:val="21"/>
                <w:lang w:val="en-US" w:eastAsia="zh-CN" w:bidi="ar-SA"/>
              </w:rPr>
              <w:t>1</w:t>
            </w:r>
            <w:r>
              <w:rPr>
                <w:rFonts w:hint="default" w:ascii="Times New Roman" w:hAnsi="Times New Roman" w:eastAsia="宋体"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项目各类原料用量约508t/a，</w:t>
            </w:r>
            <w:r>
              <w:rPr>
                <w:rFonts w:hint="default" w:ascii="Times New Roman" w:hAnsi="Times New Roman" w:eastAsia="宋体" w:cs="Times New Roman"/>
                <w:b w:val="0"/>
                <w:bCs w:val="0"/>
                <w:color w:val="auto"/>
                <w:kern w:val="2"/>
                <w:sz w:val="21"/>
                <w:szCs w:val="21"/>
                <w:lang w:val="en-US" w:eastAsia="zh-CN" w:bidi="ar-SA"/>
              </w:rPr>
              <w:t>则</w:t>
            </w:r>
            <w:r>
              <w:rPr>
                <w:rFonts w:hint="eastAsia" w:ascii="Times New Roman" w:hAnsi="Times New Roman" w:eastAsia="宋体" w:cs="Times New Roman"/>
                <w:b w:val="0"/>
                <w:bCs w:val="0"/>
                <w:color w:val="auto"/>
                <w:kern w:val="2"/>
                <w:sz w:val="21"/>
                <w:szCs w:val="21"/>
                <w:lang w:val="en-US" w:eastAsia="zh-CN" w:bidi="ar-SA"/>
              </w:rPr>
              <w:t>次品</w:t>
            </w:r>
            <w:r>
              <w:rPr>
                <w:rFonts w:hint="default" w:ascii="Times New Roman" w:hAnsi="Times New Roman" w:eastAsia="宋体" w:cs="Times New Roman"/>
                <w:b w:val="0"/>
                <w:bCs w:val="0"/>
                <w:color w:val="auto"/>
                <w:kern w:val="2"/>
                <w:sz w:val="21"/>
                <w:szCs w:val="21"/>
                <w:lang w:val="en-US" w:eastAsia="zh-CN" w:bidi="ar-SA"/>
              </w:rPr>
              <w:t>产生量为</w:t>
            </w:r>
            <w:r>
              <w:rPr>
                <w:rFonts w:hint="eastAsia" w:ascii="Times New Roman" w:hAnsi="Times New Roman" w:eastAsia="宋体" w:cs="Times New Roman"/>
                <w:b w:val="0"/>
                <w:bCs w:val="0"/>
                <w:color w:val="auto"/>
                <w:kern w:val="2"/>
                <w:sz w:val="21"/>
                <w:szCs w:val="21"/>
                <w:lang w:val="en-US" w:eastAsia="zh-CN" w:bidi="ar-SA"/>
              </w:rPr>
              <w:t>5</w:t>
            </w:r>
            <w:r>
              <w:rPr>
                <w:rFonts w:hint="default" w:ascii="Times New Roman" w:hAnsi="Times New Roman" w:eastAsia="宋体" w:cs="Times New Roman"/>
                <w:b w:val="0"/>
                <w:bCs w:val="0"/>
                <w:color w:val="auto"/>
                <w:kern w:val="2"/>
                <w:sz w:val="21"/>
                <w:szCs w:val="21"/>
                <w:lang w:val="en-US" w:eastAsia="zh-CN" w:bidi="ar-SA"/>
              </w:rPr>
              <w:t>t/a。</w:t>
            </w:r>
          </w:p>
          <w:p w14:paraId="66EBCACF">
            <w:pPr>
              <w:adjustRightInd w:val="0"/>
              <w:snapToGrid w:val="0"/>
              <w:spacing w:line="500" w:lineRule="exact"/>
              <w:ind w:firstLine="420" w:firstLineChars="200"/>
              <w:rPr>
                <w:rFonts w:hint="eastAsia"/>
                <w:color w:val="auto"/>
                <w:szCs w:val="21"/>
              </w:rPr>
            </w:pPr>
            <w:r>
              <w:rPr>
                <w:rFonts w:hint="eastAsia"/>
                <w:color w:val="auto"/>
                <w:szCs w:val="21"/>
              </w:rPr>
              <w:t>废包装材料</w:t>
            </w:r>
            <w:r>
              <w:rPr>
                <w:rFonts w:hint="eastAsia" w:ascii="Times New Roman" w:hAnsi="Times New Roman" w:eastAsia="宋体" w:cs="Times New Roman"/>
                <w:b w:val="0"/>
                <w:bCs w:val="0"/>
                <w:color w:val="auto"/>
                <w:kern w:val="2"/>
                <w:sz w:val="21"/>
                <w:szCs w:val="21"/>
                <w:lang w:val="en-US" w:eastAsia="zh-CN" w:bidi="ar-SA"/>
              </w:rPr>
              <w:t>(S</w:t>
            </w:r>
            <w:r>
              <w:rPr>
                <w:rFonts w:hint="eastAsia" w:cs="Times New Roman"/>
                <w:b w:val="0"/>
                <w:bCs w:val="0"/>
                <w:color w:val="auto"/>
                <w:kern w:val="2"/>
                <w:sz w:val="21"/>
                <w:szCs w:val="21"/>
                <w:lang w:val="en-US" w:eastAsia="zh-CN" w:bidi="ar-SA"/>
              </w:rPr>
              <w:t>4</w:t>
            </w:r>
            <w:r>
              <w:rPr>
                <w:rFonts w:hint="eastAsia" w:ascii="Times New Roman" w:hAnsi="Times New Roman" w:eastAsia="宋体"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w:t>
            </w:r>
            <w:r>
              <w:rPr>
                <w:color w:val="auto"/>
                <w:szCs w:val="21"/>
              </w:rPr>
              <w:t>项目</w:t>
            </w:r>
            <w:r>
              <w:rPr>
                <w:rFonts w:hint="eastAsia"/>
                <w:color w:val="auto"/>
                <w:szCs w:val="21"/>
              </w:rPr>
              <w:t>塑料膜等固态原料拆包过程产生少量废包装材料，产生量约1</w:t>
            </w:r>
            <w:r>
              <w:rPr>
                <w:color w:val="auto"/>
                <w:szCs w:val="21"/>
              </w:rPr>
              <w:t>t/a</w:t>
            </w:r>
            <w:r>
              <w:rPr>
                <w:rFonts w:hint="eastAsia"/>
                <w:color w:val="auto"/>
                <w:szCs w:val="21"/>
              </w:rPr>
              <w:t>。</w:t>
            </w:r>
          </w:p>
          <w:p w14:paraId="49E3D6F2">
            <w:pPr>
              <w:adjustRightInd w:val="0"/>
              <w:snapToGrid w:val="0"/>
              <w:spacing w:line="500" w:lineRule="exact"/>
              <w:ind w:firstLine="420" w:firstLineChars="20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废</w:t>
            </w:r>
            <w:r>
              <w:rPr>
                <w:rFonts w:hint="eastAsia" w:ascii="Times New Roman" w:hAnsi="Times New Roman" w:eastAsia="宋体" w:cs="Times New Roman"/>
                <w:b w:val="0"/>
                <w:bCs w:val="0"/>
                <w:color w:val="auto"/>
                <w:kern w:val="2"/>
                <w:sz w:val="21"/>
                <w:szCs w:val="21"/>
                <w:lang w:val="en-US" w:eastAsia="zh-CN" w:bidi="ar-SA"/>
              </w:rPr>
              <w:t>包装</w:t>
            </w:r>
            <w:r>
              <w:rPr>
                <w:rFonts w:hint="default" w:ascii="Times New Roman" w:hAnsi="Times New Roman" w:eastAsia="宋体" w:cs="Times New Roman"/>
                <w:b w:val="0"/>
                <w:bCs w:val="0"/>
                <w:color w:val="auto"/>
                <w:kern w:val="2"/>
                <w:sz w:val="21"/>
                <w:szCs w:val="21"/>
                <w:lang w:val="en-US" w:eastAsia="zh-CN" w:bidi="ar-SA"/>
              </w:rPr>
              <w:t>桶</w:t>
            </w:r>
            <w:r>
              <w:rPr>
                <w:rFonts w:hint="eastAsia" w:ascii="Times New Roman" w:hAnsi="Times New Roman" w:eastAsia="宋体" w:cs="Times New Roman"/>
                <w:b w:val="0"/>
                <w:bCs w:val="0"/>
                <w:color w:val="auto"/>
                <w:kern w:val="2"/>
                <w:sz w:val="21"/>
                <w:szCs w:val="21"/>
                <w:lang w:val="en-US" w:eastAsia="zh-CN" w:bidi="ar-SA"/>
              </w:rPr>
              <w:t>(S</w:t>
            </w:r>
            <w:r>
              <w:rPr>
                <w:rFonts w:hint="eastAsia" w:cs="Times New Roman"/>
                <w:b w:val="0"/>
                <w:bCs w:val="0"/>
                <w:color w:val="auto"/>
                <w:kern w:val="2"/>
                <w:sz w:val="21"/>
                <w:szCs w:val="21"/>
                <w:lang w:val="en-US" w:eastAsia="zh-CN" w:bidi="ar-SA"/>
              </w:rPr>
              <w:t>5</w:t>
            </w:r>
            <w:r>
              <w:rPr>
                <w:rFonts w:hint="eastAsia" w:ascii="Times New Roman" w:hAnsi="Times New Roman" w:eastAsia="宋体"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：本项目</w:t>
            </w:r>
            <w:r>
              <w:rPr>
                <w:rFonts w:hint="eastAsia" w:ascii="Times New Roman" w:hAnsi="Times New Roman" w:eastAsia="宋体" w:cs="Times New Roman"/>
                <w:b w:val="0"/>
                <w:bCs w:val="0"/>
                <w:color w:val="auto"/>
                <w:kern w:val="2"/>
                <w:sz w:val="21"/>
                <w:szCs w:val="21"/>
                <w:lang w:val="en-US" w:eastAsia="zh-CN" w:bidi="ar-SA"/>
              </w:rPr>
              <w:t>水性油墨、胶水、消耗后产生</w:t>
            </w:r>
            <w:r>
              <w:rPr>
                <w:rFonts w:hint="default" w:ascii="Times New Roman" w:hAnsi="Times New Roman" w:eastAsia="宋体" w:cs="Times New Roman"/>
                <w:b w:val="0"/>
                <w:bCs w:val="0"/>
                <w:color w:val="auto"/>
                <w:kern w:val="2"/>
                <w:sz w:val="21"/>
                <w:szCs w:val="21"/>
                <w:lang w:val="en-US" w:eastAsia="zh-CN" w:bidi="ar-SA"/>
              </w:rPr>
              <w:t>废</w:t>
            </w:r>
            <w:r>
              <w:rPr>
                <w:rFonts w:hint="eastAsia" w:ascii="Times New Roman" w:hAnsi="Times New Roman" w:eastAsia="宋体" w:cs="Times New Roman"/>
                <w:b w:val="0"/>
                <w:bCs w:val="0"/>
                <w:color w:val="auto"/>
                <w:kern w:val="2"/>
                <w:sz w:val="21"/>
                <w:szCs w:val="21"/>
                <w:lang w:val="en-US" w:eastAsia="zh-CN" w:bidi="ar-SA"/>
              </w:rPr>
              <w:t>包装</w:t>
            </w:r>
            <w:r>
              <w:rPr>
                <w:rFonts w:hint="default" w:ascii="Times New Roman" w:hAnsi="Times New Roman" w:eastAsia="宋体" w:cs="Times New Roman"/>
                <w:b w:val="0"/>
                <w:bCs w:val="0"/>
                <w:color w:val="auto"/>
                <w:kern w:val="2"/>
                <w:sz w:val="21"/>
                <w:szCs w:val="21"/>
                <w:lang w:val="en-US" w:eastAsia="zh-CN" w:bidi="ar-SA"/>
              </w:rPr>
              <w:t>桶</w:t>
            </w:r>
            <w:r>
              <w:rPr>
                <w:rFonts w:hint="eastAsia" w:ascii="Times New Roman" w:hAnsi="Times New Roman" w:eastAsia="宋体" w:cs="Times New Roman"/>
                <w:b w:val="0"/>
                <w:bCs w:val="0"/>
                <w:color w:val="auto"/>
                <w:kern w:val="2"/>
                <w:sz w:val="21"/>
                <w:szCs w:val="21"/>
                <w:lang w:val="en-US" w:eastAsia="zh-CN" w:bidi="ar-SA"/>
              </w:rPr>
              <w:t>，水性油墨、胶水合计消耗15t/a，包装规格均为20k</w:t>
            </w:r>
            <w:r>
              <w:rPr>
                <w:rFonts w:hint="default" w:ascii="Times New Roman" w:hAnsi="Times New Roman" w:eastAsia="宋体" w:cs="Times New Roman"/>
                <w:b w:val="0"/>
                <w:bCs w:val="0"/>
                <w:color w:val="auto"/>
                <w:kern w:val="2"/>
                <w:sz w:val="21"/>
                <w:szCs w:val="21"/>
                <w:lang w:val="en-US" w:eastAsia="zh-CN" w:bidi="ar-SA"/>
              </w:rPr>
              <w:t>g/</w:t>
            </w:r>
            <w:r>
              <w:rPr>
                <w:rFonts w:hint="eastAsia" w:ascii="Times New Roman" w:hAnsi="Times New Roman" w:eastAsia="宋体" w:cs="Times New Roman"/>
                <w:b w:val="0"/>
                <w:bCs w:val="0"/>
                <w:color w:val="auto"/>
                <w:kern w:val="2"/>
                <w:sz w:val="21"/>
                <w:szCs w:val="21"/>
                <w:lang w:val="en-US" w:eastAsia="zh-CN" w:bidi="ar-SA"/>
              </w:rPr>
              <w:t>桶，单桶净重约1kg，则项目</w:t>
            </w:r>
            <w:r>
              <w:rPr>
                <w:rFonts w:hint="default" w:ascii="Times New Roman" w:hAnsi="Times New Roman" w:eastAsia="宋体" w:cs="Times New Roman"/>
                <w:b w:val="0"/>
                <w:bCs w:val="0"/>
                <w:color w:val="auto"/>
                <w:kern w:val="2"/>
                <w:sz w:val="21"/>
                <w:szCs w:val="21"/>
                <w:lang w:val="en-US" w:eastAsia="zh-CN" w:bidi="ar-SA"/>
              </w:rPr>
              <w:t>废</w:t>
            </w:r>
            <w:r>
              <w:rPr>
                <w:rFonts w:hint="eastAsia" w:ascii="Times New Roman" w:hAnsi="Times New Roman" w:eastAsia="宋体" w:cs="Times New Roman"/>
                <w:b w:val="0"/>
                <w:bCs w:val="0"/>
                <w:color w:val="auto"/>
                <w:kern w:val="2"/>
                <w:sz w:val="21"/>
                <w:szCs w:val="21"/>
                <w:lang w:val="en-US" w:eastAsia="zh-CN" w:bidi="ar-SA"/>
              </w:rPr>
              <w:t>包装</w:t>
            </w:r>
            <w:r>
              <w:rPr>
                <w:rFonts w:hint="default" w:ascii="Times New Roman" w:hAnsi="Times New Roman" w:eastAsia="宋体" w:cs="Times New Roman"/>
                <w:b w:val="0"/>
                <w:bCs w:val="0"/>
                <w:color w:val="auto"/>
                <w:kern w:val="2"/>
                <w:sz w:val="21"/>
                <w:szCs w:val="21"/>
                <w:lang w:val="en-US" w:eastAsia="zh-CN" w:bidi="ar-SA"/>
              </w:rPr>
              <w:t>桶</w:t>
            </w:r>
            <w:r>
              <w:rPr>
                <w:rFonts w:hint="eastAsia" w:ascii="Times New Roman" w:hAnsi="Times New Roman" w:eastAsia="宋体" w:cs="Times New Roman"/>
                <w:b w:val="0"/>
                <w:bCs w:val="0"/>
                <w:color w:val="auto"/>
                <w:kern w:val="2"/>
                <w:sz w:val="21"/>
                <w:szCs w:val="21"/>
                <w:lang w:val="en-US" w:eastAsia="zh-CN" w:bidi="ar-SA"/>
              </w:rPr>
              <w:t>产生量约</w:t>
            </w:r>
            <w:r>
              <w:rPr>
                <w:rFonts w:hint="eastAsia" w:cs="Times New Roman"/>
                <w:b w:val="0"/>
                <w:bCs w:val="0"/>
                <w:color w:val="auto"/>
                <w:kern w:val="2"/>
                <w:sz w:val="21"/>
                <w:szCs w:val="21"/>
                <w:lang w:val="en-US" w:eastAsia="zh-CN" w:bidi="ar-SA"/>
              </w:rPr>
              <w:t>0.75</w:t>
            </w:r>
            <w:r>
              <w:rPr>
                <w:rFonts w:hint="eastAsia" w:ascii="Times New Roman" w:hAnsi="Times New Roman" w:eastAsia="宋体" w:cs="Times New Roman"/>
                <w:b w:val="0"/>
                <w:bCs w:val="0"/>
                <w:color w:val="auto"/>
                <w:kern w:val="2"/>
                <w:sz w:val="21"/>
                <w:szCs w:val="21"/>
                <w:lang w:val="en-US" w:eastAsia="zh-CN" w:bidi="ar-SA"/>
              </w:rPr>
              <w:t>t/a</w:t>
            </w:r>
            <w:r>
              <w:rPr>
                <w:rFonts w:hint="default" w:ascii="Times New Roman" w:hAnsi="Times New Roman" w:eastAsia="宋体" w:cs="Times New Roman"/>
                <w:b w:val="0"/>
                <w:bCs w:val="0"/>
                <w:color w:val="auto"/>
                <w:kern w:val="2"/>
                <w:sz w:val="21"/>
                <w:szCs w:val="21"/>
                <w:lang w:val="en-US" w:eastAsia="zh-CN" w:bidi="ar-SA"/>
              </w:rPr>
              <w:t>。</w:t>
            </w:r>
          </w:p>
          <w:p w14:paraId="1AACF001">
            <w:pPr>
              <w:adjustRightInd w:val="0"/>
              <w:snapToGrid w:val="0"/>
              <w:spacing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rPr>
              <w:t>废活性炭</w:t>
            </w:r>
            <w:r>
              <w:rPr>
                <w:rFonts w:hint="default" w:ascii="Times New Roman" w:hAnsi="Times New Roman" w:cs="Times New Roman" w:eastAsiaTheme="minorEastAsia"/>
                <w:b w:val="0"/>
                <w:bCs w:val="0"/>
                <w:color w:val="auto"/>
                <w:sz w:val="21"/>
                <w:szCs w:val="21"/>
                <w:highlight w:val="none"/>
                <w:lang w:val="en-US" w:eastAsia="zh-CN"/>
              </w:rPr>
              <w:t>（S</w:t>
            </w:r>
            <w:r>
              <w:rPr>
                <w:rFonts w:hint="eastAsia" w:cs="Times New Roman" w:eastAsiaTheme="minorEastAsia"/>
                <w:b w:val="0"/>
                <w:bCs w:val="0"/>
                <w:color w:val="auto"/>
                <w:sz w:val="21"/>
                <w:szCs w:val="21"/>
                <w:highlight w:val="none"/>
                <w:lang w:val="en-US" w:eastAsia="zh-CN"/>
              </w:rPr>
              <w:t>6</w:t>
            </w:r>
            <w:r>
              <w:rPr>
                <w:rFonts w:hint="default" w:ascii="Times New Roman" w:hAnsi="Times New Roman" w:cs="Times New Roman" w:eastAsiaTheme="minorEastAsia"/>
                <w:b w:val="0"/>
                <w:bCs w:val="0"/>
                <w:color w:val="auto"/>
                <w:sz w:val="21"/>
                <w:szCs w:val="21"/>
                <w:highlight w:val="none"/>
                <w:lang w:val="en-US" w:eastAsia="zh-CN"/>
              </w:rPr>
              <w:t>）</w:t>
            </w:r>
            <w:r>
              <w:rPr>
                <w:rFonts w:hint="default" w:ascii="Times New Roman" w:hAnsi="Times New Roman" w:cs="Times New Roman"/>
                <w:b w:val="0"/>
                <w:bCs w:val="0"/>
                <w:color w:val="auto"/>
                <w:sz w:val="21"/>
                <w:szCs w:val="21"/>
              </w:rPr>
              <w:t>：本项目</w:t>
            </w:r>
            <w:r>
              <w:rPr>
                <w:rFonts w:hint="default" w:ascii="Times New Roman" w:hAnsi="Times New Roman" w:cs="Times New Roman"/>
                <w:b w:val="0"/>
                <w:bCs w:val="0"/>
                <w:color w:val="auto"/>
                <w:sz w:val="21"/>
                <w:szCs w:val="21"/>
                <w:lang w:val="en-US" w:eastAsia="zh-CN"/>
              </w:rPr>
              <w:t>废气处理采用二级活性炭吸附</w:t>
            </w:r>
            <w:r>
              <w:rPr>
                <w:rFonts w:hint="default" w:ascii="Times New Roman" w:hAnsi="Times New Roman" w:cs="Times New Roman"/>
                <w:b w:val="0"/>
                <w:bCs w:val="0"/>
                <w:color w:val="auto"/>
                <w:sz w:val="21"/>
                <w:szCs w:val="21"/>
              </w:rPr>
              <w:t>处理工艺</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需定期更换活性炭</w:t>
            </w:r>
            <w:r>
              <w:rPr>
                <w:rFonts w:hint="default" w:ascii="Times New Roman" w:hAnsi="Times New Roman" w:cs="Times New Roman"/>
                <w:b w:val="0"/>
                <w:bCs w:val="0"/>
                <w:color w:val="auto"/>
                <w:sz w:val="21"/>
                <w:szCs w:val="21"/>
              </w:rPr>
              <w:t>，根据</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省生态环境厅关</w:t>
            </w:r>
            <w:r>
              <w:rPr>
                <w:rFonts w:hint="default" w:ascii="Times New Roman" w:hAnsi="Times New Roman" w:cs="Times New Roman"/>
                <w:color w:val="auto"/>
                <w:sz w:val="21"/>
                <w:szCs w:val="21"/>
              </w:rPr>
              <w:t>于将排污单位活性炭使用更换纳入排污许可管理的通知</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中附件涉活性炭吸附排污单位的排污许可管理要求内的相关公式</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计算活性炭更换周期</w:t>
            </w:r>
            <w:r>
              <w:rPr>
                <w:rFonts w:hint="default" w:ascii="Times New Roman" w:hAnsi="Times New Roman" w:cs="Times New Roman"/>
                <w:color w:val="auto"/>
                <w:sz w:val="21"/>
                <w:szCs w:val="21"/>
              </w:rPr>
              <w:t>：</w:t>
            </w:r>
          </w:p>
          <w:p w14:paraId="04D4ACDB">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T=m×s÷（c×10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×Q×t）</w:t>
            </w:r>
          </w:p>
          <w:p w14:paraId="52149D28">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2520" w:firstLineChars="1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T—更换周期，天；</w:t>
            </w:r>
          </w:p>
          <w:p w14:paraId="08D0D99A">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2520" w:firstLineChars="1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m—活性炭的用量，kg；</w:t>
            </w:r>
          </w:p>
          <w:p w14:paraId="09CEF3A3">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2520" w:firstLineChars="1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s—动态吸附量，%；</w:t>
            </w:r>
          </w:p>
          <w:p w14:paraId="128A98E9">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2520" w:firstLineChars="1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c—活性炭削减VOCs浓度，mg/m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p w14:paraId="7216313F">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2520" w:firstLineChars="1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Q—风量，单位m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w:t>
            </w:r>
          </w:p>
          <w:p w14:paraId="110D6C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2520" w:firstLineChars="1200"/>
              <w:textAlignment w:val="auto"/>
              <w:rPr>
                <w:b/>
                <w:color w:val="auto"/>
                <w:sz w:val="21"/>
                <w:szCs w:val="21"/>
              </w:rPr>
            </w:pPr>
            <w:r>
              <w:rPr>
                <w:rFonts w:hint="default" w:ascii="Times New Roman" w:hAnsi="Times New Roman" w:cs="Times New Roman"/>
                <w:color w:val="auto"/>
                <w:sz w:val="21"/>
                <w:szCs w:val="21"/>
              </w:rPr>
              <w:t>t—运行时间，单位h/d。</w:t>
            </w:r>
          </w:p>
          <w:p w14:paraId="64083024">
            <w:pPr>
              <w:pStyle w:val="2"/>
              <w:keepNext w:val="0"/>
              <w:keepLines w:val="0"/>
              <w:pageBreakBefore w:val="0"/>
              <w:widowControl/>
              <w:kinsoku/>
              <w:wordWrap/>
              <w:overflowPunct/>
              <w:topLinePunct w:val="0"/>
              <w:autoSpaceDE/>
              <w:autoSpaceDN/>
              <w:bidi w:val="0"/>
              <w:adjustRightInd w:val="0"/>
              <w:snapToGrid w:val="0"/>
              <w:spacing w:before="0" w:after="0" w:line="500" w:lineRule="exact"/>
              <w:ind w:right="0" w:firstLine="422" w:firstLineChars="200"/>
              <w:jc w:val="center"/>
              <w:textAlignment w:val="auto"/>
              <w:rPr>
                <w:b/>
                <w:bCs/>
                <w:color w:val="auto"/>
                <w:sz w:val="21"/>
                <w:szCs w:val="21"/>
              </w:rPr>
            </w:pPr>
            <w:r>
              <w:rPr>
                <w:b/>
                <w:color w:val="auto"/>
                <w:sz w:val="21"/>
                <w:szCs w:val="21"/>
              </w:rPr>
              <w:t>表4-</w:t>
            </w:r>
            <w:r>
              <w:rPr>
                <w:rFonts w:hint="eastAsia"/>
                <w:b/>
                <w:color w:val="auto"/>
                <w:sz w:val="21"/>
                <w:szCs w:val="21"/>
                <w:lang w:val="en-US" w:eastAsia="zh-CN"/>
              </w:rPr>
              <w:t xml:space="preserve">17 </w:t>
            </w:r>
            <w:r>
              <w:rPr>
                <w:b/>
                <w:color w:val="auto"/>
                <w:sz w:val="21"/>
                <w:szCs w:val="21"/>
              </w:rPr>
              <w:t>活性炭更换周期一览表</w:t>
            </w:r>
          </w:p>
          <w:tbl>
            <w:tblPr>
              <w:tblStyle w:val="31"/>
              <w:tblW w:w="499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850"/>
              <w:gridCol w:w="1103"/>
              <w:gridCol w:w="971"/>
              <w:gridCol w:w="2284"/>
              <w:gridCol w:w="868"/>
              <w:gridCol w:w="877"/>
              <w:gridCol w:w="879"/>
            </w:tblGrid>
            <w:tr w14:paraId="6DA37B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47" w:type="pct"/>
                  <w:noWrap w:val="0"/>
                  <w:vAlign w:val="center"/>
                </w:tcPr>
                <w:p w14:paraId="1C35CA65">
                  <w:pPr>
                    <w:adjustRightInd w:val="0"/>
                    <w:snapToGrid w:val="0"/>
                    <w:jc w:val="center"/>
                    <w:rPr>
                      <w:color w:val="auto"/>
                      <w:sz w:val="21"/>
                      <w:szCs w:val="21"/>
                    </w:rPr>
                  </w:pPr>
                  <w:r>
                    <w:rPr>
                      <w:color w:val="auto"/>
                      <w:sz w:val="21"/>
                      <w:szCs w:val="21"/>
                    </w:rPr>
                    <w:t>装置名称</w:t>
                  </w:r>
                </w:p>
              </w:tc>
              <w:tc>
                <w:tcPr>
                  <w:tcW w:w="624" w:type="pct"/>
                  <w:noWrap w:val="0"/>
                  <w:vAlign w:val="center"/>
                </w:tcPr>
                <w:p w14:paraId="35EB7822">
                  <w:pPr>
                    <w:adjustRightInd w:val="0"/>
                    <w:snapToGrid w:val="0"/>
                    <w:jc w:val="center"/>
                    <w:rPr>
                      <w:color w:val="auto"/>
                      <w:sz w:val="21"/>
                      <w:szCs w:val="21"/>
                    </w:rPr>
                  </w:pPr>
                  <w:r>
                    <w:rPr>
                      <w:color w:val="auto"/>
                      <w:sz w:val="21"/>
                      <w:szCs w:val="21"/>
                    </w:rPr>
                    <w:t>活性炭的用量（kg）</w:t>
                  </w:r>
                </w:p>
              </w:tc>
              <w:tc>
                <w:tcPr>
                  <w:tcW w:w="549" w:type="pct"/>
                  <w:noWrap w:val="0"/>
                  <w:vAlign w:val="center"/>
                </w:tcPr>
                <w:p w14:paraId="71A22AB7">
                  <w:pPr>
                    <w:adjustRightInd w:val="0"/>
                    <w:snapToGrid w:val="0"/>
                    <w:jc w:val="center"/>
                    <w:rPr>
                      <w:color w:val="auto"/>
                      <w:sz w:val="21"/>
                      <w:szCs w:val="21"/>
                    </w:rPr>
                  </w:pPr>
                  <w:r>
                    <w:rPr>
                      <w:color w:val="auto"/>
                      <w:sz w:val="21"/>
                      <w:szCs w:val="21"/>
                    </w:rPr>
                    <w:t>动态吸附量（%）</w:t>
                  </w:r>
                </w:p>
              </w:tc>
              <w:tc>
                <w:tcPr>
                  <w:tcW w:w="1292" w:type="pct"/>
                  <w:noWrap w:val="0"/>
                  <w:vAlign w:val="center"/>
                </w:tcPr>
                <w:p w14:paraId="158B08E0">
                  <w:pPr>
                    <w:adjustRightInd w:val="0"/>
                    <w:snapToGrid w:val="0"/>
                    <w:jc w:val="center"/>
                    <w:rPr>
                      <w:color w:val="auto"/>
                      <w:sz w:val="21"/>
                      <w:szCs w:val="21"/>
                    </w:rPr>
                  </w:pPr>
                  <w:r>
                    <w:rPr>
                      <w:color w:val="auto"/>
                      <w:sz w:val="21"/>
                      <w:szCs w:val="21"/>
                    </w:rPr>
                    <w:t>活性炭削减的VOCs浓度（mg/m</w:t>
                  </w:r>
                  <w:r>
                    <w:rPr>
                      <w:color w:val="auto"/>
                      <w:sz w:val="21"/>
                      <w:szCs w:val="21"/>
                      <w:vertAlign w:val="superscript"/>
                    </w:rPr>
                    <w:t>3</w:t>
                  </w:r>
                  <w:r>
                    <w:rPr>
                      <w:color w:val="auto"/>
                      <w:sz w:val="21"/>
                      <w:szCs w:val="21"/>
                    </w:rPr>
                    <w:t>）</w:t>
                  </w:r>
                </w:p>
              </w:tc>
              <w:tc>
                <w:tcPr>
                  <w:tcW w:w="491" w:type="pct"/>
                  <w:noWrap w:val="0"/>
                  <w:vAlign w:val="center"/>
                </w:tcPr>
                <w:p w14:paraId="25A17AC7">
                  <w:pPr>
                    <w:adjustRightInd w:val="0"/>
                    <w:snapToGrid w:val="0"/>
                    <w:jc w:val="center"/>
                    <w:rPr>
                      <w:color w:val="auto"/>
                      <w:sz w:val="21"/>
                      <w:szCs w:val="21"/>
                    </w:rPr>
                  </w:pPr>
                  <w:r>
                    <w:rPr>
                      <w:color w:val="auto"/>
                      <w:sz w:val="21"/>
                      <w:szCs w:val="21"/>
                    </w:rPr>
                    <w:t>风量（m</w:t>
                  </w:r>
                  <w:r>
                    <w:rPr>
                      <w:color w:val="auto"/>
                      <w:sz w:val="21"/>
                      <w:szCs w:val="21"/>
                      <w:vertAlign w:val="superscript"/>
                    </w:rPr>
                    <w:t>3</w:t>
                  </w:r>
                  <w:r>
                    <w:rPr>
                      <w:color w:val="auto"/>
                      <w:sz w:val="21"/>
                      <w:szCs w:val="21"/>
                    </w:rPr>
                    <w:t>/h）</w:t>
                  </w:r>
                </w:p>
              </w:tc>
              <w:tc>
                <w:tcPr>
                  <w:tcW w:w="496" w:type="pct"/>
                  <w:noWrap w:val="0"/>
                  <w:vAlign w:val="center"/>
                </w:tcPr>
                <w:p w14:paraId="4F93714C">
                  <w:pPr>
                    <w:adjustRightInd w:val="0"/>
                    <w:snapToGrid w:val="0"/>
                    <w:jc w:val="center"/>
                    <w:rPr>
                      <w:color w:val="auto"/>
                      <w:sz w:val="21"/>
                      <w:szCs w:val="21"/>
                    </w:rPr>
                  </w:pPr>
                  <w:r>
                    <w:rPr>
                      <w:color w:val="auto"/>
                      <w:sz w:val="21"/>
                      <w:szCs w:val="21"/>
                    </w:rPr>
                    <w:t>运行时间（h/d）</w:t>
                  </w:r>
                </w:p>
              </w:tc>
              <w:tc>
                <w:tcPr>
                  <w:tcW w:w="497" w:type="pct"/>
                  <w:noWrap w:val="0"/>
                  <w:vAlign w:val="center"/>
                </w:tcPr>
                <w:p w14:paraId="6F3BF8C9">
                  <w:pPr>
                    <w:adjustRightInd w:val="0"/>
                    <w:snapToGrid w:val="0"/>
                    <w:jc w:val="center"/>
                    <w:rPr>
                      <w:color w:val="auto"/>
                      <w:sz w:val="21"/>
                      <w:szCs w:val="21"/>
                    </w:rPr>
                  </w:pPr>
                  <w:r>
                    <w:rPr>
                      <w:rFonts w:hint="eastAsia"/>
                      <w:color w:val="auto"/>
                      <w:sz w:val="21"/>
                      <w:szCs w:val="21"/>
                    </w:rPr>
                    <w:t>更换</w:t>
                  </w:r>
                  <w:r>
                    <w:rPr>
                      <w:color w:val="auto"/>
                      <w:sz w:val="21"/>
                      <w:szCs w:val="21"/>
                    </w:rPr>
                    <w:t>周期（d）</w:t>
                  </w:r>
                </w:p>
              </w:tc>
            </w:tr>
            <w:tr w14:paraId="64C741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047" w:type="pct"/>
                  <w:noWrap w:val="0"/>
                  <w:vAlign w:val="center"/>
                </w:tcPr>
                <w:p w14:paraId="7B710FD8">
                  <w:pPr>
                    <w:adjustRightInd w:val="0"/>
                    <w:snapToGrid w:val="0"/>
                    <w:jc w:val="center"/>
                    <w:rPr>
                      <w:rFonts w:hint="eastAsia" w:eastAsia="宋体"/>
                      <w:color w:val="auto"/>
                      <w:sz w:val="21"/>
                      <w:szCs w:val="21"/>
                      <w:lang w:eastAsia="zh-CN"/>
                    </w:rPr>
                  </w:pPr>
                  <w:r>
                    <w:rPr>
                      <w:bCs/>
                      <w:color w:val="auto"/>
                      <w:sz w:val="21"/>
                      <w:szCs w:val="21"/>
                    </w:rPr>
                    <w:t>活性炭吸附装置</w:t>
                  </w:r>
                  <w:r>
                    <w:rPr>
                      <w:rFonts w:hint="eastAsia"/>
                      <w:bCs/>
                      <w:color w:val="auto"/>
                      <w:sz w:val="21"/>
                      <w:szCs w:val="21"/>
                      <w:lang w:eastAsia="zh-CN"/>
                    </w:rPr>
                    <w:t>（</w:t>
                  </w:r>
                  <w:r>
                    <w:rPr>
                      <w:rFonts w:hint="eastAsia"/>
                      <w:bCs/>
                      <w:color w:val="auto"/>
                      <w:sz w:val="21"/>
                      <w:szCs w:val="21"/>
                      <w:lang w:val="en-US" w:eastAsia="zh-CN"/>
                    </w:rPr>
                    <w:t>TA001</w:t>
                  </w:r>
                  <w:r>
                    <w:rPr>
                      <w:rFonts w:hint="eastAsia"/>
                      <w:bCs/>
                      <w:color w:val="auto"/>
                      <w:sz w:val="21"/>
                      <w:szCs w:val="21"/>
                      <w:lang w:eastAsia="zh-CN"/>
                    </w:rPr>
                    <w:t>）</w:t>
                  </w:r>
                </w:p>
              </w:tc>
              <w:tc>
                <w:tcPr>
                  <w:tcW w:w="624" w:type="pct"/>
                  <w:noWrap w:val="0"/>
                  <w:vAlign w:val="center"/>
                </w:tcPr>
                <w:p w14:paraId="246AA449">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900</w:t>
                  </w:r>
                </w:p>
              </w:tc>
              <w:tc>
                <w:tcPr>
                  <w:tcW w:w="549" w:type="pct"/>
                  <w:noWrap w:val="0"/>
                  <w:vAlign w:val="center"/>
                </w:tcPr>
                <w:p w14:paraId="43443A46">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20</w:t>
                  </w:r>
                </w:p>
              </w:tc>
              <w:tc>
                <w:tcPr>
                  <w:tcW w:w="1292" w:type="pct"/>
                  <w:noWrap w:val="0"/>
                  <w:vAlign w:val="center"/>
                </w:tcPr>
                <w:p w14:paraId="4060C401">
                  <w:pPr>
                    <w:keepNext w:val="0"/>
                    <w:keepLines w:val="0"/>
                    <w:widowControl/>
                    <w:suppressLineNumbers w:val="0"/>
                    <w:jc w:val="center"/>
                    <w:textAlignment w:val="center"/>
                    <w:rPr>
                      <w:rFonts w:hint="default" w:eastAsia="宋体"/>
                      <w:color w:val="auto"/>
                      <w:sz w:val="21"/>
                      <w:szCs w:val="21"/>
                      <w:lang w:val="en-US" w:eastAsia="zh-CN"/>
                    </w:rPr>
                  </w:pPr>
                  <w:r>
                    <w:rPr>
                      <w:rFonts w:hint="eastAsia"/>
                      <w:color w:val="auto"/>
                      <w:sz w:val="21"/>
                      <w:szCs w:val="21"/>
                      <w:lang w:val="en-US" w:eastAsia="zh-CN"/>
                    </w:rPr>
                    <w:t>60.75</w:t>
                  </w:r>
                </w:p>
              </w:tc>
              <w:tc>
                <w:tcPr>
                  <w:tcW w:w="491" w:type="pct"/>
                  <w:noWrap w:val="0"/>
                  <w:vAlign w:val="center"/>
                </w:tcPr>
                <w:p w14:paraId="0C9C98CA">
                  <w:pPr>
                    <w:tabs>
                      <w:tab w:val="left" w:pos="360"/>
                      <w:tab w:val="left" w:pos="540"/>
                    </w:tabs>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12000</w:t>
                  </w:r>
                </w:p>
              </w:tc>
              <w:tc>
                <w:tcPr>
                  <w:tcW w:w="496" w:type="pct"/>
                  <w:noWrap w:val="0"/>
                  <w:vAlign w:val="center"/>
                </w:tcPr>
                <w:p w14:paraId="5B039C28">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8</w:t>
                  </w:r>
                </w:p>
              </w:tc>
              <w:tc>
                <w:tcPr>
                  <w:tcW w:w="497" w:type="pct"/>
                  <w:noWrap w:val="0"/>
                  <w:vAlign w:val="center"/>
                </w:tcPr>
                <w:p w14:paraId="1E12D7E1">
                  <w:pPr>
                    <w:tabs>
                      <w:tab w:val="left" w:pos="360"/>
                      <w:tab w:val="left" w:pos="540"/>
                    </w:tabs>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30.86</w:t>
                  </w:r>
                </w:p>
              </w:tc>
            </w:tr>
          </w:tbl>
          <w:p w14:paraId="22A573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注:</w:t>
            </w:r>
            <w:r>
              <w:rPr>
                <w:color w:val="auto"/>
                <w:sz w:val="21"/>
                <w:szCs w:val="21"/>
              </w:rPr>
              <w:t>本项目采用一次性</w:t>
            </w:r>
            <w:r>
              <w:rPr>
                <w:rFonts w:hint="eastAsia"/>
                <w:color w:val="auto"/>
                <w:sz w:val="21"/>
                <w:szCs w:val="21"/>
                <w:lang w:val="en-US" w:eastAsia="zh-CN"/>
              </w:rPr>
              <w:t>颗粒</w:t>
            </w:r>
            <w:r>
              <w:rPr>
                <w:color w:val="auto"/>
                <w:sz w:val="21"/>
                <w:szCs w:val="21"/>
              </w:rPr>
              <w:t>活性炭，碘值不小于800，比表面积≥850m</w:t>
            </w:r>
            <w:r>
              <w:rPr>
                <w:color w:val="auto"/>
                <w:sz w:val="21"/>
                <w:szCs w:val="21"/>
                <w:vertAlign w:val="superscript"/>
              </w:rPr>
              <w:t>2</w:t>
            </w:r>
            <w:r>
              <w:rPr>
                <w:color w:val="auto"/>
                <w:sz w:val="21"/>
                <w:szCs w:val="21"/>
              </w:rPr>
              <w:t>/g，根据《省生态环境厅关于深入开展涉VOCs治理重点工作核查的通知》（苏环办〔2022〕218号），每5吨活性炭吸附1吨有机废气，因此，动态吸附量取值</w:t>
            </w:r>
            <w:r>
              <w:rPr>
                <w:rFonts w:hint="eastAsia"/>
                <w:color w:val="auto"/>
                <w:sz w:val="21"/>
                <w:szCs w:val="21"/>
                <w:lang w:val="en-US" w:eastAsia="zh-CN"/>
              </w:rPr>
              <w:t>2</w:t>
            </w:r>
            <w:r>
              <w:rPr>
                <w:color w:val="auto"/>
                <w:sz w:val="21"/>
                <w:szCs w:val="21"/>
              </w:rPr>
              <w:t>0%</w:t>
            </w:r>
            <w:r>
              <w:rPr>
                <w:rFonts w:hint="default" w:ascii="Times New Roman" w:hAnsi="Times New Roman" w:cs="Times New Roman"/>
                <w:color w:val="auto"/>
                <w:sz w:val="21"/>
                <w:szCs w:val="21"/>
              </w:rPr>
              <w:t>。</w:t>
            </w:r>
          </w:p>
          <w:p w14:paraId="6CE0CE1B">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420" w:firstLineChars="200"/>
              <w:jc w:val="both"/>
              <w:textAlignment w:val="auto"/>
              <w:rPr>
                <w:rFonts w:hint="default" w:ascii="Times New Roman" w:hAnsi="Times New Roman" w:cs="Times New Roman"/>
                <w:bCs/>
                <w:color w:val="auto"/>
                <w:sz w:val="21"/>
                <w:szCs w:val="21"/>
              </w:rPr>
            </w:pPr>
            <w:r>
              <w:rPr>
                <w:rFonts w:hint="eastAsia" w:ascii="Times New Roman" w:hAnsi="Times New Roman" w:eastAsia="宋体" w:cs="Times New Roman"/>
                <w:bCs/>
                <w:color w:val="auto"/>
                <w:sz w:val="21"/>
                <w:szCs w:val="21"/>
                <w:lang w:val="en-US" w:eastAsia="zh-CN"/>
              </w:rPr>
              <w:t>根据计算所得，本项目活性炭吸附装置更换周期为</w:t>
            </w:r>
            <w:r>
              <w:rPr>
                <w:rFonts w:hint="eastAsia" w:cs="Times New Roman"/>
                <w:bCs/>
                <w:color w:val="auto"/>
                <w:sz w:val="21"/>
                <w:szCs w:val="21"/>
                <w:lang w:val="en-US" w:eastAsia="zh-CN"/>
              </w:rPr>
              <w:t>3</w:t>
            </w:r>
            <w:r>
              <w:rPr>
                <w:rFonts w:hint="eastAsia" w:ascii="Times New Roman" w:hAnsi="Times New Roman" w:eastAsia="宋体" w:cs="Times New Roman"/>
                <w:bCs/>
                <w:color w:val="auto"/>
                <w:sz w:val="21"/>
                <w:szCs w:val="21"/>
                <w:lang w:val="en-US" w:eastAsia="zh-CN"/>
              </w:rPr>
              <w:t>0天。</w:t>
            </w:r>
            <w:r>
              <w:rPr>
                <w:rFonts w:hint="eastAsia" w:cs="Times New Roman"/>
                <w:bCs/>
                <w:color w:val="auto"/>
                <w:sz w:val="21"/>
                <w:szCs w:val="21"/>
                <w:lang w:val="en-US" w:eastAsia="zh-CN"/>
              </w:rPr>
              <w:t>根据前文分析，项目</w:t>
            </w:r>
            <w:r>
              <w:rPr>
                <w:rFonts w:hint="default" w:ascii="Times New Roman" w:hAnsi="Times New Roman" w:cs="Times New Roman"/>
                <w:bCs/>
                <w:color w:val="auto"/>
                <w:sz w:val="21"/>
                <w:szCs w:val="21"/>
                <w:lang w:val="en-US" w:eastAsia="zh-CN"/>
              </w:rPr>
              <w:t>二级活性炭</w:t>
            </w:r>
            <w:r>
              <w:rPr>
                <w:rFonts w:hint="eastAsia" w:cs="Times New Roman"/>
                <w:bCs/>
                <w:color w:val="auto"/>
                <w:sz w:val="21"/>
                <w:szCs w:val="21"/>
                <w:lang w:val="en-US" w:eastAsia="zh-CN"/>
              </w:rPr>
              <w:t>废气</w:t>
            </w:r>
            <w:r>
              <w:rPr>
                <w:rFonts w:hint="default" w:ascii="Times New Roman" w:hAnsi="Times New Roman" w:cs="Times New Roman"/>
                <w:bCs/>
                <w:color w:val="auto"/>
                <w:sz w:val="21"/>
                <w:szCs w:val="21"/>
                <w:lang w:val="en-US" w:eastAsia="zh-CN"/>
              </w:rPr>
              <w:t>吸附量为</w:t>
            </w:r>
            <w:r>
              <w:rPr>
                <w:rFonts w:hint="eastAsia" w:cs="Times New Roman"/>
                <w:bCs/>
                <w:color w:val="auto"/>
                <w:sz w:val="21"/>
                <w:szCs w:val="21"/>
                <w:lang w:val="en-US" w:eastAsia="zh-CN"/>
              </w:rPr>
              <w:t>1.75</w:t>
            </w:r>
            <w:r>
              <w:rPr>
                <w:rFonts w:hint="default" w:ascii="Times New Roman" w:hAnsi="Times New Roman" w:cs="Times New Roman"/>
                <w:bCs/>
                <w:color w:val="auto"/>
                <w:sz w:val="21"/>
                <w:szCs w:val="21"/>
                <w:lang w:val="en-US" w:eastAsia="zh-CN"/>
              </w:rPr>
              <w:t>t/a。</w:t>
            </w:r>
            <w:r>
              <w:rPr>
                <w:rFonts w:hint="eastAsia" w:cs="Times New Roman"/>
                <w:color w:val="auto"/>
                <w:sz w:val="21"/>
                <w:szCs w:val="21"/>
                <w:lang w:eastAsia="zh-CN"/>
              </w:rPr>
              <w:t>则项目</w:t>
            </w:r>
            <w:r>
              <w:rPr>
                <w:rFonts w:hint="default" w:ascii="Times New Roman" w:hAnsi="Times New Roman" w:cs="Times New Roman"/>
                <w:bCs/>
                <w:color w:val="auto"/>
                <w:sz w:val="21"/>
                <w:szCs w:val="21"/>
                <w:lang w:val="en-US" w:eastAsia="zh-CN"/>
              </w:rPr>
              <w:t>废</w:t>
            </w:r>
            <w:r>
              <w:rPr>
                <w:rFonts w:hint="default" w:ascii="Times New Roman" w:hAnsi="Times New Roman" w:cs="Times New Roman"/>
                <w:bCs/>
                <w:color w:val="auto"/>
                <w:sz w:val="21"/>
                <w:szCs w:val="21"/>
                <w:lang w:eastAsia="zh-CN"/>
              </w:rPr>
              <w:t>活性炭产生量</w:t>
            </w:r>
            <w:r>
              <w:rPr>
                <w:rFonts w:hint="eastAsia" w:cs="Times New Roman"/>
                <w:bCs/>
                <w:color w:val="auto"/>
                <w:sz w:val="21"/>
                <w:szCs w:val="21"/>
                <w:lang w:val="en-US" w:eastAsia="zh-CN"/>
              </w:rPr>
              <w:t>约</w:t>
            </w:r>
            <w:r>
              <w:rPr>
                <w:rFonts w:hint="default" w:ascii="Times New Roman" w:hAnsi="Times New Roman" w:cs="Times New Roman"/>
                <w:bCs/>
                <w:color w:val="auto"/>
                <w:sz w:val="21"/>
                <w:szCs w:val="21"/>
                <w:lang w:eastAsia="zh-CN"/>
              </w:rPr>
              <w:t>为</w:t>
            </w:r>
            <w:r>
              <w:rPr>
                <w:rFonts w:hint="eastAsia" w:cs="Times New Roman"/>
                <w:bCs/>
                <w:color w:val="auto"/>
                <w:sz w:val="21"/>
                <w:szCs w:val="21"/>
                <w:lang w:val="en-US" w:eastAsia="zh-CN"/>
              </w:rPr>
              <w:t>10.75</w:t>
            </w:r>
            <w:r>
              <w:rPr>
                <w:rFonts w:hint="default" w:ascii="Times New Roman" w:hAnsi="Times New Roman" w:cs="Times New Roman"/>
                <w:bCs/>
                <w:color w:val="auto"/>
                <w:sz w:val="21"/>
                <w:szCs w:val="21"/>
                <w:lang w:val="en-US" w:eastAsia="zh-CN"/>
              </w:rPr>
              <w:t>t/</w:t>
            </w:r>
            <w:r>
              <w:rPr>
                <w:rFonts w:hint="default" w:ascii="Times New Roman" w:hAnsi="Times New Roman" w:cs="Times New Roman"/>
                <w:bCs/>
                <w:color w:val="auto"/>
                <w:sz w:val="21"/>
                <w:szCs w:val="21"/>
                <w:highlight w:val="none"/>
                <w:lang w:val="en-US" w:eastAsia="zh-CN"/>
              </w:rPr>
              <w:t>a</w:t>
            </w:r>
            <w:r>
              <w:rPr>
                <w:rFonts w:hint="default" w:ascii="Times New Roman" w:hAnsi="Times New Roman" w:cs="Times New Roman"/>
                <w:color w:val="auto"/>
                <w:sz w:val="21"/>
                <w:szCs w:val="21"/>
              </w:rPr>
              <w:t>。</w:t>
            </w:r>
          </w:p>
          <w:p w14:paraId="1B8EACA3">
            <w:pPr>
              <w:adjustRightInd w:val="0"/>
              <w:snapToGrid w:val="0"/>
              <w:spacing w:line="500" w:lineRule="exact"/>
              <w:ind w:firstLine="422" w:firstLineChars="200"/>
              <w:rPr>
                <w:rFonts w:hint="eastAsia" w:ascii="Times New Roman" w:hAnsi="Times New Roman" w:eastAsia="宋体" w:cs="Times New Roman"/>
                <w:bCs/>
                <w:color w:val="auto"/>
                <w:sz w:val="21"/>
                <w:szCs w:val="21"/>
                <w:lang w:eastAsia="zh-CN"/>
              </w:rPr>
            </w:pPr>
            <w:r>
              <w:rPr>
                <w:rFonts w:hint="eastAsia" w:cs="Times New Roman"/>
                <w:b/>
                <w:bCs w:val="0"/>
                <w:color w:val="auto"/>
                <w:sz w:val="21"/>
                <w:szCs w:val="21"/>
                <w:lang w:eastAsia="zh-CN"/>
              </w:rPr>
              <w:t>生活垃圾</w:t>
            </w:r>
            <w:r>
              <w:rPr>
                <w:rFonts w:hint="eastAsia" w:cs="Times New Roman"/>
                <w:bCs/>
                <w:color w:val="auto"/>
                <w:sz w:val="21"/>
                <w:szCs w:val="21"/>
                <w:lang w:eastAsia="zh-CN"/>
              </w:rPr>
              <w:t>：</w:t>
            </w:r>
            <w:r>
              <w:rPr>
                <w:rFonts w:hint="eastAsia" w:ascii="Times New Roman" w:hAnsi="Times New Roman" w:eastAsia="宋体" w:cs="Times New Roman"/>
                <w:bCs/>
                <w:color w:val="auto"/>
                <w:sz w:val="21"/>
                <w:szCs w:val="21"/>
                <w:lang w:val="en-US" w:eastAsia="zh-CN"/>
              </w:rPr>
              <w:t>生活垃圾按人均产生量为</w:t>
            </w:r>
            <w:r>
              <w:rPr>
                <w:rFonts w:hint="eastAsia" w:cs="Times New Roman"/>
                <w:bCs/>
                <w:color w:val="auto"/>
                <w:sz w:val="21"/>
                <w:szCs w:val="21"/>
                <w:lang w:val="en-US" w:eastAsia="zh-CN"/>
              </w:rPr>
              <w:t>1</w:t>
            </w:r>
            <w:r>
              <w:rPr>
                <w:rFonts w:hint="default" w:ascii="Times New Roman" w:hAnsi="Times New Roman" w:eastAsia="宋体" w:cs="Times New Roman"/>
                <w:bCs/>
                <w:color w:val="auto"/>
                <w:sz w:val="21"/>
                <w:szCs w:val="21"/>
                <w:lang w:val="en-US" w:eastAsia="zh-CN"/>
              </w:rPr>
              <w:t>kg/d</w:t>
            </w:r>
            <w:r>
              <w:rPr>
                <w:rFonts w:hint="eastAsia" w:ascii="Times New Roman" w:hAnsi="Times New Roman" w:eastAsia="宋体" w:cs="Times New Roman"/>
                <w:bCs/>
                <w:color w:val="auto"/>
                <w:sz w:val="21"/>
                <w:szCs w:val="21"/>
                <w:lang w:val="en-US" w:eastAsia="zh-CN"/>
              </w:rPr>
              <w:t>计算，项目劳动定员</w:t>
            </w:r>
            <w:r>
              <w:rPr>
                <w:rFonts w:hint="eastAsia" w:cs="Times New Roman"/>
                <w:bCs/>
                <w:color w:val="auto"/>
                <w:sz w:val="21"/>
                <w:szCs w:val="21"/>
                <w:lang w:val="en-US" w:eastAsia="zh-CN"/>
              </w:rPr>
              <w:t>20</w:t>
            </w:r>
            <w:r>
              <w:rPr>
                <w:rFonts w:hint="eastAsia" w:ascii="Times New Roman" w:hAnsi="Times New Roman" w:eastAsia="宋体" w:cs="Times New Roman"/>
                <w:bCs/>
                <w:color w:val="auto"/>
                <w:sz w:val="21"/>
                <w:szCs w:val="21"/>
                <w:lang w:val="en-US" w:eastAsia="zh-CN"/>
              </w:rPr>
              <w:t>人，</w:t>
            </w:r>
            <w:r>
              <w:rPr>
                <w:rFonts w:hint="eastAsia" w:cs="Times New Roman"/>
                <w:bCs/>
                <w:color w:val="auto"/>
                <w:sz w:val="21"/>
                <w:szCs w:val="21"/>
                <w:lang w:val="en-US" w:eastAsia="zh-CN"/>
              </w:rPr>
              <w:t>年运行时间300天，</w:t>
            </w:r>
            <w:r>
              <w:rPr>
                <w:rFonts w:hint="eastAsia" w:ascii="Times New Roman" w:hAnsi="Times New Roman" w:eastAsia="宋体" w:cs="Times New Roman"/>
                <w:bCs/>
                <w:color w:val="auto"/>
                <w:sz w:val="21"/>
                <w:szCs w:val="21"/>
                <w:lang w:val="en-US" w:eastAsia="zh-CN"/>
              </w:rPr>
              <w:t>则生活垃圾产生量为</w:t>
            </w:r>
            <w:r>
              <w:rPr>
                <w:rFonts w:hint="eastAsia" w:cs="Times New Roman"/>
                <w:bCs/>
                <w:color w:val="auto"/>
                <w:sz w:val="21"/>
                <w:szCs w:val="21"/>
                <w:lang w:val="en-US" w:eastAsia="zh-CN"/>
              </w:rPr>
              <w:t>6</w:t>
            </w:r>
            <w:r>
              <w:rPr>
                <w:rFonts w:hint="default" w:ascii="Times New Roman" w:hAnsi="Times New Roman" w:eastAsia="宋体" w:cs="Times New Roman"/>
                <w:bCs/>
                <w:color w:val="auto"/>
                <w:sz w:val="21"/>
                <w:szCs w:val="21"/>
                <w:lang w:val="en-US" w:eastAsia="zh-CN"/>
              </w:rPr>
              <w:t>t/a</w:t>
            </w:r>
            <w:r>
              <w:rPr>
                <w:rFonts w:hint="eastAsia" w:ascii="Times New Roman" w:hAnsi="Times New Roman" w:eastAsia="宋体" w:cs="Times New Roman"/>
                <w:bCs/>
                <w:color w:val="auto"/>
                <w:sz w:val="21"/>
                <w:szCs w:val="21"/>
                <w:lang w:val="en-US" w:eastAsia="zh-CN"/>
              </w:rPr>
              <w:t>。</w:t>
            </w:r>
          </w:p>
          <w:p w14:paraId="420A0A31">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结合生产工艺流程及生产运营过程中的副产物产生情况，根据</w:t>
            </w:r>
            <w:r>
              <w:rPr>
                <w:color w:val="auto"/>
                <w:sz w:val="21"/>
                <w:szCs w:val="21"/>
              </w:rPr>
              <w:t>《固体废物鉴别标准 通则》（</w:t>
            </w:r>
            <w:r>
              <w:rPr>
                <w:rFonts w:hint="eastAsia"/>
                <w:color w:val="auto"/>
                <w:sz w:val="21"/>
                <w:szCs w:val="21"/>
                <w:lang w:eastAsia="zh-CN"/>
              </w:rPr>
              <w:t>GB34330-2025</w:t>
            </w:r>
            <w:r>
              <w:rPr>
                <w:color w:val="auto"/>
                <w:sz w:val="21"/>
                <w:szCs w:val="21"/>
              </w:rPr>
              <w:t>）</w:t>
            </w:r>
            <w:r>
              <w:rPr>
                <w:rFonts w:hint="default" w:ascii="Times New Roman" w:hAnsi="Times New Roman" w:eastAsia="宋体" w:cs="Times New Roman"/>
                <w:color w:val="auto"/>
                <w:sz w:val="21"/>
                <w:szCs w:val="21"/>
                <w:highlight w:val="none"/>
                <w:lang w:val="en-US" w:eastAsia="zh-CN"/>
              </w:rPr>
              <w:t>的规定，判断其是否属于固体废物，给出判定依据及结果，见下表。</w:t>
            </w:r>
          </w:p>
          <w:p w14:paraId="736BAA00">
            <w:pPr>
              <w:pStyle w:val="63"/>
              <w:keepNext w:val="0"/>
              <w:keepLines w:val="0"/>
              <w:pageBreakBefore w:val="0"/>
              <w:tabs>
                <w:tab w:val="left" w:pos="3240"/>
              </w:tabs>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表4-</w:t>
            </w:r>
            <w:r>
              <w:rPr>
                <w:rFonts w:hint="default" w:ascii="Times New Roman" w:hAnsi="Times New Roman" w:eastAsia="宋体" w:cs="Times New Roman"/>
                <w:b/>
                <w:color w:val="auto"/>
                <w:sz w:val="21"/>
                <w:szCs w:val="21"/>
                <w:highlight w:val="none"/>
                <w:lang w:val="en-US" w:eastAsia="zh-CN"/>
              </w:rPr>
              <w:t>1</w:t>
            </w:r>
            <w:r>
              <w:rPr>
                <w:rFonts w:hint="eastAsia" w:ascii="Times New Roman" w:hAnsi="Times New Roman" w:cs="Times New Roman"/>
                <w:b/>
                <w:color w:val="auto"/>
                <w:sz w:val="21"/>
                <w:szCs w:val="21"/>
                <w:highlight w:val="none"/>
                <w:lang w:val="en-US" w:eastAsia="zh-CN"/>
              </w:rPr>
              <w:t xml:space="preserve">8 </w:t>
            </w:r>
            <w:r>
              <w:rPr>
                <w:rFonts w:hint="default" w:ascii="Times New Roman" w:hAnsi="Times New Roman" w:eastAsia="宋体" w:cs="Times New Roman"/>
                <w:b/>
                <w:color w:val="auto"/>
                <w:sz w:val="21"/>
                <w:szCs w:val="21"/>
                <w:highlight w:val="none"/>
                <w:lang w:val="en-US" w:eastAsia="zh-CN"/>
              </w:rPr>
              <w:t>本</w:t>
            </w:r>
            <w:r>
              <w:rPr>
                <w:rFonts w:hint="default" w:ascii="Times New Roman" w:hAnsi="Times New Roman" w:eastAsia="宋体" w:cs="Times New Roman"/>
                <w:b/>
                <w:color w:val="auto"/>
                <w:sz w:val="21"/>
                <w:szCs w:val="21"/>
                <w:highlight w:val="none"/>
              </w:rPr>
              <w:t>项目固废</w:t>
            </w:r>
            <w:r>
              <w:rPr>
                <w:rFonts w:hint="default" w:ascii="Times New Roman" w:hAnsi="Times New Roman" w:eastAsia="宋体" w:cs="Times New Roman"/>
                <w:b/>
                <w:color w:val="auto"/>
                <w:sz w:val="21"/>
                <w:szCs w:val="21"/>
                <w:highlight w:val="none"/>
                <w:lang w:val="en-US" w:eastAsia="zh-CN"/>
              </w:rPr>
              <w:t>鉴别</w:t>
            </w:r>
            <w:r>
              <w:rPr>
                <w:rFonts w:hint="default" w:ascii="Times New Roman" w:hAnsi="Times New Roman" w:eastAsia="宋体" w:cs="Times New Roman"/>
                <w:b/>
                <w:color w:val="auto"/>
                <w:sz w:val="21"/>
                <w:szCs w:val="21"/>
                <w:highlight w:val="none"/>
              </w:rPr>
              <w:t>情况</w:t>
            </w:r>
            <w:r>
              <w:rPr>
                <w:rFonts w:hint="default" w:ascii="Times New Roman" w:hAnsi="Times New Roman" w:eastAsia="宋体" w:cs="Times New Roman"/>
                <w:b/>
                <w:color w:val="auto"/>
                <w:sz w:val="21"/>
                <w:szCs w:val="21"/>
                <w:highlight w:val="none"/>
                <w:lang w:val="en-US" w:eastAsia="zh-CN"/>
              </w:rPr>
              <w:t>汇总表</w:t>
            </w:r>
          </w:p>
          <w:tbl>
            <w:tblPr>
              <w:tblStyle w:val="31"/>
              <w:tblW w:w="490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54"/>
              <w:gridCol w:w="1004"/>
              <w:gridCol w:w="1558"/>
              <w:gridCol w:w="610"/>
              <w:gridCol w:w="1480"/>
              <w:gridCol w:w="1028"/>
              <w:gridCol w:w="931"/>
              <w:gridCol w:w="695"/>
              <w:gridCol w:w="920"/>
            </w:tblGrid>
            <w:tr w14:paraId="7D0D75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2" w:type="pct"/>
                  <w:vMerge w:val="restart"/>
                  <w:tcBorders>
                    <w:tl2br w:val="nil"/>
                    <w:tr2bl w:val="nil"/>
                  </w:tcBorders>
                  <w:noWrap w:val="0"/>
                  <w:vAlign w:val="center"/>
                </w:tcPr>
                <w:p w14:paraId="7F6F171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578" w:type="pct"/>
                  <w:vMerge w:val="restart"/>
                  <w:tcBorders>
                    <w:tl2br w:val="nil"/>
                    <w:tr2bl w:val="nil"/>
                  </w:tcBorders>
                  <w:noWrap w:val="0"/>
                  <w:vAlign w:val="center"/>
                </w:tcPr>
                <w:p w14:paraId="3A276C5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副产物</w:t>
                  </w:r>
                  <w:r>
                    <w:rPr>
                      <w:rFonts w:hint="default" w:ascii="Times New Roman" w:hAnsi="Times New Roman" w:cs="Times New Roman"/>
                      <w:b/>
                      <w:bCs/>
                      <w:color w:val="auto"/>
                      <w:sz w:val="21"/>
                      <w:szCs w:val="21"/>
                    </w:rPr>
                    <w:t>名称</w:t>
                  </w:r>
                </w:p>
              </w:tc>
              <w:tc>
                <w:tcPr>
                  <w:tcW w:w="897" w:type="pct"/>
                  <w:vMerge w:val="restart"/>
                  <w:tcBorders>
                    <w:tl2br w:val="nil"/>
                    <w:tr2bl w:val="nil"/>
                  </w:tcBorders>
                  <w:noWrap w:val="0"/>
                  <w:vAlign w:val="center"/>
                </w:tcPr>
                <w:p w14:paraId="05BE6CF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产生</w:t>
                  </w:r>
                  <w:r>
                    <w:rPr>
                      <w:rFonts w:hint="default" w:ascii="Times New Roman" w:hAnsi="Times New Roman" w:cs="Times New Roman"/>
                      <w:b/>
                      <w:bCs/>
                      <w:color w:val="auto"/>
                      <w:sz w:val="21"/>
                      <w:szCs w:val="21"/>
                      <w:lang w:val="en-US" w:eastAsia="zh-CN"/>
                    </w:rPr>
                    <w:t>工序</w:t>
                  </w:r>
                </w:p>
              </w:tc>
              <w:tc>
                <w:tcPr>
                  <w:tcW w:w="351" w:type="pct"/>
                  <w:vMerge w:val="restart"/>
                  <w:tcBorders>
                    <w:tl2br w:val="nil"/>
                    <w:tr2bl w:val="nil"/>
                  </w:tcBorders>
                  <w:noWrap w:val="0"/>
                  <w:vAlign w:val="center"/>
                </w:tcPr>
                <w:p w14:paraId="61D84E5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形态</w:t>
                  </w:r>
                </w:p>
              </w:tc>
              <w:tc>
                <w:tcPr>
                  <w:tcW w:w="852" w:type="pct"/>
                  <w:vMerge w:val="restart"/>
                  <w:tcBorders>
                    <w:tl2br w:val="nil"/>
                    <w:tr2bl w:val="nil"/>
                  </w:tcBorders>
                  <w:noWrap w:val="0"/>
                  <w:vAlign w:val="center"/>
                </w:tcPr>
                <w:p w14:paraId="6DDD5B7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主要成分</w:t>
                  </w:r>
                </w:p>
              </w:tc>
              <w:tc>
                <w:tcPr>
                  <w:tcW w:w="592" w:type="pct"/>
                  <w:vMerge w:val="restart"/>
                  <w:tcBorders>
                    <w:tl2br w:val="nil"/>
                    <w:tr2bl w:val="nil"/>
                  </w:tcBorders>
                  <w:noWrap w:val="0"/>
                  <w:vAlign w:val="center"/>
                </w:tcPr>
                <w:p w14:paraId="0AAFE5C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预测</w:t>
                  </w:r>
                  <w:r>
                    <w:rPr>
                      <w:rFonts w:hint="default" w:ascii="Times New Roman" w:hAnsi="Times New Roman" w:cs="Times New Roman"/>
                      <w:b/>
                      <w:bCs/>
                      <w:color w:val="auto"/>
                      <w:sz w:val="21"/>
                      <w:szCs w:val="21"/>
                    </w:rPr>
                    <w:t>产生量（t/a）</w:t>
                  </w:r>
                </w:p>
              </w:tc>
              <w:tc>
                <w:tcPr>
                  <w:tcW w:w="1466" w:type="pct"/>
                  <w:gridSpan w:val="3"/>
                  <w:tcBorders>
                    <w:tl2br w:val="nil"/>
                    <w:tr2bl w:val="nil"/>
                  </w:tcBorders>
                  <w:noWrap w:val="0"/>
                  <w:vAlign w:val="center"/>
                </w:tcPr>
                <w:p w14:paraId="608A672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种类判断</w:t>
                  </w:r>
                </w:p>
              </w:tc>
            </w:tr>
            <w:tr w14:paraId="00C48F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2" w:type="pct"/>
                  <w:vMerge w:val="continue"/>
                  <w:tcBorders>
                    <w:tl2br w:val="nil"/>
                    <w:tr2bl w:val="nil"/>
                  </w:tcBorders>
                  <w:noWrap w:val="0"/>
                  <w:vAlign w:val="center"/>
                </w:tcPr>
                <w:p w14:paraId="3FED7BC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tc>
              <w:tc>
                <w:tcPr>
                  <w:tcW w:w="578" w:type="pct"/>
                  <w:vMerge w:val="continue"/>
                  <w:tcBorders>
                    <w:tl2br w:val="nil"/>
                    <w:tr2bl w:val="nil"/>
                  </w:tcBorders>
                  <w:noWrap w:val="0"/>
                  <w:vAlign w:val="center"/>
                </w:tcPr>
                <w:p w14:paraId="19FC818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lang w:val="en-US" w:eastAsia="zh-CN"/>
                    </w:rPr>
                  </w:pPr>
                </w:p>
              </w:tc>
              <w:tc>
                <w:tcPr>
                  <w:tcW w:w="897" w:type="pct"/>
                  <w:vMerge w:val="continue"/>
                  <w:tcBorders>
                    <w:tl2br w:val="nil"/>
                    <w:tr2bl w:val="nil"/>
                  </w:tcBorders>
                  <w:noWrap w:val="0"/>
                  <w:vAlign w:val="center"/>
                </w:tcPr>
                <w:p w14:paraId="028EC17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tc>
              <w:tc>
                <w:tcPr>
                  <w:tcW w:w="351" w:type="pct"/>
                  <w:vMerge w:val="continue"/>
                  <w:tcBorders>
                    <w:tl2br w:val="nil"/>
                    <w:tr2bl w:val="nil"/>
                  </w:tcBorders>
                  <w:noWrap w:val="0"/>
                  <w:vAlign w:val="center"/>
                </w:tcPr>
                <w:p w14:paraId="71E23C9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tc>
              <w:tc>
                <w:tcPr>
                  <w:tcW w:w="852" w:type="pct"/>
                  <w:vMerge w:val="continue"/>
                  <w:tcBorders>
                    <w:tl2br w:val="nil"/>
                    <w:tr2bl w:val="nil"/>
                  </w:tcBorders>
                  <w:noWrap w:val="0"/>
                  <w:vAlign w:val="center"/>
                </w:tcPr>
                <w:p w14:paraId="2853513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tc>
              <w:tc>
                <w:tcPr>
                  <w:tcW w:w="592" w:type="pct"/>
                  <w:vMerge w:val="continue"/>
                  <w:tcBorders>
                    <w:tl2br w:val="nil"/>
                    <w:tr2bl w:val="nil"/>
                  </w:tcBorders>
                  <w:noWrap w:val="0"/>
                  <w:vAlign w:val="center"/>
                </w:tcPr>
                <w:p w14:paraId="257C2D0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lang w:val="en-US" w:eastAsia="zh-CN"/>
                    </w:rPr>
                  </w:pPr>
                </w:p>
              </w:tc>
              <w:tc>
                <w:tcPr>
                  <w:tcW w:w="536" w:type="pct"/>
                  <w:tcBorders>
                    <w:tl2br w:val="nil"/>
                    <w:tr2bl w:val="nil"/>
                  </w:tcBorders>
                  <w:noWrap w:val="0"/>
                  <w:vAlign w:val="center"/>
                </w:tcPr>
                <w:p w14:paraId="1F600AE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固体废物</w:t>
                  </w:r>
                </w:p>
              </w:tc>
              <w:tc>
                <w:tcPr>
                  <w:tcW w:w="400" w:type="pct"/>
                  <w:tcBorders>
                    <w:tl2br w:val="nil"/>
                    <w:tr2bl w:val="nil"/>
                  </w:tcBorders>
                  <w:noWrap w:val="0"/>
                  <w:vAlign w:val="center"/>
                </w:tcPr>
                <w:p w14:paraId="38F3C87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副产品</w:t>
                  </w:r>
                </w:p>
              </w:tc>
              <w:tc>
                <w:tcPr>
                  <w:tcW w:w="529" w:type="pct"/>
                  <w:tcBorders>
                    <w:tl2br w:val="nil"/>
                    <w:tr2bl w:val="nil"/>
                  </w:tcBorders>
                  <w:noWrap w:val="0"/>
                  <w:vAlign w:val="center"/>
                </w:tcPr>
                <w:p w14:paraId="5AFCC6F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判定依据</w:t>
                  </w:r>
                </w:p>
              </w:tc>
            </w:tr>
            <w:tr w14:paraId="57F332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2" w:type="pct"/>
                  <w:tcBorders>
                    <w:tl2br w:val="nil"/>
                    <w:tr2bl w:val="nil"/>
                  </w:tcBorders>
                  <w:noWrap w:val="0"/>
                  <w:vAlign w:val="center"/>
                </w:tcPr>
                <w:p w14:paraId="0F7615A1">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78" w:type="pct"/>
                  <w:tcBorders>
                    <w:tl2br w:val="nil"/>
                    <w:tr2bl w:val="nil"/>
                  </w:tcBorders>
                  <w:noWrap w:val="0"/>
                  <w:vAlign w:val="center"/>
                </w:tcPr>
                <w:p w14:paraId="58D47E15">
                  <w:pPr>
                    <w:pStyle w:val="7"/>
                    <w:adjustRightInd w:val="0"/>
                    <w:snapToGrid w:val="0"/>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边角料</w:t>
                  </w:r>
                </w:p>
              </w:tc>
              <w:tc>
                <w:tcPr>
                  <w:tcW w:w="897" w:type="pct"/>
                  <w:tcBorders>
                    <w:tl2br w:val="nil"/>
                    <w:tr2bl w:val="nil"/>
                  </w:tcBorders>
                  <w:noWrap w:val="0"/>
                  <w:vAlign w:val="center"/>
                </w:tcPr>
                <w:p w14:paraId="65C163C3">
                  <w:pPr>
                    <w:pStyle w:val="7"/>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分切</w:t>
                  </w:r>
                </w:p>
              </w:tc>
              <w:tc>
                <w:tcPr>
                  <w:tcW w:w="351" w:type="pct"/>
                  <w:tcBorders>
                    <w:tl2br w:val="nil"/>
                    <w:tr2bl w:val="nil"/>
                  </w:tcBorders>
                  <w:noWrap w:val="0"/>
                  <w:vAlign w:val="center"/>
                </w:tcPr>
                <w:p w14:paraId="761ADE70">
                  <w:pPr>
                    <w:pStyle w:val="7"/>
                    <w:adjustRightInd w:val="0"/>
                    <w:snapToGrid w:val="0"/>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固态</w:t>
                  </w:r>
                </w:p>
              </w:tc>
              <w:tc>
                <w:tcPr>
                  <w:tcW w:w="852" w:type="pct"/>
                  <w:tcBorders>
                    <w:tl2br w:val="nil"/>
                    <w:tr2bl w:val="nil"/>
                  </w:tcBorders>
                  <w:noWrap w:val="0"/>
                  <w:vAlign w:val="center"/>
                </w:tcPr>
                <w:p w14:paraId="29E727A9">
                  <w:pPr>
                    <w:pStyle w:val="7"/>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塑料</w:t>
                  </w:r>
                </w:p>
              </w:tc>
              <w:tc>
                <w:tcPr>
                  <w:tcW w:w="592" w:type="pct"/>
                  <w:tcBorders>
                    <w:tl2br w:val="nil"/>
                    <w:tr2bl w:val="nil"/>
                  </w:tcBorders>
                  <w:noWrap w:val="0"/>
                  <w:vAlign w:val="center"/>
                </w:tcPr>
                <w:p w14:paraId="2D4D9A32">
                  <w:pPr>
                    <w:adjustRightInd w:val="0"/>
                    <w:snapToGrid w:val="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3</w:t>
                  </w:r>
                </w:p>
              </w:tc>
              <w:tc>
                <w:tcPr>
                  <w:tcW w:w="536" w:type="pct"/>
                  <w:tcBorders>
                    <w:tl2br w:val="nil"/>
                    <w:tr2bl w:val="nil"/>
                  </w:tcBorders>
                  <w:noWrap w:val="0"/>
                  <w:vAlign w:val="center"/>
                </w:tcPr>
                <w:p w14:paraId="2F51B92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4745CFA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29" w:type="pct"/>
                  <w:vMerge w:val="restart"/>
                  <w:tcBorders>
                    <w:tl2br w:val="nil"/>
                    <w:tr2bl w:val="nil"/>
                  </w:tcBorders>
                  <w:noWrap w:val="0"/>
                  <w:vAlign w:val="center"/>
                </w:tcPr>
                <w:p w14:paraId="66C54A1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《固体废物鉴别标准通则》</w:t>
                  </w:r>
                </w:p>
              </w:tc>
            </w:tr>
            <w:tr w14:paraId="61724E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2" w:type="pct"/>
                  <w:tcBorders>
                    <w:tl2br w:val="nil"/>
                    <w:tr2bl w:val="nil"/>
                  </w:tcBorders>
                  <w:noWrap w:val="0"/>
                  <w:vAlign w:val="center"/>
                </w:tcPr>
                <w:p w14:paraId="3D21AB33">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578" w:type="pct"/>
                  <w:tcBorders>
                    <w:tl2br w:val="nil"/>
                    <w:tr2bl w:val="nil"/>
                  </w:tcBorders>
                  <w:noWrap w:val="0"/>
                  <w:vAlign w:val="center"/>
                </w:tcPr>
                <w:p w14:paraId="0F70C9B6">
                  <w:pPr>
                    <w:pStyle w:val="7"/>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次品</w:t>
                  </w:r>
                </w:p>
              </w:tc>
              <w:tc>
                <w:tcPr>
                  <w:tcW w:w="897" w:type="pct"/>
                  <w:tcBorders>
                    <w:tl2br w:val="nil"/>
                    <w:tr2bl w:val="nil"/>
                  </w:tcBorders>
                  <w:noWrap w:val="0"/>
                  <w:vAlign w:val="center"/>
                </w:tcPr>
                <w:p w14:paraId="58491C0D">
                  <w:pPr>
                    <w:pStyle w:val="7"/>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检验</w:t>
                  </w:r>
                </w:p>
              </w:tc>
              <w:tc>
                <w:tcPr>
                  <w:tcW w:w="351" w:type="pct"/>
                  <w:tcBorders>
                    <w:tl2br w:val="nil"/>
                    <w:tr2bl w:val="nil"/>
                  </w:tcBorders>
                  <w:noWrap w:val="0"/>
                  <w:vAlign w:val="center"/>
                </w:tcPr>
                <w:p w14:paraId="31A2EB5D">
                  <w:pPr>
                    <w:pStyle w:val="7"/>
                    <w:adjustRightInd w:val="0"/>
                    <w:snapToGrid w:val="0"/>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固态</w:t>
                  </w:r>
                </w:p>
              </w:tc>
              <w:tc>
                <w:tcPr>
                  <w:tcW w:w="852" w:type="pct"/>
                  <w:tcBorders>
                    <w:tl2br w:val="nil"/>
                    <w:tr2bl w:val="nil"/>
                  </w:tcBorders>
                  <w:noWrap w:val="0"/>
                  <w:vAlign w:val="center"/>
                </w:tcPr>
                <w:p w14:paraId="24ECAA1C">
                  <w:pPr>
                    <w:pStyle w:val="7"/>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塑料</w:t>
                  </w:r>
                </w:p>
              </w:tc>
              <w:tc>
                <w:tcPr>
                  <w:tcW w:w="592" w:type="pct"/>
                  <w:tcBorders>
                    <w:tl2br w:val="nil"/>
                    <w:tr2bl w:val="nil"/>
                  </w:tcBorders>
                  <w:noWrap w:val="0"/>
                  <w:vAlign w:val="center"/>
                </w:tcPr>
                <w:p w14:paraId="0E4C1D41">
                  <w:pPr>
                    <w:adjustRightInd w:val="0"/>
                    <w:snapToGrid w:val="0"/>
                    <w:jc w:val="center"/>
                    <w:rPr>
                      <w:rFonts w:hint="default"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5</w:t>
                  </w:r>
                </w:p>
              </w:tc>
              <w:tc>
                <w:tcPr>
                  <w:tcW w:w="536" w:type="pct"/>
                  <w:tcBorders>
                    <w:tl2br w:val="nil"/>
                    <w:tr2bl w:val="nil"/>
                  </w:tcBorders>
                  <w:noWrap w:val="0"/>
                  <w:vAlign w:val="center"/>
                </w:tcPr>
                <w:p w14:paraId="65FA564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591D5A6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29" w:type="pct"/>
                  <w:vMerge w:val="continue"/>
                  <w:tcBorders>
                    <w:tl2br w:val="nil"/>
                    <w:tr2bl w:val="nil"/>
                  </w:tcBorders>
                  <w:noWrap w:val="0"/>
                  <w:vAlign w:val="center"/>
                </w:tcPr>
                <w:p w14:paraId="7B6574C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r>
            <w:tr w14:paraId="623CE0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2" w:type="pct"/>
                  <w:tcBorders>
                    <w:tl2br w:val="nil"/>
                    <w:tr2bl w:val="nil"/>
                  </w:tcBorders>
                  <w:noWrap w:val="0"/>
                  <w:vAlign w:val="center"/>
                </w:tcPr>
                <w:p w14:paraId="00C74638">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578" w:type="pct"/>
                  <w:tcBorders>
                    <w:tl2br w:val="nil"/>
                    <w:tr2bl w:val="nil"/>
                  </w:tcBorders>
                  <w:noWrap w:val="0"/>
                  <w:vAlign w:val="center"/>
                </w:tcPr>
                <w:p w14:paraId="2636AE32">
                  <w:pPr>
                    <w:pStyle w:val="7"/>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eastAsia"/>
                      <w:color w:val="auto"/>
                      <w:szCs w:val="21"/>
                    </w:rPr>
                    <w:t>废包装材料</w:t>
                  </w:r>
                </w:p>
              </w:tc>
              <w:tc>
                <w:tcPr>
                  <w:tcW w:w="897" w:type="pct"/>
                  <w:tcBorders>
                    <w:tl2br w:val="nil"/>
                    <w:tr2bl w:val="nil"/>
                  </w:tcBorders>
                  <w:noWrap w:val="0"/>
                  <w:vAlign w:val="center"/>
                </w:tcPr>
                <w:p w14:paraId="10DC9E88">
                  <w:pPr>
                    <w:pStyle w:val="7"/>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塑料膜包装</w:t>
                  </w:r>
                </w:p>
              </w:tc>
              <w:tc>
                <w:tcPr>
                  <w:tcW w:w="351" w:type="pct"/>
                  <w:tcBorders>
                    <w:tl2br w:val="nil"/>
                    <w:tr2bl w:val="nil"/>
                  </w:tcBorders>
                  <w:noWrap w:val="0"/>
                  <w:vAlign w:val="center"/>
                </w:tcPr>
                <w:p w14:paraId="59FBED66">
                  <w:pPr>
                    <w:pStyle w:val="7"/>
                    <w:adjustRightInd w:val="0"/>
                    <w:snapToGrid w:val="0"/>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固态</w:t>
                  </w:r>
                </w:p>
              </w:tc>
              <w:tc>
                <w:tcPr>
                  <w:tcW w:w="852" w:type="pct"/>
                  <w:tcBorders>
                    <w:tl2br w:val="nil"/>
                    <w:tr2bl w:val="nil"/>
                  </w:tcBorders>
                  <w:noWrap w:val="0"/>
                  <w:vAlign w:val="center"/>
                </w:tcPr>
                <w:p w14:paraId="2056DF3E">
                  <w:pPr>
                    <w:pStyle w:val="7"/>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塑料</w:t>
                  </w:r>
                </w:p>
              </w:tc>
              <w:tc>
                <w:tcPr>
                  <w:tcW w:w="592" w:type="pct"/>
                  <w:tcBorders>
                    <w:tl2br w:val="nil"/>
                    <w:tr2bl w:val="nil"/>
                  </w:tcBorders>
                  <w:noWrap w:val="0"/>
                  <w:vAlign w:val="center"/>
                </w:tcPr>
                <w:p w14:paraId="35CFCE35">
                  <w:pPr>
                    <w:adjustRightInd w:val="0"/>
                    <w:snapToGrid w:val="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w:t>
                  </w:r>
                </w:p>
              </w:tc>
              <w:tc>
                <w:tcPr>
                  <w:tcW w:w="536" w:type="pct"/>
                  <w:tcBorders>
                    <w:tl2br w:val="nil"/>
                    <w:tr2bl w:val="nil"/>
                  </w:tcBorders>
                  <w:noWrap w:val="0"/>
                  <w:vAlign w:val="center"/>
                </w:tcPr>
                <w:p w14:paraId="370319D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6530CD4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29" w:type="pct"/>
                  <w:vMerge w:val="continue"/>
                  <w:tcBorders>
                    <w:tl2br w:val="nil"/>
                    <w:tr2bl w:val="nil"/>
                  </w:tcBorders>
                  <w:noWrap w:val="0"/>
                  <w:vAlign w:val="center"/>
                </w:tcPr>
                <w:p w14:paraId="207F863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r>
            <w:tr w14:paraId="37A212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2" w:type="pct"/>
                  <w:tcBorders>
                    <w:tl2br w:val="nil"/>
                    <w:tr2bl w:val="nil"/>
                  </w:tcBorders>
                  <w:noWrap w:val="0"/>
                  <w:vAlign w:val="center"/>
                </w:tcPr>
                <w:p w14:paraId="0E74E411">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4</w:t>
                  </w:r>
                </w:p>
              </w:tc>
              <w:tc>
                <w:tcPr>
                  <w:tcW w:w="578" w:type="pct"/>
                  <w:tcBorders>
                    <w:tl2br w:val="nil"/>
                    <w:tr2bl w:val="nil"/>
                  </w:tcBorders>
                  <w:noWrap w:val="0"/>
                  <w:vAlign w:val="center"/>
                </w:tcPr>
                <w:p w14:paraId="3A202D5B">
                  <w:pPr>
                    <w:pStyle w:val="7"/>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含油墨</w:t>
                  </w:r>
                  <w:r>
                    <w:rPr>
                      <w:rFonts w:hint="default" w:ascii="Times New Roman" w:hAnsi="Times New Roman" w:eastAsia="宋体" w:cs="Times New Roman"/>
                      <w:b w:val="0"/>
                      <w:bCs w:val="0"/>
                      <w:color w:val="auto"/>
                      <w:kern w:val="2"/>
                      <w:sz w:val="21"/>
                      <w:szCs w:val="21"/>
                      <w:lang w:val="en-US" w:eastAsia="zh-CN" w:bidi="ar-SA"/>
                    </w:rPr>
                    <w:t>废抹布</w:t>
                  </w:r>
                </w:p>
              </w:tc>
              <w:tc>
                <w:tcPr>
                  <w:tcW w:w="897" w:type="pct"/>
                  <w:tcBorders>
                    <w:tl2br w:val="nil"/>
                    <w:tr2bl w:val="nil"/>
                  </w:tcBorders>
                  <w:noWrap w:val="0"/>
                  <w:vAlign w:val="center"/>
                </w:tcPr>
                <w:p w14:paraId="0EC1A79C">
                  <w:pPr>
                    <w:pStyle w:val="7"/>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墨辊</w:t>
                  </w:r>
                  <w:r>
                    <w:rPr>
                      <w:rFonts w:hint="eastAsia" w:ascii="Times New Roman" w:hAnsi="Times New Roman" w:cs="Times New Roman"/>
                      <w:b w:val="0"/>
                      <w:bCs w:val="0"/>
                      <w:color w:val="auto"/>
                      <w:kern w:val="2"/>
                      <w:sz w:val="21"/>
                      <w:szCs w:val="21"/>
                      <w:lang w:val="en-US" w:eastAsia="zh-CN" w:bidi="ar-SA"/>
                    </w:rPr>
                    <w:t>清洁</w:t>
                  </w:r>
                </w:p>
              </w:tc>
              <w:tc>
                <w:tcPr>
                  <w:tcW w:w="351" w:type="pct"/>
                  <w:tcBorders>
                    <w:tl2br w:val="nil"/>
                    <w:tr2bl w:val="nil"/>
                  </w:tcBorders>
                  <w:noWrap w:val="0"/>
                  <w:vAlign w:val="center"/>
                </w:tcPr>
                <w:p w14:paraId="773EC6FB">
                  <w:pPr>
                    <w:pStyle w:val="7"/>
                    <w:adjustRightInd w:val="0"/>
                    <w:snapToGrid w:val="0"/>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固态</w:t>
                  </w:r>
                </w:p>
              </w:tc>
              <w:tc>
                <w:tcPr>
                  <w:tcW w:w="852" w:type="pct"/>
                  <w:tcBorders>
                    <w:tl2br w:val="nil"/>
                    <w:tr2bl w:val="nil"/>
                  </w:tcBorders>
                  <w:noWrap w:val="0"/>
                  <w:vAlign w:val="center"/>
                </w:tcPr>
                <w:p w14:paraId="17A57A1F">
                  <w:pPr>
                    <w:pStyle w:val="7"/>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油墨</w:t>
                  </w:r>
                  <w:r>
                    <w:rPr>
                      <w:rFonts w:hint="eastAsia" w:ascii="Times New Roman" w:hAnsi="Times New Roman" w:cs="Times New Roman"/>
                      <w:color w:val="auto"/>
                      <w:sz w:val="21"/>
                      <w:szCs w:val="21"/>
                      <w:lang w:val="en-US" w:eastAsia="zh-CN"/>
                    </w:rPr>
                    <w:t>、布</w:t>
                  </w:r>
                </w:p>
              </w:tc>
              <w:tc>
                <w:tcPr>
                  <w:tcW w:w="592" w:type="pct"/>
                  <w:tcBorders>
                    <w:tl2br w:val="nil"/>
                    <w:tr2bl w:val="nil"/>
                  </w:tcBorders>
                  <w:noWrap w:val="0"/>
                  <w:vAlign w:val="center"/>
                </w:tcPr>
                <w:p w14:paraId="63F71650">
                  <w:pPr>
                    <w:adjustRightInd w:val="0"/>
                    <w:snapToGrid w:val="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0.1</w:t>
                  </w:r>
                </w:p>
              </w:tc>
              <w:tc>
                <w:tcPr>
                  <w:tcW w:w="536" w:type="pct"/>
                  <w:tcBorders>
                    <w:tl2br w:val="nil"/>
                    <w:tr2bl w:val="nil"/>
                  </w:tcBorders>
                  <w:noWrap w:val="0"/>
                  <w:vAlign w:val="center"/>
                </w:tcPr>
                <w:p w14:paraId="0E65C95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22C3188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29" w:type="pct"/>
                  <w:vMerge w:val="continue"/>
                  <w:tcBorders>
                    <w:tl2br w:val="nil"/>
                    <w:tr2bl w:val="nil"/>
                  </w:tcBorders>
                  <w:noWrap w:val="0"/>
                  <w:vAlign w:val="center"/>
                </w:tcPr>
                <w:p w14:paraId="24BBC64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r>
            <w:tr w14:paraId="1216D9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2" w:type="pct"/>
                  <w:tcBorders>
                    <w:tl2br w:val="nil"/>
                    <w:tr2bl w:val="nil"/>
                  </w:tcBorders>
                  <w:noWrap w:val="0"/>
                  <w:vAlign w:val="center"/>
                </w:tcPr>
                <w:p w14:paraId="0D1D6409">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578" w:type="pct"/>
                  <w:tcBorders>
                    <w:tl2br w:val="nil"/>
                    <w:tr2bl w:val="nil"/>
                  </w:tcBorders>
                  <w:noWrap w:val="0"/>
                  <w:vAlign w:val="center"/>
                </w:tcPr>
                <w:p w14:paraId="16F7BAB0">
                  <w:pPr>
                    <w:pStyle w:val="7"/>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废包装桶</w:t>
                  </w:r>
                </w:p>
              </w:tc>
              <w:tc>
                <w:tcPr>
                  <w:tcW w:w="897" w:type="pct"/>
                  <w:tcBorders>
                    <w:tl2br w:val="nil"/>
                    <w:tr2bl w:val="nil"/>
                  </w:tcBorders>
                  <w:noWrap w:val="0"/>
                  <w:vAlign w:val="center"/>
                </w:tcPr>
                <w:p w14:paraId="62B9DCCD">
                  <w:pPr>
                    <w:pStyle w:val="7"/>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液体原料包装</w:t>
                  </w:r>
                </w:p>
              </w:tc>
              <w:tc>
                <w:tcPr>
                  <w:tcW w:w="351" w:type="pct"/>
                  <w:tcBorders>
                    <w:tl2br w:val="nil"/>
                    <w:tr2bl w:val="nil"/>
                  </w:tcBorders>
                  <w:noWrap w:val="0"/>
                  <w:vAlign w:val="center"/>
                </w:tcPr>
                <w:p w14:paraId="0A12EE11">
                  <w:pPr>
                    <w:pStyle w:val="7"/>
                    <w:adjustRightInd w:val="0"/>
                    <w:snapToGrid w:val="0"/>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液态</w:t>
                  </w:r>
                </w:p>
              </w:tc>
              <w:tc>
                <w:tcPr>
                  <w:tcW w:w="852" w:type="pct"/>
                  <w:tcBorders>
                    <w:tl2br w:val="nil"/>
                    <w:tr2bl w:val="nil"/>
                  </w:tcBorders>
                  <w:noWrap w:val="0"/>
                  <w:vAlign w:val="center"/>
                </w:tcPr>
                <w:p w14:paraId="33C82376">
                  <w:pPr>
                    <w:pStyle w:val="7"/>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油墨、胶水等</w:t>
                  </w:r>
                </w:p>
              </w:tc>
              <w:tc>
                <w:tcPr>
                  <w:tcW w:w="592" w:type="pct"/>
                  <w:tcBorders>
                    <w:tl2br w:val="nil"/>
                    <w:tr2bl w:val="nil"/>
                  </w:tcBorders>
                  <w:noWrap w:val="0"/>
                  <w:vAlign w:val="center"/>
                </w:tcPr>
                <w:p w14:paraId="648501EE">
                  <w:pPr>
                    <w:adjustRightInd w:val="0"/>
                    <w:snapToGrid w:val="0"/>
                    <w:jc w:val="center"/>
                    <w:rPr>
                      <w:rFonts w:hint="default" w:ascii="Times New Roman" w:hAnsi="Times New Roman" w:cs="Times New Roman"/>
                      <w:bCs/>
                      <w:color w:val="auto"/>
                      <w:kern w:val="2"/>
                      <w:sz w:val="21"/>
                      <w:szCs w:val="21"/>
                      <w:lang w:val="en-US" w:eastAsia="zh-CN" w:bidi="ar-SA"/>
                    </w:rPr>
                  </w:pPr>
                  <w:r>
                    <w:rPr>
                      <w:rFonts w:hint="eastAsia" w:cs="Times New Roman"/>
                      <w:b w:val="0"/>
                      <w:bCs w:val="0"/>
                      <w:color w:val="auto"/>
                      <w:kern w:val="2"/>
                      <w:sz w:val="21"/>
                      <w:szCs w:val="21"/>
                      <w:lang w:val="en-US" w:eastAsia="zh-CN" w:bidi="ar-SA"/>
                    </w:rPr>
                    <w:t>0.75</w:t>
                  </w:r>
                </w:p>
              </w:tc>
              <w:tc>
                <w:tcPr>
                  <w:tcW w:w="536" w:type="pct"/>
                  <w:tcBorders>
                    <w:tl2br w:val="nil"/>
                    <w:tr2bl w:val="nil"/>
                  </w:tcBorders>
                  <w:noWrap w:val="0"/>
                  <w:vAlign w:val="center"/>
                </w:tcPr>
                <w:p w14:paraId="7FA3C78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7580B20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29" w:type="pct"/>
                  <w:vMerge w:val="continue"/>
                  <w:tcBorders>
                    <w:tl2br w:val="nil"/>
                    <w:tr2bl w:val="nil"/>
                  </w:tcBorders>
                  <w:noWrap w:val="0"/>
                  <w:vAlign w:val="center"/>
                </w:tcPr>
                <w:p w14:paraId="4FDA566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rPr>
                  </w:pPr>
                </w:p>
              </w:tc>
            </w:tr>
            <w:tr w14:paraId="488815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2" w:type="pct"/>
                  <w:tcBorders>
                    <w:tl2br w:val="nil"/>
                    <w:tr2bl w:val="nil"/>
                  </w:tcBorders>
                  <w:noWrap w:val="0"/>
                  <w:vAlign w:val="center"/>
                </w:tcPr>
                <w:p w14:paraId="6DF993C7">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578" w:type="pct"/>
                  <w:tcBorders>
                    <w:tl2br w:val="nil"/>
                    <w:tr2bl w:val="nil"/>
                  </w:tcBorders>
                  <w:noWrap w:val="0"/>
                  <w:vAlign w:val="center"/>
                </w:tcPr>
                <w:p w14:paraId="49A05445">
                  <w:pPr>
                    <w:pStyle w:val="7"/>
                    <w:adjustRightInd w:val="0"/>
                    <w:snapToGrid w:val="0"/>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废活性炭</w:t>
                  </w:r>
                </w:p>
              </w:tc>
              <w:tc>
                <w:tcPr>
                  <w:tcW w:w="897" w:type="pct"/>
                  <w:tcBorders>
                    <w:tl2br w:val="nil"/>
                    <w:tr2bl w:val="nil"/>
                  </w:tcBorders>
                  <w:noWrap w:val="0"/>
                  <w:vAlign w:val="center"/>
                </w:tcPr>
                <w:p w14:paraId="392833F4">
                  <w:pPr>
                    <w:pStyle w:val="7"/>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废气处理</w:t>
                  </w:r>
                </w:p>
              </w:tc>
              <w:tc>
                <w:tcPr>
                  <w:tcW w:w="351" w:type="pct"/>
                  <w:tcBorders>
                    <w:tl2br w:val="nil"/>
                    <w:tr2bl w:val="nil"/>
                  </w:tcBorders>
                  <w:noWrap w:val="0"/>
                  <w:vAlign w:val="center"/>
                </w:tcPr>
                <w:p w14:paraId="37228D25">
                  <w:pPr>
                    <w:pStyle w:val="7"/>
                    <w:adjustRightInd w:val="0"/>
                    <w:snapToGrid w:val="0"/>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固态</w:t>
                  </w:r>
                </w:p>
              </w:tc>
              <w:tc>
                <w:tcPr>
                  <w:tcW w:w="852" w:type="pct"/>
                  <w:tcBorders>
                    <w:tl2br w:val="nil"/>
                    <w:tr2bl w:val="nil"/>
                  </w:tcBorders>
                  <w:noWrap w:val="0"/>
                  <w:vAlign w:val="center"/>
                </w:tcPr>
                <w:p w14:paraId="6592D2BF">
                  <w:pPr>
                    <w:pStyle w:val="7"/>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废活性炭</w:t>
                  </w:r>
                </w:p>
              </w:tc>
              <w:tc>
                <w:tcPr>
                  <w:tcW w:w="592" w:type="pct"/>
                  <w:tcBorders>
                    <w:tl2br w:val="nil"/>
                    <w:tr2bl w:val="nil"/>
                  </w:tcBorders>
                  <w:noWrap w:val="0"/>
                  <w:vAlign w:val="center"/>
                </w:tcPr>
                <w:p w14:paraId="1DC6A5A0">
                  <w:pPr>
                    <w:adjustRightInd w:val="0"/>
                    <w:snapToGrid w:val="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10.75</w:t>
                  </w:r>
                </w:p>
              </w:tc>
              <w:tc>
                <w:tcPr>
                  <w:tcW w:w="536" w:type="pct"/>
                  <w:tcBorders>
                    <w:tl2br w:val="nil"/>
                    <w:tr2bl w:val="nil"/>
                  </w:tcBorders>
                  <w:noWrap w:val="0"/>
                  <w:vAlign w:val="center"/>
                </w:tcPr>
                <w:p w14:paraId="5FC157F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5B11EF7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29" w:type="pct"/>
                  <w:vMerge w:val="continue"/>
                  <w:tcBorders>
                    <w:tl2br w:val="nil"/>
                    <w:tr2bl w:val="nil"/>
                  </w:tcBorders>
                  <w:noWrap w:val="0"/>
                  <w:vAlign w:val="center"/>
                </w:tcPr>
                <w:p w14:paraId="175F18F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r w14:paraId="2C2BCB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2" w:type="pct"/>
                  <w:vAlign w:val="center"/>
                </w:tcPr>
                <w:p w14:paraId="7DD11162">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7</w:t>
                  </w:r>
                </w:p>
              </w:tc>
              <w:tc>
                <w:tcPr>
                  <w:tcW w:w="578" w:type="pct"/>
                  <w:vAlign w:val="center"/>
                </w:tcPr>
                <w:p w14:paraId="59284439">
                  <w:pPr>
                    <w:pStyle w:val="7"/>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生活垃圾</w:t>
                  </w:r>
                </w:p>
              </w:tc>
              <w:tc>
                <w:tcPr>
                  <w:tcW w:w="897" w:type="pct"/>
                  <w:vAlign w:val="center"/>
                </w:tcPr>
                <w:p w14:paraId="57D76D92">
                  <w:pPr>
                    <w:pStyle w:val="7"/>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日常办公</w:t>
                  </w:r>
                </w:p>
              </w:tc>
              <w:tc>
                <w:tcPr>
                  <w:tcW w:w="351" w:type="pct"/>
                  <w:vAlign w:val="center"/>
                </w:tcPr>
                <w:p w14:paraId="3356562F">
                  <w:pPr>
                    <w:pStyle w:val="7"/>
                    <w:adjustRightInd w:val="0"/>
                    <w:snapToGrid w:val="0"/>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固态</w:t>
                  </w:r>
                </w:p>
              </w:tc>
              <w:tc>
                <w:tcPr>
                  <w:tcW w:w="852" w:type="pct"/>
                  <w:vAlign w:val="center"/>
                </w:tcPr>
                <w:p w14:paraId="195D94E9">
                  <w:pPr>
                    <w:pStyle w:val="7"/>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纸张等</w:t>
                  </w:r>
                </w:p>
              </w:tc>
              <w:tc>
                <w:tcPr>
                  <w:tcW w:w="592" w:type="pct"/>
                  <w:vAlign w:val="center"/>
                </w:tcPr>
                <w:p w14:paraId="3FFCC95C">
                  <w:pPr>
                    <w:adjustRightInd w:val="0"/>
                    <w:snapToGrid w:val="0"/>
                    <w:jc w:val="center"/>
                    <w:rPr>
                      <w:rFonts w:hint="default"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6</w:t>
                  </w:r>
                </w:p>
              </w:tc>
              <w:tc>
                <w:tcPr>
                  <w:tcW w:w="536" w:type="pct"/>
                  <w:vAlign w:val="center"/>
                </w:tcPr>
                <w:p w14:paraId="31468FC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vAlign w:val="center"/>
                </w:tcPr>
                <w:p w14:paraId="1243107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29" w:type="pct"/>
                  <w:vMerge w:val="continue"/>
                  <w:vAlign w:val="center"/>
                </w:tcPr>
                <w:p w14:paraId="089E4E2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bl>
          <w:p w14:paraId="4AE06485">
            <w:pPr>
              <w:adjustRightInd w:val="0"/>
              <w:snapToGrid w:val="0"/>
              <w:spacing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按照《建设项目危险废物环境影响评价指南》（环保部公告</w:t>
            </w:r>
            <w:r>
              <w:rPr>
                <w:rFonts w:hint="eastAsia" w:cs="Times New Roman"/>
                <w:color w:val="auto"/>
                <w:sz w:val="21"/>
                <w:szCs w:val="21"/>
                <w:lang w:eastAsia="zh-CN"/>
              </w:rPr>
              <w:t>〔2017〕43号</w:t>
            </w:r>
            <w:r>
              <w:rPr>
                <w:rFonts w:hint="default" w:ascii="Times New Roman" w:hAnsi="Times New Roman" w:cs="Times New Roman"/>
                <w:color w:val="auto"/>
                <w:sz w:val="21"/>
                <w:szCs w:val="21"/>
              </w:rPr>
              <w:t>）要求，本项目营运期产生的固体废物的名称、类别、属性和数量等情况见</w:t>
            </w:r>
            <w:r>
              <w:rPr>
                <w:rFonts w:hint="default" w:ascii="Times New Roman" w:hAnsi="Times New Roman" w:cs="Times New Roman"/>
                <w:color w:val="auto"/>
                <w:sz w:val="21"/>
                <w:szCs w:val="21"/>
                <w:lang w:val="en-US" w:eastAsia="zh-CN"/>
              </w:rPr>
              <w:t>下</w:t>
            </w:r>
            <w:r>
              <w:rPr>
                <w:rFonts w:hint="default" w:ascii="Times New Roman" w:hAnsi="Times New Roman" w:cs="Times New Roman"/>
                <w:color w:val="auto"/>
                <w:sz w:val="21"/>
                <w:szCs w:val="21"/>
              </w:rPr>
              <w:t>表。</w:t>
            </w:r>
          </w:p>
          <w:p w14:paraId="145E2B04">
            <w:pPr>
              <w:pStyle w:val="63"/>
              <w:keepNext w:val="0"/>
              <w:keepLines w:val="0"/>
              <w:pageBreakBefore w:val="0"/>
              <w:widowControl w:val="0"/>
              <w:tabs>
                <w:tab w:val="left" w:pos="3240"/>
              </w:tabs>
              <w:kinsoku/>
              <w:wordWrap/>
              <w:overflowPunct/>
              <w:topLinePunct w:val="0"/>
              <w:autoSpaceDE/>
              <w:autoSpaceDN/>
              <w:bidi w:val="0"/>
              <w:adjustRightInd w:val="0"/>
              <w:snapToGrid w:val="0"/>
              <w:spacing w:line="500" w:lineRule="atLeast"/>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表4-</w:t>
            </w:r>
            <w:r>
              <w:rPr>
                <w:rFonts w:hint="eastAsia" w:ascii="Times New Roman" w:hAnsi="Times New Roman" w:cs="Times New Roman"/>
                <w:b/>
                <w:color w:val="auto"/>
                <w:sz w:val="21"/>
                <w:szCs w:val="21"/>
                <w:highlight w:val="none"/>
                <w:lang w:val="en-US" w:eastAsia="zh-CN"/>
              </w:rPr>
              <w:t>19 本项目</w:t>
            </w:r>
            <w:r>
              <w:rPr>
                <w:rFonts w:hint="default" w:ascii="Times New Roman" w:hAnsi="Times New Roman" w:eastAsia="宋体" w:cs="Times New Roman"/>
                <w:b/>
                <w:color w:val="auto"/>
                <w:sz w:val="21"/>
                <w:szCs w:val="21"/>
                <w:highlight w:val="none"/>
                <w:lang w:val="en-US" w:eastAsia="zh-CN"/>
              </w:rPr>
              <w:t>固废产生情况</w:t>
            </w:r>
          </w:p>
          <w:tbl>
            <w:tblPr>
              <w:tblStyle w:val="31"/>
              <w:tblW w:w="495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46"/>
              <w:gridCol w:w="981"/>
              <w:gridCol w:w="625"/>
              <w:gridCol w:w="855"/>
              <w:gridCol w:w="556"/>
              <w:gridCol w:w="923"/>
              <w:gridCol w:w="1137"/>
              <w:gridCol w:w="584"/>
              <w:gridCol w:w="718"/>
              <w:gridCol w:w="1211"/>
              <w:gridCol w:w="827"/>
            </w:tblGrid>
            <w:tr w14:paraId="213D69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9" w:hRule="atLeast"/>
                <w:jc w:val="center"/>
              </w:trPr>
              <w:tc>
                <w:tcPr>
                  <w:tcW w:w="197" w:type="pct"/>
                  <w:vAlign w:val="center"/>
                </w:tcPr>
                <w:p w14:paraId="5946F895">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559" w:type="pct"/>
                  <w:vAlign w:val="center"/>
                </w:tcPr>
                <w:p w14:paraId="6CC9D8CA">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固废名称</w:t>
                  </w:r>
                </w:p>
              </w:tc>
              <w:tc>
                <w:tcPr>
                  <w:tcW w:w="356" w:type="pct"/>
                  <w:tcBorders>
                    <w:bottom w:val="single" w:color="auto" w:sz="4" w:space="0"/>
                  </w:tcBorders>
                  <w:vAlign w:val="center"/>
                </w:tcPr>
                <w:p w14:paraId="1152BA37">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属性</w:t>
                  </w:r>
                </w:p>
              </w:tc>
              <w:tc>
                <w:tcPr>
                  <w:tcW w:w="487" w:type="pct"/>
                  <w:vAlign w:val="center"/>
                </w:tcPr>
                <w:p w14:paraId="37180332">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产生来源</w:t>
                  </w:r>
                </w:p>
              </w:tc>
              <w:tc>
                <w:tcPr>
                  <w:tcW w:w="317" w:type="pct"/>
                  <w:vAlign w:val="center"/>
                </w:tcPr>
                <w:p w14:paraId="5AFE908A">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形态</w:t>
                  </w:r>
                </w:p>
              </w:tc>
              <w:tc>
                <w:tcPr>
                  <w:tcW w:w="526" w:type="pct"/>
                  <w:vAlign w:val="center"/>
                </w:tcPr>
                <w:p w14:paraId="0EE2E8C5">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主要成分</w:t>
                  </w:r>
                </w:p>
              </w:tc>
              <w:tc>
                <w:tcPr>
                  <w:tcW w:w="648" w:type="pct"/>
                  <w:vAlign w:val="center"/>
                </w:tcPr>
                <w:p w14:paraId="70CAD6A7">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危险特性鉴别方法</w:t>
                  </w:r>
                </w:p>
              </w:tc>
              <w:tc>
                <w:tcPr>
                  <w:tcW w:w="333" w:type="pct"/>
                  <w:vAlign w:val="center"/>
                </w:tcPr>
                <w:p w14:paraId="78D9E114">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废物特性</w:t>
                  </w:r>
                </w:p>
              </w:tc>
              <w:tc>
                <w:tcPr>
                  <w:tcW w:w="409" w:type="pct"/>
                  <w:vAlign w:val="center"/>
                </w:tcPr>
                <w:p w14:paraId="7633F772">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废物类别</w:t>
                  </w:r>
                </w:p>
              </w:tc>
              <w:tc>
                <w:tcPr>
                  <w:tcW w:w="690" w:type="pct"/>
                  <w:vAlign w:val="center"/>
                </w:tcPr>
                <w:p w14:paraId="32AFE8B0">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废物代码</w:t>
                  </w:r>
                </w:p>
              </w:tc>
              <w:tc>
                <w:tcPr>
                  <w:tcW w:w="471" w:type="pct"/>
                  <w:vAlign w:val="center"/>
                </w:tcPr>
                <w:p w14:paraId="469F249C">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估算产生量（t/a）</w:t>
                  </w:r>
                </w:p>
              </w:tc>
            </w:tr>
            <w:tr w14:paraId="721246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6DD12AE0">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59" w:type="pct"/>
                  <w:vAlign w:val="center"/>
                </w:tcPr>
                <w:p w14:paraId="0CD36B7F">
                  <w:pPr>
                    <w:pStyle w:val="7"/>
                    <w:adjustRightInd w:val="0"/>
                    <w:snapToGrid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边角料</w:t>
                  </w:r>
                </w:p>
              </w:tc>
              <w:tc>
                <w:tcPr>
                  <w:tcW w:w="356" w:type="pct"/>
                  <w:vMerge w:val="restart"/>
                  <w:tcBorders>
                    <w:top w:val="single" w:color="auto" w:sz="4" w:space="0"/>
                  </w:tcBorders>
                  <w:vAlign w:val="center"/>
                </w:tcPr>
                <w:p w14:paraId="32B02AF2">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w:t>
                  </w:r>
                </w:p>
              </w:tc>
              <w:tc>
                <w:tcPr>
                  <w:tcW w:w="487" w:type="pct"/>
                  <w:vAlign w:val="center"/>
                </w:tcPr>
                <w:p w14:paraId="79B4A149">
                  <w:pPr>
                    <w:pStyle w:val="7"/>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分切</w:t>
                  </w:r>
                </w:p>
              </w:tc>
              <w:tc>
                <w:tcPr>
                  <w:tcW w:w="317" w:type="pct"/>
                  <w:vAlign w:val="center"/>
                </w:tcPr>
                <w:p w14:paraId="52C79E37">
                  <w:pPr>
                    <w:pStyle w:val="7"/>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固态</w:t>
                  </w:r>
                </w:p>
              </w:tc>
              <w:tc>
                <w:tcPr>
                  <w:tcW w:w="526" w:type="pct"/>
                  <w:vAlign w:val="center"/>
                </w:tcPr>
                <w:p w14:paraId="59ABD085">
                  <w:pPr>
                    <w:pStyle w:val="7"/>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塑料</w:t>
                  </w:r>
                </w:p>
              </w:tc>
              <w:tc>
                <w:tcPr>
                  <w:tcW w:w="648" w:type="pct"/>
                  <w:vMerge w:val="restart"/>
                  <w:vAlign w:val="center"/>
                </w:tcPr>
                <w:p w14:paraId="6CF62A9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《固体废物分类与代码目录》</w:t>
                  </w:r>
                </w:p>
              </w:tc>
              <w:tc>
                <w:tcPr>
                  <w:tcW w:w="333" w:type="pct"/>
                  <w:vAlign w:val="center"/>
                </w:tcPr>
                <w:p w14:paraId="5D4B0A91">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09" w:type="pct"/>
                  <w:vAlign w:val="center"/>
                </w:tcPr>
                <w:p w14:paraId="2FE59490">
                  <w:pPr>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SW17</w:t>
                  </w:r>
                </w:p>
              </w:tc>
              <w:tc>
                <w:tcPr>
                  <w:tcW w:w="690" w:type="pct"/>
                  <w:vAlign w:val="center"/>
                </w:tcPr>
                <w:p w14:paraId="345F7F40">
                  <w:pPr>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900-003-S17</w:t>
                  </w:r>
                </w:p>
              </w:tc>
              <w:tc>
                <w:tcPr>
                  <w:tcW w:w="471" w:type="pct"/>
                  <w:vAlign w:val="center"/>
                </w:tcPr>
                <w:p w14:paraId="1C97891B">
                  <w:pPr>
                    <w:adjustRightInd w:val="0"/>
                    <w:snapToGrid w:val="0"/>
                    <w:jc w:val="center"/>
                    <w:rPr>
                      <w:rFonts w:hint="default" w:ascii="Times New Roman" w:hAnsi="Times New Roman" w:cs="Times New Roman"/>
                      <w:color w:val="auto"/>
                      <w:sz w:val="21"/>
                      <w:szCs w:val="21"/>
                      <w:lang w:val="en-US" w:eastAsia="zh-CN"/>
                    </w:rPr>
                  </w:pPr>
                  <w:r>
                    <w:rPr>
                      <w:rFonts w:hint="eastAsia" w:cs="Times New Roman"/>
                      <w:bCs/>
                      <w:color w:val="auto"/>
                      <w:kern w:val="2"/>
                      <w:sz w:val="21"/>
                      <w:szCs w:val="21"/>
                      <w:lang w:val="en-US" w:eastAsia="zh-CN" w:bidi="ar-SA"/>
                    </w:rPr>
                    <w:t>3</w:t>
                  </w:r>
                </w:p>
              </w:tc>
            </w:tr>
            <w:tr w14:paraId="5B5FAC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24723113">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559" w:type="pct"/>
                  <w:vAlign w:val="center"/>
                </w:tcPr>
                <w:p w14:paraId="0F5C2640">
                  <w:pPr>
                    <w:pStyle w:val="7"/>
                    <w:adjustRightInd w:val="0"/>
                    <w:snapToGrid w:val="0"/>
                    <w:ind w:firstLine="0" w:firstLineChars="0"/>
                    <w:jc w:val="center"/>
                    <w:rPr>
                      <w:rFonts w:hint="eastAsia" w:cs="Times New Roman"/>
                      <w:b w:val="0"/>
                      <w:bCs w:val="0"/>
                      <w:color w:val="auto"/>
                      <w:sz w:val="21"/>
                      <w:szCs w:val="21"/>
                      <w:lang w:val="en-US" w:eastAsia="zh-CN"/>
                    </w:rPr>
                  </w:pPr>
                  <w:r>
                    <w:rPr>
                      <w:rFonts w:hint="eastAsia" w:ascii="Times New Roman" w:hAnsi="Times New Roman" w:cs="Times New Roman"/>
                      <w:color w:val="auto"/>
                      <w:sz w:val="21"/>
                      <w:szCs w:val="21"/>
                      <w:lang w:val="en-US" w:eastAsia="zh-CN"/>
                    </w:rPr>
                    <w:t>次品</w:t>
                  </w:r>
                </w:p>
              </w:tc>
              <w:tc>
                <w:tcPr>
                  <w:tcW w:w="356" w:type="pct"/>
                  <w:vMerge w:val="continue"/>
                  <w:vAlign w:val="center"/>
                </w:tcPr>
                <w:p w14:paraId="5950D13A">
                  <w:pPr>
                    <w:adjustRightInd w:val="0"/>
                    <w:snapToGrid w:val="0"/>
                    <w:jc w:val="center"/>
                    <w:rPr>
                      <w:rFonts w:hint="default" w:ascii="Times New Roman" w:hAnsi="Times New Roman" w:cs="Times New Roman"/>
                      <w:color w:val="auto"/>
                      <w:sz w:val="21"/>
                      <w:szCs w:val="21"/>
                    </w:rPr>
                  </w:pPr>
                </w:p>
              </w:tc>
              <w:tc>
                <w:tcPr>
                  <w:tcW w:w="487" w:type="pct"/>
                  <w:vAlign w:val="center"/>
                </w:tcPr>
                <w:p w14:paraId="4E5B907E">
                  <w:pPr>
                    <w:pStyle w:val="7"/>
                    <w:adjustRightInd w:val="0"/>
                    <w:snapToGrid w:val="0"/>
                    <w:ind w:firstLine="0" w:firstLineChars="0"/>
                    <w:jc w:val="center"/>
                    <w:rPr>
                      <w:rFonts w:hint="eastAsia" w:cs="Times New Roman"/>
                      <w:b w:val="0"/>
                      <w:bCs w:val="0"/>
                      <w:color w:val="auto"/>
                      <w:sz w:val="21"/>
                      <w:szCs w:val="21"/>
                      <w:lang w:val="en-US" w:eastAsia="zh-CN"/>
                    </w:rPr>
                  </w:pPr>
                  <w:r>
                    <w:rPr>
                      <w:rFonts w:hint="eastAsia" w:ascii="Times New Roman" w:hAnsi="Times New Roman" w:cs="Times New Roman"/>
                      <w:color w:val="auto"/>
                      <w:sz w:val="21"/>
                      <w:szCs w:val="21"/>
                      <w:lang w:val="en-US" w:eastAsia="zh-CN"/>
                    </w:rPr>
                    <w:t>检验</w:t>
                  </w:r>
                </w:p>
              </w:tc>
              <w:tc>
                <w:tcPr>
                  <w:tcW w:w="317" w:type="pct"/>
                  <w:vAlign w:val="center"/>
                </w:tcPr>
                <w:p w14:paraId="50C8DF34">
                  <w:pPr>
                    <w:pStyle w:val="7"/>
                    <w:adjustRightInd w:val="0"/>
                    <w:snapToGrid w:val="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固态</w:t>
                  </w:r>
                </w:p>
              </w:tc>
              <w:tc>
                <w:tcPr>
                  <w:tcW w:w="526" w:type="pct"/>
                  <w:vAlign w:val="center"/>
                </w:tcPr>
                <w:p w14:paraId="5B17AE75">
                  <w:pPr>
                    <w:pStyle w:val="7"/>
                    <w:adjustRightInd w:val="0"/>
                    <w:snapToGrid w:val="0"/>
                    <w:ind w:firstLine="0" w:firstLineChars="0"/>
                    <w:jc w:val="center"/>
                    <w:rPr>
                      <w:rFonts w:hint="eastAsia"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塑料</w:t>
                  </w:r>
                </w:p>
              </w:tc>
              <w:tc>
                <w:tcPr>
                  <w:tcW w:w="648" w:type="pct"/>
                  <w:vMerge w:val="continue"/>
                  <w:vAlign w:val="center"/>
                </w:tcPr>
                <w:p w14:paraId="03E73073">
                  <w:pPr>
                    <w:adjustRightInd w:val="0"/>
                    <w:snapToGrid w:val="0"/>
                    <w:jc w:val="center"/>
                    <w:rPr>
                      <w:rFonts w:hint="default" w:ascii="Times New Roman" w:hAnsi="Times New Roman" w:cs="Times New Roman"/>
                      <w:color w:val="auto"/>
                      <w:sz w:val="21"/>
                      <w:szCs w:val="21"/>
                    </w:rPr>
                  </w:pPr>
                </w:p>
              </w:tc>
              <w:tc>
                <w:tcPr>
                  <w:tcW w:w="333" w:type="pct"/>
                  <w:vAlign w:val="center"/>
                </w:tcPr>
                <w:p w14:paraId="0CC4DBEF">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09" w:type="pct"/>
                  <w:vAlign w:val="center"/>
                </w:tcPr>
                <w:p w14:paraId="6C9C5786">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SW17</w:t>
                  </w:r>
                </w:p>
              </w:tc>
              <w:tc>
                <w:tcPr>
                  <w:tcW w:w="690" w:type="pct"/>
                  <w:vAlign w:val="center"/>
                </w:tcPr>
                <w:p w14:paraId="526E5260">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900-003-S17</w:t>
                  </w:r>
                </w:p>
              </w:tc>
              <w:tc>
                <w:tcPr>
                  <w:tcW w:w="471" w:type="pct"/>
                  <w:vAlign w:val="center"/>
                </w:tcPr>
                <w:p w14:paraId="50998647">
                  <w:pPr>
                    <w:adjustRightInd w:val="0"/>
                    <w:snapToGrid w:val="0"/>
                    <w:jc w:val="center"/>
                    <w:rPr>
                      <w:rFonts w:hint="eastAsia" w:cs="Times New Roman"/>
                      <w:b w:val="0"/>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5</w:t>
                  </w:r>
                </w:p>
              </w:tc>
            </w:tr>
            <w:tr w14:paraId="7A729F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4BA70AD9">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559" w:type="pct"/>
                  <w:vAlign w:val="center"/>
                </w:tcPr>
                <w:p w14:paraId="51D4A278">
                  <w:pPr>
                    <w:pStyle w:val="7"/>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eastAsia"/>
                      <w:color w:val="auto"/>
                      <w:szCs w:val="21"/>
                    </w:rPr>
                    <w:t>废包装材料</w:t>
                  </w:r>
                </w:p>
              </w:tc>
              <w:tc>
                <w:tcPr>
                  <w:tcW w:w="356" w:type="pct"/>
                  <w:vMerge w:val="continue"/>
                  <w:vAlign w:val="center"/>
                </w:tcPr>
                <w:p w14:paraId="60625A4F">
                  <w:pPr>
                    <w:adjustRightInd w:val="0"/>
                    <w:snapToGrid w:val="0"/>
                    <w:jc w:val="center"/>
                    <w:rPr>
                      <w:rFonts w:hint="default" w:ascii="Times New Roman" w:hAnsi="Times New Roman" w:cs="Times New Roman"/>
                      <w:color w:val="auto"/>
                      <w:sz w:val="21"/>
                      <w:szCs w:val="21"/>
                    </w:rPr>
                  </w:pPr>
                </w:p>
              </w:tc>
              <w:tc>
                <w:tcPr>
                  <w:tcW w:w="487" w:type="pct"/>
                  <w:vAlign w:val="center"/>
                </w:tcPr>
                <w:p w14:paraId="65314527">
                  <w:pPr>
                    <w:pStyle w:val="7"/>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塑料膜包装</w:t>
                  </w:r>
                </w:p>
              </w:tc>
              <w:tc>
                <w:tcPr>
                  <w:tcW w:w="317" w:type="pct"/>
                  <w:vAlign w:val="center"/>
                </w:tcPr>
                <w:p w14:paraId="728835D3">
                  <w:pPr>
                    <w:pStyle w:val="7"/>
                    <w:adjustRightInd w:val="0"/>
                    <w:snapToGrid w:val="0"/>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固态</w:t>
                  </w:r>
                </w:p>
              </w:tc>
              <w:tc>
                <w:tcPr>
                  <w:tcW w:w="526" w:type="pct"/>
                  <w:vAlign w:val="center"/>
                </w:tcPr>
                <w:p w14:paraId="22F81D31">
                  <w:pPr>
                    <w:pStyle w:val="7"/>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塑料</w:t>
                  </w:r>
                </w:p>
              </w:tc>
              <w:tc>
                <w:tcPr>
                  <w:tcW w:w="648" w:type="pct"/>
                  <w:vMerge w:val="continue"/>
                  <w:vAlign w:val="center"/>
                </w:tcPr>
                <w:p w14:paraId="39903EBA">
                  <w:pPr>
                    <w:adjustRightInd w:val="0"/>
                    <w:snapToGrid w:val="0"/>
                    <w:jc w:val="center"/>
                    <w:rPr>
                      <w:rFonts w:hint="default" w:ascii="Times New Roman" w:hAnsi="Times New Roman" w:cs="Times New Roman"/>
                      <w:color w:val="auto"/>
                      <w:sz w:val="21"/>
                      <w:szCs w:val="21"/>
                    </w:rPr>
                  </w:pPr>
                </w:p>
              </w:tc>
              <w:tc>
                <w:tcPr>
                  <w:tcW w:w="333" w:type="pct"/>
                  <w:vAlign w:val="center"/>
                </w:tcPr>
                <w:p w14:paraId="2BBA29E8">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09" w:type="pct"/>
                  <w:vAlign w:val="center"/>
                </w:tcPr>
                <w:p w14:paraId="0305647F">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SW17</w:t>
                  </w:r>
                </w:p>
              </w:tc>
              <w:tc>
                <w:tcPr>
                  <w:tcW w:w="690" w:type="pct"/>
                  <w:vAlign w:val="center"/>
                </w:tcPr>
                <w:p w14:paraId="23674CAE">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900-003-S17</w:t>
                  </w:r>
                </w:p>
              </w:tc>
              <w:tc>
                <w:tcPr>
                  <w:tcW w:w="471" w:type="pct"/>
                  <w:vAlign w:val="center"/>
                </w:tcPr>
                <w:p w14:paraId="031046B5">
                  <w:pPr>
                    <w:adjustRightInd w:val="0"/>
                    <w:snapToGrid w:val="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w:t>
                  </w:r>
                </w:p>
              </w:tc>
            </w:tr>
            <w:tr w14:paraId="311AE9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61E9B521">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559" w:type="pct"/>
                  <w:vAlign w:val="center"/>
                </w:tcPr>
                <w:p w14:paraId="16CFB824">
                  <w:pPr>
                    <w:pStyle w:val="7"/>
                    <w:adjustRightInd w:val="0"/>
                    <w:snapToGrid w:val="0"/>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b w:val="0"/>
                      <w:bCs w:val="0"/>
                      <w:color w:val="auto"/>
                      <w:kern w:val="2"/>
                      <w:sz w:val="21"/>
                      <w:szCs w:val="21"/>
                      <w:lang w:val="en-US" w:eastAsia="zh-CN" w:bidi="ar-SA"/>
                    </w:rPr>
                    <w:t>含油墨</w:t>
                  </w:r>
                  <w:r>
                    <w:rPr>
                      <w:rFonts w:hint="default" w:ascii="Times New Roman" w:hAnsi="Times New Roman" w:eastAsia="宋体" w:cs="Times New Roman"/>
                      <w:b w:val="0"/>
                      <w:bCs w:val="0"/>
                      <w:color w:val="auto"/>
                      <w:kern w:val="2"/>
                      <w:sz w:val="21"/>
                      <w:szCs w:val="21"/>
                      <w:lang w:val="en-US" w:eastAsia="zh-CN" w:bidi="ar-SA"/>
                    </w:rPr>
                    <w:t>废抹布</w:t>
                  </w:r>
                </w:p>
              </w:tc>
              <w:tc>
                <w:tcPr>
                  <w:tcW w:w="356" w:type="pct"/>
                  <w:vMerge w:val="restart"/>
                  <w:vAlign w:val="center"/>
                </w:tcPr>
                <w:p w14:paraId="642ABBD7">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危险固废</w:t>
                  </w:r>
                </w:p>
              </w:tc>
              <w:tc>
                <w:tcPr>
                  <w:tcW w:w="487" w:type="pct"/>
                  <w:vAlign w:val="center"/>
                </w:tcPr>
                <w:p w14:paraId="076BEFFC">
                  <w:pPr>
                    <w:pStyle w:val="7"/>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墨辊</w:t>
                  </w:r>
                  <w:r>
                    <w:rPr>
                      <w:rFonts w:hint="eastAsia" w:ascii="Times New Roman" w:hAnsi="Times New Roman" w:cs="Times New Roman"/>
                      <w:b w:val="0"/>
                      <w:bCs w:val="0"/>
                      <w:color w:val="auto"/>
                      <w:kern w:val="2"/>
                      <w:sz w:val="21"/>
                      <w:szCs w:val="21"/>
                      <w:lang w:val="en-US" w:eastAsia="zh-CN" w:bidi="ar-SA"/>
                    </w:rPr>
                    <w:t>清洁</w:t>
                  </w:r>
                </w:p>
              </w:tc>
              <w:tc>
                <w:tcPr>
                  <w:tcW w:w="317" w:type="pct"/>
                  <w:vAlign w:val="center"/>
                </w:tcPr>
                <w:p w14:paraId="540FAE4D">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固态</w:t>
                  </w:r>
                </w:p>
              </w:tc>
              <w:tc>
                <w:tcPr>
                  <w:tcW w:w="526" w:type="pct"/>
                  <w:vAlign w:val="center"/>
                </w:tcPr>
                <w:p w14:paraId="2750D8BE">
                  <w:pPr>
                    <w:pStyle w:val="7"/>
                    <w:adjustRightInd w:val="0"/>
                    <w:snapToGrid w:val="0"/>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b w:val="0"/>
                      <w:bCs w:val="0"/>
                      <w:color w:val="auto"/>
                      <w:kern w:val="2"/>
                      <w:sz w:val="21"/>
                      <w:szCs w:val="21"/>
                      <w:lang w:val="en-US" w:eastAsia="zh-CN" w:bidi="ar-SA"/>
                    </w:rPr>
                    <w:t>油墨</w:t>
                  </w:r>
                  <w:r>
                    <w:rPr>
                      <w:rFonts w:hint="eastAsia" w:ascii="Times New Roman" w:hAnsi="Times New Roman" w:cs="Times New Roman"/>
                      <w:color w:val="auto"/>
                      <w:sz w:val="21"/>
                      <w:szCs w:val="21"/>
                      <w:lang w:val="en-US" w:eastAsia="zh-CN"/>
                    </w:rPr>
                    <w:t>、布</w:t>
                  </w:r>
                </w:p>
              </w:tc>
              <w:tc>
                <w:tcPr>
                  <w:tcW w:w="648" w:type="pct"/>
                  <w:vMerge w:val="restart"/>
                  <w:vAlign w:val="center"/>
                </w:tcPr>
                <w:p w14:paraId="2CD15EC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《国家危险废物名录》（202</w:t>
                  </w:r>
                  <w:r>
                    <w:rPr>
                      <w:rFonts w:hint="eastAsia" w:cs="Times New Roman"/>
                      <w:color w:val="auto"/>
                      <w:sz w:val="21"/>
                      <w:szCs w:val="21"/>
                      <w:lang w:val="en-US" w:eastAsia="zh-CN"/>
                    </w:rPr>
                    <w:t>5</w:t>
                  </w:r>
                  <w:r>
                    <w:rPr>
                      <w:rFonts w:hint="default" w:ascii="Times New Roman" w:hAnsi="Times New Roman" w:cs="Times New Roman"/>
                      <w:color w:val="auto"/>
                      <w:sz w:val="21"/>
                      <w:szCs w:val="21"/>
                    </w:rPr>
                    <w:t>年）</w:t>
                  </w:r>
                </w:p>
              </w:tc>
              <w:tc>
                <w:tcPr>
                  <w:tcW w:w="333" w:type="pct"/>
                  <w:vAlign w:val="center"/>
                </w:tcPr>
                <w:p w14:paraId="456B2BD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T/In</w:t>
                  </w:r>
                </w:p>
              </w:tc>
              <w:tc>
                <w:tcPr>
                  <w:tcW w:w="409" w:type="pct"/>
                  <w:vAlign w:val="center"/>
                </w:tcPr>
                <w:p w14:paraId="12A4773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HW49</w:t>
                  </w:r>
                </w:p>
              </w:tc>
              <w:tc>
                <w:tcPr>
                  <w:tcW w:w="690" w:type="pct"/>
                  <w:vAlign w:val="center"/>
                </w:tcPr>
                <w:p w14:paraId="1C30C545">
                  <w:pPr>
                    <w:adjustRightInd w:val="0"/>
                    <w:snapToGrid w:val="0"/>
                    <w:jc w:val="center"/>
                    <w:rPr>
                      <w:bCs/>
                      <w:color w:val="auto"/>
                      <w:sz w:val="21"/>
                      <w:szCs w:val="21"/>
                    </w:rPr>
                  </w:pPr>
                  <w:r>
                    <w:rPr>
                      <w:rFonts w:hint="default" w:ascii="Times New Roman" w:hAnsi="Times New Roman" w:eastAsia="宋体" w:cs="Times New Roman"/>
                      <w:color w:val="auto"/>
                      <w:sz w:val="21"/>
                      <w:szCs w:val="21"/>
                    </w:rPr>
                    <w:t>900-041-49</w:t>
                  </w:r>
                </w:p>
              </w:tc>
              <w:tc>
                <w:tcPr>
                  <w:tcW w:w="471" w:type="pct"/>
                  <w:vAlign w:val="center"/>
                </w:tcPr>
                <w:p w14:paraId="462118A9">
                  <w:pPr>
                    <w:adjustRightInd w:val="0"/>
                    <w:snapToGrid w:val="0"/>
                    <w:jc w:val="center"/>
                    <w:rPr>
                      <w:rFonts w:hint="default" w:cs="Times New Roman"/>
                      <w:color w:val="auto"/>
                      <w:kern w:val="2"/>
                      <w:sz w:val="21"/>
                      <w:szCs w:val="21"/>
                      <w:lang w:val="en-US" w:eastAsia="zh-CN" w:bidi="ar-SA"/>
                    </w:rPr>
                  </w:pPr>
                  <w:r>
                    <w:rPr>
                      <w:rFonts w:hint="eastAsia" w:cs="Times New Roman"/>
                      <w:bCs/>
                      <w:color w:val="auto"/>
                      <w:kern w:val="2"/>
                      <w:sz w:val="21"/>
                      <w:szCs w:val="21"/>
                      <w:lang w:val="en-US" w:eastAsia="zh-CN" w:bidi="ar-SA"/>
                    </w:rPr>
                    <w:t>0.1</w:t>
                  </w:r>
                </w:p>
              </w:tc>
            </w:tr>
            <w:tr w14:paraId="0A238F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2A76B327">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559" w:type="pct"/>
                  <w:vAlign w:val="center"/>
                </w:tcPr>
                <w:p w14:paraId="2363D1E0">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废包装桶</w:t>
                  </w:r>
                </w:p>
              </w:tc>
              <w:tc>
                <w:tcPr>
                  <w:tcW w:w="356" w:type="pct"/>
                  <w:vMerge w:val="continue"/>
                  <w:vAlign w:val="center"/>
                </w:tcPr>
                <w:p w14:paraId="2A5270CF">
                  <w:pPr>
                    <w:adjustRightInd w:val="0"/>
                    <w:snapToGrid w:val="0"/>
                    <w:jc w:val="center"/>
                    <w:rPr>
                      <w:rFonts w:hint="default" w:ascii="Times New Roman" w:hAnsi="Times New Roman" w:cs="Times New Roman"/>
                      <w:color w:val="auto"/>
                      <w:sz w:val="21"/>
                      <w:szCs w:val="21"/>
                    </w:rPr>
                  </w:pPr>
                </w:p>
              </w:tc>
              <w:tc>
                <w:tcPr>
                  <w:tcW w:w="487" w:type="pct"/>
                  <w:vAlign w:val="center"/>
                </w:tcPr>
                <w:p w14:paraId="4692DF4A">
                  <w:pPr>
                    <w:pStyle w:val="7"/>
                    <w:adjustRightInd w:val="0"/>
                    <w:snapToGrid w:val="0"/>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液体原料包装</w:t>
                  </w:r>
                </w:p>
              </w:tc>
              <w:tc>
                <w:tcPr>
                  <w:tcW w:w="317" w:type="pct"/>
                  <w:vAlign w:val="center"/>
                </w:tcPr>
                <w:p w14:paraId="3B6E5E9B">
                  <w:pPr>
                    <w:pStyle w:val="7"/>
                    <w:adjustRightInd w:val="0"/>
                    <w:snapToGrid w:val="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液态</w:t>
                  </w:r>
                </w:p>
              </w:tc>
              <w:tc>
                <w:tcPr>
                  <w:tcW w:w="526" w:type="pct"/>
                  <w:vAlign w:val="center"/>
                </w:tcPr>
                <w:p w14:paraId="31BB0DE0">
                  <w:pPr>
                    <w:pStyle w:val="7"/>
                    <w:adjustRightInd w:val="0"/>
                    <w:snapToGrid w:val="0"/>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油墨、胶水等</w:t>
                  </w:r>
                </w:p>
              </w:tc>
              <w:tc>
                <w:tcPr>
                  <w:tcW w:w="648" w:type="pct"/>
                  <w:vMerge w:val="continue"/>
                  <w:vAlign w:val="center"/>
                </w:tcPr>
                <w:p w14:paraId="0FA2A63F">
                  <w:pPr>
                    <w:adjustRightInd w:val="0"/>
                    <w:snapToGrid w:val="0"/>
                    <w:jc w:val="center"/>
                    <w:rPr>
                      <w:rFonts w:hint="default" w:ascii="Times New Roman" w:hAnsi="Times New Roman" w:cs="Times New Roman"/>
                      <w:color w:val="auto"/>
                      <w:sz w:val="21"/>
                      <w:szCs w:val="21"/>
                    </w:rPr>
                  </w:pPr>
                </w:p>
              </w:tc>
              <w:tc>
                <w:tcPr>
                  <w:tcW w:w="333" w:type="pct"/>
                  <w:vAlign w:val="center"/>
                </w:tcPr>
                <w:p w14:paraId="5C4FF7E2">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T/In</w:t>
                  </w:r>
                </w:p>
              </w:tc>
              <w:tc>
                <w:tcPr>
                  <w:tcW w:w="409" w:type="pct"/>
                  <w:vAlign w:val="center"/>
                </w:tcPr>
                <w:p w14:paraId="30BABB76">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HW49</w:t>
                  </w:r>
                </w:p>
              </w:tc>
              <w:tc>
                <w:tcPr>
                  <w:tcW w:w="690" w:type="pct"/>
                  <w:vAlign w:val="center"/>
                </w:tcPr>
                <w:p w14:paraId="1DDD2375">
                  <w:pPr>
                    <w:adjustRightInd w:val="0"/>
                    <w:snapToGrid w:val="0"/>
                    <w:jc w:val="center"/>
                    <w:rPr>
                      <w:rFonts w:hint="eastAsia" w:cs="Times New Roman"/>
                      <w:color w:val="auto"/>
                      <w:sz w:val="21"/>
                      <w:szCs w:val="21"/>
                      <w:lang w:val="en-US" w:eastAsia="zh-CN"/>
                    </w:rPr>
                  </w:pPr>
                  <w:r>
                    <w:rPr>
                      <w:rFonts w:hint="default" w:ascii="Times New Roman" w:hAnsi="Times New Roman" w:eastAsia="宋体" w:cs="Times New Roman"/>
                      <w:color w:val="auto"/>
                      <w:sz w:val="21"/>
                      <w:szCs w:val="21"/>
                    </w:rPr>
                    <w:t>900-041-49</w:t>
                  </w:r>
                </w:p>
              </w:tc>
              <w:tc>
                <w:tcPr>
                  <w:tcW w:w="471" w:type="pct"/>
                  <w:vAlign w:val="center"/>
                </w:tcPr>
                <w:p w14:paraId="7E528183">
                  <w:pPr>
                    <w:adjustRightInd w:val="0"/>
                    <w:snapToGrid w:val="0"/>
                    <w:jc w:val="center"/>
                    <w:rPr>
                      <w:rFonts w:hint="eastAsia" w:cs="Times New Roman"/>
                      <w:b w:val="0"/>
                      <w:bCs/>
                      <w:color w:val="auto"/>
                      <w:sz w:val="21"/>
                      <w:szCs w:val="21"/>
                      <w:lang w:val="en-US" w:eastAsia="zh-CN"/>
                    </w:rPr>
                  </w:pPr>
                  <w:r>
                    <w:rPr>
                      <w:rFonts w:hint="eastAsia" w:cs="Times New Roman"/>
                      <w:b w:val="0"/>
                      <w:bCs w:val="0"/>
                      <w:color w:val="auto"/>
                      <w:kern w:val="2"/>
                      <w:sz w:val="21"/>
                      <w:szCs w:val="21"/>
                      <w:lang w:val="en-US" w:eastAsia="zh-CN" w:bidi="ar-SA"/>
                    </w:rPr>
                    <w:t>0.75</w:t>
                  </w:r>
                </w:p>
              </w:tc>
            </w:tr>
            <w:tr w14:paraId="25DA8D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5F3ADD81">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559" w:type="pct"/>
                  <w:vAlign w:val="center"/>
                </w:tcPr>
                <w:p w14:paraId="20E5DDAE">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废活性炭</w:t>
                  </w:r>
                </w:p>
              </w:tc>
              <w:tc>
                <w:tcPr>
                  <w:tcW w:w="356" w:type="pct"/>
                  <w:vMerge w:val="continue"/>
                  <w:vAlign w:val="center"/>
                </w:tcPr>
                <w:p w14:paraId="6BABF760">
                  <w:pPr>
                    <w:adjustRightInd w:val="0"/>
                    <w:snapToGrid w:val="0"/>
                    <w:jc w:val="center"/>
                    <w:rPr>
                      <w:rFonts w:hint="default" w:ascii="Times New Roman" w:hAnsi="Times New Roman" w:cs="Times New Roman"/>
                      <w:color w:val="auto"/>
                      <w:sz w:val="21"/>
                      <w:szCs w:val="21"/>
                    </w:rPr>
                  </w:pPr>
                </w:p>
              </w:tc>
              <w:tc>
                <w:tcPr>
                  <w:tcW w:w="487" w:type="pct"/>
                  <w:vAlign w:val="center"/>
                </w:tcPr>
                <w:p w14:paraId="5A7653CE">
                  <w:pPr>
                    <w:pStyle w:val="7"/>
                    <w:adjustRightInd w:val="0"/>
                    <w:snapToGrid w:val="0"/>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废气处理</w:t>
                  </w:r>
                </w:p>
              </w:tc>
              <w:tc>
                <w:tcPr>
                  <w:tcW w:w="317" w:type="pct"/>
                  <w:vAlign w:val="center"/>
                </w:tcPr>
                <w:p w14:paraId="1D0D077F">
                  <w:pPr>
                    <w:pStyle w:val="7"/>
                    <w:adjustRightInd w:val="0"/>
                    <w:snapToGrid w:val="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固态</w:t>
                  </w:r>
                </w:p>
              </w:tc>
              <w:tc>
                <w:tcPr>
                  <w:tcW w:w="526" w:type="pct"/>
                  <w:vAlign w:val="center"/>
                </w:tcPr>
                <w:p w14:paraId="1577B4A0">
                  <w:pPr>
                    <w:pStyle w:val="7"/>
                    <w:adjustRightInd w:val="0"/>
                    <w:snapToGrid w:val="0"/>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废活性炭</w:t>
                  </w:r>
                </w:p>
              </w:tc>
              <w:tc>
                <w:tcPr>
                  <w:tcW w:w="648" w:type="pct"/>
                  <w:vMerge w:val="continue"/>
                  <w:vAlign w:val="center"/>
                </w:tcPr>
                <w:p w14:paraId="32B50B65">
                  <w:pPr>
                    <w:adjustRightInd w:val="0"/>
                    <w:snapToGrid w:val="0"/>
                    <w:jc w:val="center"/>
                    <w:rPr>
                      <w:rFonts w:hint="default" w:ascii="Times New Roman" w:hAnsi="Times New Roman" w:cs="Times New Roman"/>
                      <w:color w:val="auto"/>
                      <w:sz w:val="21"/>
                      <w:szCs w:val="21"/>
                    </w:rPr>
                  </w:pPr>
                </w:p>
              </w:tc>
              <w:tc>
                <w:tcPr>
                  <w:tcW w:w="333" w:type="pct"/>
                  <w:vAlign w:val="center"/>
                </w:tcPr>
                <w:p w14:paraId="48E7A58D">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w:t>
                  </w:r>
                </w:p>
              </w:tc>
              <w:tc>
                <w:tcPr>
                  <w:tcW w:w="409" w:type="pct"/>
                  <w:vAlign w:val="center"/>
                </w:tcPr>
                <w:p w14:paraId="3EFEE986">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HW49</w:t>
                  </w:r>
                </w:p>
              </w:tc>
              <w:tc>
                <w:tcPr>
                  <w:tcW w:w="690" w:type="pct"/>
                  <w:vAlign w:val="center"/>
                </w:tcPr>
                <w:p w14:paraId="29330A93">
                  <w:pPr>
                    <w:snapToGrid w:val="0"/>
                    <w:jc w:val="center"/>
                    <w:rPr>
                      <w:rFonts w:hint="eastAsia" w:cs="Times New Roman"/>
                      <w:color w:val="auto"/>
                      <w:sz w:val="21"/>
                      <w:szCs w:val="21"/>
                      <w:lang w:val="en-US" w:eastAsia="zh-CN"/>
                    </w:rPr>
                  </w:pPr>
                  <w:r>
                    <w:rPr>
                      <w:rFonts w:hint="default" w:ascii="Times New Roman" w:hAnsi="Times New Roman" w:cs="Times New Roman"/>
                      <w:color w:val="auto"/>
                      <w:sz w:val="21"/>
                      <w:szCs w:val="21"/>
                    </w:rPr>
                    <w:t>900-039-49</w:t>
                  </w:r>
                </w:p>
              </w:tc>
              <w:tc>
                <w:tcPr>
                  <w:tcW w:w="471" w:type="pct"/>
                  <w:vAlign w:val="center"/>
                </w:tcPr>
                <w:p w14:paraId="7F4037B1">
                  <w:pPr>
                    <w:adjustRightInd w:val="0"/>
                    <w:snapToGrid w:val="0"/>
                    <w:jc w:val="center"/>
                    <w:rPr>
                      <w:rFonts w:hint="eastAsia" w:cs="Times New Roman"/>
                      <w:b w:val="0"/>
                      <w:bCs/>
                      <w:color w:val="auto"/>
                      <w:sz w:val="21"/>
                      <w:szCs w:val="21"/>
                      <w:lang w:val="en-US" w:eastAsia="zh-CN"/>
                    </w:rPr>
                  </w:pPr>
                  <w:r>
                    <w:rPr>
                      <w:rFonts w:hint="eastAsia" w:cs="Times New Roman"/>
                      <w:bCs/>
                      <w:color w:val="auto"/>
                      <w:kern w:val="2"/>
                      <w:sz w:val="21"/>
                      <w:szCs w:val="21"/>
                      <w:lang w:val="en-US" w:eastAsia="zh-CN" w:bidi="ar-SA"/>
                    </w:rPr>
                    <w:t>10.75</w:t>
                  </w:r>
                </w:p>
              </w:tc>
            </w:tr>
            <w:tr w14:paraId="6250C8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7F81BFF0">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7</w:t>
                  </w:r>
                </w:p>
              </w:tc>
              <w:tc>
                <w:tcPr>
                  <w:tcW w:w="559" w:type="pct"/>
                  <w:vAlign w:val="center"/>
                </w:tcPr>
                <w:p w14:paraId="1DABB9BA">
                  <w:pPr>
                    <w:pStyle w:val="7"/>
                    <w:adjustRightInd w:val="0"/>
                    <w:snapToGrid w:val="0"/>
                    <w:ind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生活垃圾</w:t>
                  </w:r>
                </w:p>
              </w:tc>
              <w:tc>
                <w:tcPr>
                  <w:tcW w:w="356" w:type="pct"/>
                  <w:vAlign w:val="center"/>
                </w:tcPr>
                <w:p w14:paraId="2A87FF39">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487" w:type="pct"/>
                  <w:vAlign w:val="center"/>
                </w:tcPr>
                <w:p w14:paraId="40E23543">
                  <w:pPr>
                    <w:pStyle w:val="7"/>
                    <w:adjustRightInd w:val="0"/>
                    <w:snapToGrid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日常办公</w:t>
                  </w:r>
                </w:p>
              </w:tc>
              <w:tc>
                <w:tcPr>
                  <w:tcW w:w="317" w:type="pct"/>
                  <w:vAlign w:val="center"/>
                </w:tcPr>
                <w:p w14:paraId="5E8CF2D1">
                  <w:pPr>
                    <w:pStyle w:val="7"/>
                    <w:adjustRightInd w:val="0"/>
                    <w:snapToGrid w:val="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固态</w:t>
                  </w:r>
                </w:p>
              </w:tc>
              <w:tc>
                <w:tcPr>
                  <w:tcW w:w="526" w:type="pct"/>
                  <w:vAlign w:val="center"/>
                </w:tcPr>
                <w:p w14:paraId="0B7263AC">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纸张等</w:t>
                  </w:r>
                </w:p>
              </w:tc>
              <w:tc>
                <w:tcPr>
                  <w:tcW w:w="648" w:type="pct"/>
                  <w:vAlign w:val="center"/>
                </w:tcPr>
                <w:p w14:paraId="2F84A946">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333" w:type="pct"/>
                  <w:vAlign w:val="center"/>
                </w:tcPr>
                <w:p w14:paraId="0E2E6D99">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09" w:type="pct"/>
                  <w:vAlign w:val="center"/>
                </w:tcPr>
                <w:p w14:paraId="048EB245">
                  <w:pPr>
                    <w:snapToGrid w:val="0"/>
                    <w:jc w:val="center"/>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SW64</w:t>
                  </w:r>
                </w:p>
              </w:tc>
              <w:tc>
                <w:tcPr>
                  <w:tcW w:w="690" w:type="pct"/>
                  <w:vAlign w:val="center"/>
                </w:tcPr>
                <w:p w14:paraId="05A0F2C0">
                  <w:pPr>
                    <w:snapToGrid w:val="0"/>
                    <w:jc w:val="center"/>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900-099-S64</w:t>
                  </w:r>
                </w:p>
              </w:tc>
              <w:tc>
                <w:tcPr>
                  <w:tcW w:w="471" w:type="pct"/>
                  <w:vAlign w:val="center"/>
                </w:tcPr>
                <w:p w14:paraId="30924EE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6</w:t>
                  </w:r>
                </w:p>
              </w:tc>
            </w:tr>
          </w:tbl>
          <w:p w14:paraId="277EB1A6">
            <w:pPr>
              <w:adjustRightInd w:val="0"/>
              <w:snapToGrid w:val="0"/>
              <w:spacing w:line="500" w:lineRule="exact"/>
              <w:ind w:firstLine="422" w:firstLineChars="200"/>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处置利用情况</w:t>
            </w:r>
          </w:p>
          <w:p w14:paraId="151516B6">
            <w:pPr>
              <w:adjustRightInd w:val="0"/>
              <w:snapToGrid w:val="0"/>
              <w:spacing w:line="500" w:lineRule="exact"/>
              <w:ind w:firstLine="420" w:firstLineChars="20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本项目产生的一般工业固体废物主要为</w:t>
            </w:r>
            <w:r>
              <w:rPr>
                <w:rFonts w:hint="default" w:ascii="Times New Roman" w:hAnsi="Times New Roman" w:eastAsia="宋体" w:cs="Times New Roman"/>
                <w:color w:val="auto"/>
                <w:sz w:val="21"/>
                <w:szCs w:val="21"/>
                <w:lang w:val="en-US" w:eastAsia="zh-CN"/>
              </w:rPr>
              <w:t>边角料</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次品、</w:t>
            </w:r>
            <w:r>
              <w:rPr>
                <w:rFonts w:hint="eastAsia"/>
                <w:color w:val="auto"/>
                <w:szCs w:val="21"/>
              </w:rPr>
              <w:t>废包装材料</w:t>
            </w:r>
            <w:r>
              <w:rPr>
                <w:rFonts w:hint="eastAsia" w:ascii="Times New Roman" w:hAnsi="Times New Roman" w:eastAsia="宋体" w:cs="Times New Roman"/>
                <w:color w:val="auto"/>
                <w:sz w:val="21"/>
                <w:szCs w:val="21"/>
              </w:rPr>
              <w:t>，统一收集后外售物资公司</w:t>
            </w:r>
            <w:r>
              <w:rPr>
                <w:rFonts w:hint="eastAsia" w:ascii="Times New Roman" w:hAnsi="Times New Roman" w:eastAsia="宋体" w:cs="Times New Roman"/>
                <w:color w:val="auto"/>
                <w:sz w:val="21"/>
                <w:szCs w:val="21"/>
                <w:lang w:val="en-US" w:eastAsia="zh-CN"/>
              </w:rPr>
              <w:t>处置</w:t>
            </w:r>
            <w:r>
              <w:rPr>
                <w:rFonts w:hint="eastAsia" w:ascii="Times New Roman" w:hAnsi="Times New Roman" w:eastAsia="宋体" w:cs="Times New Roman"/>
                <w:color w:val="auto"/>
                <w:sz w:val="21"/>
                <w:szCs w:val="21"/>
              </w:rPr>
              <w:t>；产生的危险废物主要是</w:t>
            </w:r>
            <w:r>
              <w:rPr>
                <w:rFonts w:hint="eastAsia" w:cs="Times New Roman"/>
                <w:color w:val="auto"/>
                <w:sz w:val="21"/>
                <w:szCs w:val="21"/>
                <w:lang w:val="en-US" w:eastAsia="zh-CN"/>
              </w:rPr>
              <w:t>废包装桶</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含油墨废抹布</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废活性炭</w:t>
            </w:r>
            <w:r>
              <w:rPr>
                <w:rFonts w:hint="eastAsia" w:ascii="Times New Roman" w:hAnsi="Times New Roman" w:eastAsia="宋体" w:cs="Times New Roman"/>
                <w:color w:val="auto"/>
                <w:sz w:val="21"/>
                <w:szCs w:val="21"/>
              </w:rPr>
              <w:t>，收集后委托有资质单位</w:t>
            </w:r>
            <w:r>
              <w:rPr>
                <w:rFonts w:hint="eastAsia" w:ascii="Times New Roman" w:hAnsi="Times New Roman" w:eastAsia="宋体" w:cs="Times New Roman"/>
                <w:color w:val="auto"/>
                <w:sz w:val="21"/>
                <w:szCs w:val="21"/>
                <w:lang w:val="en-US" w:eastAsia="zh-CN"/>
              </w:rPr>
              <w:t>处置</w:t>
            </w:r>
            <w:r>
              <w:rPr>
                <w:rFonts w:hint="eastAsia" w:ascii="Times New Roman" w:hAnsi="Times New Roman" w:eastAsia="宋体" w:cs="Times New Roman"/>
                <w:color w:val="auto"/>
                <w:sz w:val="21"/>
                <w:szCs w:val="21"/>
              </w:rPr>
              <w:t>；生活垃圾由环卫部门清运。</w:t>
            </w:r>
          </w:p>
          <w:p w14:paraId="09CE9B90">
            <w:pPr>
              <w:adjustRightInd w:val="0"/>
              <w:snapToGrid w:val="0"/>
              <w:spacing w:line="500" w:lineRule="exact"/>
              <w:ind w:firstLine="420" w:firstLineChars="200"/>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cs="Times New Roman"/>
                <w:color w:val="auto"/>
                <w:sz w:val="21"/>
                <w:szCs w:val="21"/>
              </w:rPr>
              <w:t>按照《建设项目危险废物环境影响评价指南》（环保部公告</w:t>
            </w:r>
            <w:r>
              <w:rPr>
                <w:rFonts w:hint="eastAsia" w:cs="Times New Roman"/>
                <w:color w:val="auto"/>
                <w:sz w:val="21"/>
                <w:szCs w:val="21"/>
                <w:lang w:eastAsia="zh-CN"/>
              </w:rPr>
              <w:t>〔2017〕43号</w:t>
            </w:r>
            <w:r>
              <w:rPr>
                <w:rFonts w:hint="default" w:ascii="Times New Roman" w:hAnsi="Times New Roman" w:cs="Times New Roman"/>
                <w:color w:val="auto"/>
                <w:sz w:val="21"/>
                <w:szCs w:val="21"/>
              </w:rPr>
              <w:t>）要求，本项目固废产生及处理处置措施汇总表见</w:t>
            </w:r>
            <w:r>
              <w:rPr>
                <w:rFonts w:hint="default" w:ascii="Times New Roman" w:hAnsi="Times New Roman" w:cs="Times New Roman"/>
                <w:color w:val="auto"/>
                <w:sz w:val="21"/>
                <w:szCs w:val="21"/>
                <w:lang w:val="en-US" w:eastAsia="zh-CN"/>
              </w:rPr>
              <w:t>下</w:t>
            </w:r>
            <w:r>
              <w:rPr>
                <w:rFonts w:hint="default" w:ascii="Times New Roman" w:hAnsi="Times New Roman" w:cs="Times New Roman"/>
                <w:color w:val="auto"/>
                <w:sz w:val="21"/>
                <w:szCs w:val="21"/>
              </w:rPr>
              <w:t>表。</w:t>
            </w:r>
          </w:p>
          <w:p w14:paraId="45A823D0">
            <w:pPr>
              <w:pStyle w:val="63"/>
              <w:keepNext w:val="0"/>
              <w:keepLines w:val="0"/>
              <w:pageBreakBefore w:val="0"/>
              <w:tabs>
                <w:tab w:val="left" w:pos="3240"/>
              </w:tabs>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表4-</w:t>
            </w:r>
            <w:r>
              <w:rPr>
                <w:rFonts w:hint="eastAsia" w:ascii="Times New Roman" w:hAnsi="Times New Roman" w:cs="Times New Roman"/>
                <w:b/>
                <w:color w:val="auto"/>
                <w:sz w:val="21"/>
                <w:szCs w:val="21"/>
                <w:highlight w:val="none"/>
                <w:lang w:val="en-US" w:eastAsia="zh-CN"/>
              </w:rPr>
              <w:t>20本项目</w:t>
            </w:r>
            <w:r>
              <w:rPr>
                <w:rFonts w:hint="default" w:ascii="Times New Roman" w:hAnsi="Times New Roman" w:eastAsia="宋体" w:cs="Times New Roman"/>
                <w:b/>
                <w:color w:val="auto"/>
                <w:sz w:val="21"/>
                <w:szCs w:val="21"/>
                <w:highlight w:val="none"/>
                <w:lang w:val="en-US" w:eastAsia="zh-CN"/>
              </w:rPr>
              <w:t>固废产生及处理措施汇总表</w:t>
            </w:r>
          </w:p>
          <w:tbl>
            <w:tblPr>
              <w:tblStyle w:val="31"/>
              <w:tblW w:w="48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49"/>
              <w:gridCol w:w="1150"/>
              <w:gridCol w:w="692"/>
              <w:gridCol w:w="968"/>
              <w:gridCol w:w="666"/>
              <w:gridCol w:w="696"/>
              <w:gridCol w:w="1273"/>
              <w:gridCol w:w="1089"/>
              <w:gridCol w:w="807"/>
              <w:gridCol w:w="874"/>
            </w:tblGrid>
            <w:tr w14:paraId="075103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789EFA18">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663" w:type="pct"/>
                  <w:vAlign w:val="center"/>
                </w:tcPr>
                <w:p w14:paraId="7B1B21A4">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固废名称</w:t>
                  </w:r>
                </w:p>
              </w:tc>
              <w:tc>
                <w:tcPr>
                  <w:tcW w:w="399" w:type="pct"/>
                  <w:tcBorders>
                    <w:bottom w:val="single" w:color="auto" w:sz="4" w:space="0"/>
                  </w:tcBorders>
                  <w:vAlign w:val="center"/>
                </w:tcPr>
                <w:p w14:paraId="3CE1C79F">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属性</w:t>
                  </w:r>
                </w:p>
              </w:tc>
              <w:tc>
                <w:tcPr>
                  <w:tcW w:w="558" w:type="pct"/>
                  <w:vAlign w:val="center"/>
                </w:tcPr>
                <w:p w14:paraId="023F41BD">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产生来源</w:t>
                  </w:r>
                </w:p>
              </w:tc>
              <w:tc>
                <w:tcPr>
                  <w:tcW w:w="384" w:type="pct"/>
                  <w:vAlign w:val="center"/>
                </w:tcPr>
                <w:p w14:paraId="4893D4B1">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危废毒性</w:t>
                  </w:r>
                </w:p>
              </w:tc>
              <w:tc>
                <w:tcPr>
                  <w:tcW w:w="401" w:type="pct"/>
                  <w:vAlign w:val="center"/>
                </w:tcPr>
                <w:p w14:paraId="3F62B6F9">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废物类别</w:t>
                  </w:r>
                </w:p>
              </w:tc>
              <w:tc>
                <w:tcPr>
                  <w:tcW w:w="734" w:type="pct"/>
                  <w:vAlign w:val="center"/>
                </w:tcPr>
                <w:p w14:paraId="4D232221">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废物代码</w:t>
                  </w:r>
                </w:p>
              </w:tc>
              <w:tc>
                <w:tcPr>
                  <w:tcW w:w="628" w:type="pct"/>
                  <w:vAlign w:val="center"/>
                </w:tcPr>
                <w:p w14:paraId="46ECFACE">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估算产生量（t/a）</w:t>
                  </w:r>
                </w:p>
              </w:tc>
              <w:tc>
                <w:tcPr>
                  <w:tcW w:w="465" w:type="pct"/>
                  <w:vAlign w:val="center"/>
                </w:tcPr>
                <w:p w14:paraId="6729F3B7">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利用处置方式</w:t>
                  </w:r>
                </w:p>
              </w:tc>
              <w:tc>
                <w:tcPr>
                  <w:tcW w:w="504" w:type="pct"/>
                  <w:vAlign w:val="center"/>
                </w:tcPr>
                <w:p w14:paraId="5C4D6BC1">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利用处置单位</w:t>
                  </w:r>
                </w:p>
              </w:tc>
            </w:tr>
            <w:tr w14:paraId="64A65D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2C0B56A4">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w:t>
                  </w:r>
                </w:p>
              </w:tc>
              <w:tc>
                <w:tcPr>
                  <w:tcW w:w="663" w:type="pct"/>
                  <w:vAlign w:val="center"/>
                </w:tcPr>
                <w:p w14:paraId="4F6D114C">
                  <w:pPr>
                    <w:pStyle w:val="7"/>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边角料</w:t>
                  </w:r>
                </w:p>
              </w:tc>
              <w:tc>
                <w:tcPr>
                  <w:tcW w:w="399" w:type="pct"/>
                  <w:vMerge w:val="restart"/>
                  <w:tcBorders>
                    <w:top w:val="single" w:color="auto" w:sz="4" w:space="0"/>
                  </w:tcBorders>
                  <w:vAlign w:val="center"/>
                </w:tcPr>
                <w:p w14:paraId="7E73755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w:t>
                  </w:r>
                </w:p>
              </w:tc>
              <w:tc>
                <w:tcPr>
                  <w:tcW w:w="558" w:type="pct"/>
                  <w:vAlign w:val="center"/>
                </w:tcPr>
                <w:p w14:paraId="5855D084">
                  <w:pPr>
                    <w:pStyle w:val="7"/>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分切</w:t>
                  </w:r>
                </w:p>
              </w:tc>
              <w:tc>
                <w:tcPr>
                  <w:tcW w:w="384" w:type="pct"/>
                  <w:vAlign w:val="center"/>
                </w:tcPr>
                <w:p w14:paraId="7F28C176">
                  <w:pPr>
                    <w:snapToGrid w:val="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color w:val="auto"/>
                      <w:sz w:val="21"/>
                      <w:szCs w:val="21"/>
                    </w:rPr>
                    <w:t>/</w:t>
                  </w:r>
                </w:p>
              </w:tc>
              <w:tc>
                <w:tcPr>
                  <w:tcW w:w="401" w:type="pct"/>
                  <w:vAlign w:val="center"/>
                </w:tcPr>
                <w:p w14:paraId="2F2D0B51">
                  <w:pPr>
                    <w:snapToGrid w:val="0"/>
                    <w:jc w:val="center"/>
                    <w:rPr>
                      <w:rFonts w:hint="default" w:ascii="Times New Roman" w:hAnsi="Times New Roman" w:cs="Times New Roman"/>
                      <w:bCs/>
                      <w:color w:val="auto"/>
                      <w:sz w:val="21"/>
                      <w:szCs w:val="21"/>
                      <w:lang w:val="en-US" w:eastAsia="zh-CN"/>
                    </w:rPr>
                  </w:pPr>
                  <w:r>
                    <w:rPr>
                      <w:rFonts w:hint="eastAsia" w:cs="Times New Roman"/>
                      <w:color w:val="auto"/>
                      <w:sz w:val="21"/>
                      <w:szCs w:val="21"/>
                      <w:lang w:val="en-US" w:eastAsia="zh-CN"/>
                    </w:rPr>
                    <w:t>SW17</w:t>
                  </w:r>
                </w:p>
              </w:tc>
              <w:tc>
                <w:tcPr>
                  <w:tcW w:w="734" w:type="pct"/>
                  <w:vAlign w:val="center"/>
                </w:tcPr>
                <w:p w14:paraId="28CED164">
                  <w:pPr>
                    <w:snapToGrid w:val="0"/>
                    <w:jc w:val="center"/>
                    <w:rPr>
                      <w:rFonts w:hint="default" w:ascii="Times New Roman" w:hAnsi="Times New Roman" w:cs="Times New Roman"/>
                      <w:bCs/>
                      <w:color w:val="auto"/>
                      <w:sz w:val="21"/>
                      <w:szCs w:val="21"/>
                      <w:lang w:val="en-US" w:eastAsia="zh-CN"/>
                    </w:rPr>
                  </w:pPr>
                  <w:r>
                    <w:rPr>
                      <w:rFonts w:hint="eastAsia" w:cs="Times New Roman"/>
                      <w:color w:val="auto"/>
                      <w:sz w:val="21"/>
                      <w:szCs w:val="21"/>
                      <w:lang w:val="en-US" w:eastAsia="zh-CN"/>
                    </w:rPr>
                    <w:t>900-003-S17</w:t>
                  </w:r>
                </w:p>
              </w:tc>
              <w:tc>
                <w:tcPr>
                  <w:tcW w:w="628" w:type="pct"/>
                  <w:vAlign w:val="center"/>
                </w:tcPr>
                <w:p w14:paraId="361F6201">
                  <w:pPr>
                    <w:adjustRightInd w:val="0"/>
                    <w:snapToGrid w:val="0"/>
                    <w:jc w:val="center"/>
                    <w:rPr>
                      <w:rFonts w:hint="default" w:ascii="Times New Roman" w:hAnsi="Times New Roman" w:cs="Times New Roman"/>
                      <w:bCs/>
                      <w:color w:val="auto"/>
                      <w:sz w:val="21"/>
                      <w:szCs w:val="21"/>
                      <w:lang w:val="en-US" w:eastAsia="zh-CN"/>
                    </w:rPr>
                  </w:pPr>
                  <w:r>
                    <w:rPr>
                      <w:rFonts w:hint="eastAsia" w:cs="Times New Roman"/>
                      <w:bCs/>
                      <w:color w:val="auto"/>
                      <w:kern w:val="2"/>
                      <w:sz w:val="21"/>
                      <w:szCs w:val="21"/>
                      <w:lang w:val="en-US" w:eastAsia="zh-CN" w:bidi="ar-SA"/>
                    </w:rPr>
                    <w:t>3</w:t>
                  </w:r>
                </w:p>
              </w:tc>
              <w:tc>
                <w:tcPr>
                  <w:tcW w:w="465" w:type="pct"/>
                  <w:vMerge w:val="restart"/>
                  <w:vAlign w:val="center"/>
                </w:tcPr>
                <w:p w14:paraId="1453A10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外售综合利用</w:t>
                  </w:r>
                </w:p>
              </w:tc>
              <w:tc>
                <w:tcPr>
                  <w:tcW w:w="504" w:type="pct"/>
                  <w:vMerge w:val="restart"/>
                  <w:vAlign w:val="center"/>
                </w:tcPr>
                <w:p w14:paraId="0F4CCB2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物资回收单位</w:t>
                  </w:r>
                </w:p>
              </w:tc>
            </w:tr>
            <w:tr w14:paraId="0A7BD8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64E23E9A">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663" w:type="pct"/>
                  <w:vAlign w:val="center"/>
                </w:tcPr>
                <w:p w14:paraId="2D69E268">
                  <w:pPr>
                    <w:pStyle w:val="7"/>
                    <w:adjustRightInd w:val="0"/>
                    <w:snapToGrid w:val="0"/>
                    <w:ind w:firstLine="0" w:firstLineChars="0"/>
                    <w:jc w:val="center"/>
                    <w:rPr>
                      <w:rFonts w:hint="eastAsia" w:cs="Times New Roman"/>
                      <w:b w:val="0"/>
                      <w:bCs w:val="0"/>
                      <w:color w:val="auto"/>
                      <w:sz w:val="21"/>
                      <w:szCs w:val="21"/>
                      <w:lang w:val="en-US" w:eastAsia="zh-CN"/>
                    </w:rPr>
                  </w:pPr>
                  <w:r>
                    <w:rPr>
                      <w:rFonts w:hint="eastAsia" w:ascii="Times New Roman" w:hAnsi="Times New Roman" w:cs="Times New Roman"/>
                      <w:color w:val="auto"/>
                      <w:sz w:val="21"/>
                      <w:szCs w:val="21"/>
                      <w:lang w:val="en-US" w:eastAsia="zh-CN"/>
                    </w:rPr>
                    <w:t>次品</w:t>
                  </w:r>
                </w:p>
              </w:tc>
              <w:tc>
                <w:tcPr>
                  <w:tcW w:w="399" w:type="pct"/>
                  <w:vMerge w:val="continue"/>
                  <w:vAlign w:val="center"/>
                </w:tcPr>
                <w:p w14:paraId="4717CBA2">
                  <w:pPr>
                    <w:adjustRightInd w:val="0"/>
                    <w:snapToGrid w:val="0"/>
                    <w:jc w:val="center"/>
                    <w:rPr>
                      <w:rFonts w:hint="default" w:ascii="Times New Roman" w:hAnsi="Times New Roman" w:cs="Times New Roman"/>
                      <w:color w:val="auto"/>
                      <w:sz w:val="21"/>
                      <w:szCs w:val="21"/>
                    </w:rPr>
                  </w:pPr>
                </w:p>
              </w:tc>
              <w:tc>
                <w:tcPr>
                  <w:tcW w:w="558" w:type="pct"/>
                  <w:vAlign w:val="center"/>
                </w:tcPr>
                <w:p w14:paraId="3F733F8D">
                  <w:pPr>
                    <w:pStyle w:val="7"/>
                    <w:adjustRightInd w:val="0"/>
                    <w:snapToGrid w:val="0"/>
                    <w:ind w:firstLine="0" w:firstLineChars="0"/>
                    <w:jc w:val="center"/>
                    <w:rPr>
                      <w:rFonts w:hint="eastAsia" w:cs="Times New Roman"/>
                      <w:b w:val="0"/>
                      <w:bCs w:val="0"/>
                      <w:color w:val="auto"/>
                      <w:sz w:val="21"/>
                      <w:szCs w:val="21"/>
                      <w:lang w:val="en-US" w:eastAsia="zh-CN"/>
                    </w:rPr>
                  </w:pPr>
                  <w:r>
                    <w:rPr>
                      <w:rFonts w:hint="eastAsia" w:ascii="Times New Roman" w:hAnsi="Times New Roman" w:cs="Times New Roman"/>
                      <w:color w:val="auto"/>
                      <w:sz w:val="21"/>
                      <w:szCs w:val="21"/>
                      <w:lang w:val="en-US" w:eastAsia="zh-CN"/>
                    </w:rPr>
                    <w:t>检验</w:t>
                  </w:r>
                </w:p>
              </w:tc>
              <w:tc>
                <w:tcPr>
                  <w:tcW w:w="384" w:type="pct"/>
                  <w:vAlign w:val="center"/>
                </w:tcPr>
                <w:p w14:paraId="20825EFD">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01" w:type="pct"/>
                  <w:vAlign w:val="center"/>
                </w:tcPr>
                <w:p w14:paraId="11A33AFA">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SW17</w:t>
                  </w:r>
                </w:p>
              </w:tc>
              <w:tc>
                <w:tcPr>
                  <w:tcW w:w="734" w:type="pct"/>
                  <w:vAlign w:val="center"/>
                </w:tcPr>
                <w:p w14:paraId="368BA538">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900-003-S17</w:t>
                  </w:r>
                </w:p>
              </w:tc>
              <w:tc>
                <w:tcPr>
                  <w:tcW w:w="628" w:type="pct"/>
                  <w:vAlign w:val="center"/>
                </w:tcPr>
                <w:p w14:paraId="6C81405B">
                  <w:pPr>
                    <w:adjustRightInd w:val="0"/>
                    <w:snapToGrid w:val="0"/>
                    <w:jc w:val="center"/>
                    <w:rPr>
                      <w:rFonts w:hint="eastAsia" w:cs="Times New Roman"/>
                      <w:b w:val="0"/>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5</w:t>
                  </w:r>
                </w:p>
              </w:tc>
              <w:tc>
                <w:tcPr>
                  <w:tcW w:w="465" w:type="pct"/>
                  <w:vMerge w:val="continue"/>
                  <w:vAlign w:val="center"/>
                </w:tcPr>
                <w:p w14:paraId="0968FA67">
                  <w:pPr>
                    <w:adjustRightInd w:val="0"/>
                    <w:snapToGrid w:val="0"/>
                    <w:jc w:val="center"/>
                    <w:rPr>
                      <w:rFonts w:hint="default" w:ascii="Times New Roman" w:hAnsi="Times New Roman" w:cs="Times New Roman"/>
                      <w:bCs/>
                      <w:color w:val="auto"/>
                      <w:sz w:val="21"/>
                      <w:szCs w:val="21"/>
                    </w:rPr>
                  </w:pPr>
                </w:p>
              </w:tc>
              <w:tc>
                <w:tcPr>
                  <w:tcW w:w="504" w:type="pct"/>
                  <w:vMerge w:val="continue"/>
                  <w:vAlign w:val="center"/>
                </w:tcPr>
                <w:p w14:paraId="42C0BA8B">
                  <w:pPr>
                    <w:adjustRightInd w:val="0"/>
                    <w:snapToGrid w:val="0"/>
                    <w:jc w:val="center"/>
                    <w:rPr>
                      <w:rFonts w:hint="default" w:ascii="Times New Roman" w:hAnsi="Times New Roman" w:cs="Times New Roman"/>
                      <w:bCs/>
                      <w:color w:val="auto"/>
                      <w:sz w:val="21"/>
                      <w:szCs w:val="21"/>
                    </w:rPr>
                  </w:pPr>
                </w:p>
              </w:tc>
            </w:tr>
            <w:tr w14:paraId="044305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3F896EB0">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663" w:type="pct"/>
                  <w:vAlign w:val="center"/>
                </w:tcPr>
                <w:p w14:paraId="4B1A34EC">
                  <w:pPr>
                    <w:pStyle w:val="7"/>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eastAsia"/>
                      <w:color w:val="auto"/>
                      <w:szCs w:val="21"/>
                    </w:rPr>
                    <w:t>废包装材料</w:t>
                  </w:r>
                </w:p>
              </w:tc>
              <w:tc>
                <w:tcPr>
                  <w:tcW w:w="399" w:type="pct"/>
                  <w:vMerge w:val="continue"/>
                  <w:vAlign w:val="center"/>
                </w:tcPr>
                <w:p w14:paraId="03D0567F">
                  <w:pPr>
                    <w:adjustRightInd w:val="0"/>
                    <w:snapToGrid w:val="0"/>
                    <w:jc w:val="center"/>
                    <w:rPr>
                      <w:rFonts w:hint="default" w:ascii="Times New Roman" w:hAnsi="Times New Roman" w:cs="Times New Roman"/>
                      <w:color w:val="auto"/>
                      <w:sz w:val="21"/>
                      <w:szCs w:val="21"/>
                    </w:rPr>
                  </w:pPr>
                </w:p>
              </w:tc>
              <w:tc>
                <w:tcPr>
                  <w:tcW w:w="558" w:type="pct"/>
                  <w:vAlign w:val="center"/>
                </w:tcPr>
                <w:p w14:paraId="1D43274D">
                  <w:pPr>
                    <w:pStyle w:val="7"/>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塑料膜包装</w:t>
                  </w:r>
                </w:p>
              </w:tc>
              <w:tc>
                <w:tcPr>
                  <w:tcW w:w="384" w:type="pct"/>
                  <w:vAlign w:val="center"/>
                </w:tcPr>
                <w:p w14:paraId="2C6FAA2A">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01" w:type="pct"/>
                  <w:vAlign w:val="center"/>
                </w:tcPr>
                <w:p w14:paraId="761BBAC7">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SW17</w:t>
                  </w:r>
                </w:p>
              </w:tc>
              <w:tc>
                <w:tcPr>
                  <w:tcW w:w="734" w:type="pct"/>
                  <w:vAlign w:val="center"/>
                </w:tcPr>
                <w:p w14:paraId="3A52D234">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900-003-S17</w:t>
                  </w:r>
                </w:p>
              </w:tc>
              <w:tc>
                <w:tcPr>
                  <w:tcW w:w="628" w:type="pct"/>
                  <w:vAlign w:val="center"/>
                </w:tcPr>
                <w:p w14:paraId="74C7571E">
                  <w:pPr>
                    <w:adjustRightInd w:val="0"/>
                    <w:snapToGrid w:val="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w:t>
                  </w:r>
                </w:p>
              </w:tc>
              <w:tc>
                <w:tcPr>
                  <w:tcW w:w="465" w:type="pct"/>
                  <w:vMerge w:val="continue"/>
                  <w:vAlign w:val="center"/>
                </w:tcPr>
                <w:p w14:paraId="610DA5A9">
                  <w:pPr>
                    <w:adjustRightInd w:val="0"/>
                    <w:snapToGrid w:val="0"/>
                    <w:jc w:val="center"/>
                    <w:rPr>
                      <w:rFonts w:hint="default" w:ascii="Times New Roman" w:hAnsi="Times New Roman" w:cs="Times New Roman"/>
                      <w:bCs/>
                      <w:color w:val="auto"/>
                      <w:sz w:val="21"/>
                      <w:szCs w:val="21"/>
                    </w:rPr>
                  </w:pPr>
                </w:p>
              </w:tc>
              <w:tc>
                <w:tcPr>
                  <w:tcW w:w="504" w:type="pct"/>
                  <w:vMerge w:val="continue"/>
                  <w:vAlign w:val="center"/>
                </w:tcPr>
                <w:p w14:paraId="178C8B07">
                  <w:pPr>
                    <w:adjustRightInd w:val="0"/>
                    <w:snapToGrid w:val="0"/>
                    <w:jc w:val="center"/>
                    <w:rPr>
                      <w:rFonts w:hint="default" w:ascii="Times New Roman" w:hAnsi="Times New Roman" w:cs="Times New Roman"/>
                      <w:bCs/>
                      <w:color w:val="auto"/>
                      <w:sz w:val="21"/>
                      <w:szCs w:val="21"/>
                    </w:rPr>
                  </w:pPr>
                </w:p>
              </w:tc>
            </w:tr>
            <w:tr w14:paraId="1E7199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0ECA87A9">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663" w:type="pct"/>
                  <w:vAlign w:val="center"/>
                </w:tcPr>
                <w:p w14:paraId="585C7810">
                  <w:pPr>
                    <w:pStyle w:val="7"/>
                    <w:adjustRightInd w:val="0"/>
                    <w:snapToGrid w:val="0"/>
                    <w:ind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eastAsia="宋体" w:cs="Times New Roman"/>
                      <w:b w:val="0"/>
                      <w:bCs w:val="0"/>
                      <w:color w:val="auto"/>
                      <w:kern w:val="2"/>
                      <w:sz w:val="21"/>
                      <w:szCs w:val="21"/>
                      <w:lang w:val="en-US" w:eastAsia="zh-CN" w:bidi="ar-SA"/>
                    </w:rPr>
                    <w:t>含油墨</w:t>
                  </w:r>
                  <w:r>
                    <w:rPr>
                      <w:rFonts w:hint="default" w:ascii="Times New Roman" w:hAnsi="Times New Roman" w:eastAsia="宋体" w:cs="Times New Roman"/>
                      <w:b w:val="0"/>
                      <w:bCs w:val="0"/>
                      <w:color w:val="auto"/>
                      <w:kern w:val="2"/>
                      <w:sz w:val="21"/>
                      <w:szCs w:val="21"/>
                      <w:lang w:val="en-US" w:eastAsia="zh-CN" w:bidi="ar-SA"/>
                    </w:rPr>
                    <w:t>废抹布</w:t>
                  </w:r>
                </w:p>
              </w:tc>
              <w:tc>
                <w:tcPr>
                  <w:tcW w:w="399" w:type="pct"/>
                  <w:vMerge w:val="restart"/>
                  <w:vAlign w:val="center"/>
                </w:tcPr>
                <w:p w14:paraId="3FA93E8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危险固废</w:t>
                  </w:r>
                </w:p>
              </w:tc>
              <w:tc>
                <w:tcPr>
                  <w:tcW w:w="558" w:type="pct"/>
                  <w:vAlign w:val="center"/>
                </w:tcPr>
                <w:p w14:paraId="6EFF032C">
                  <w:pPr>
                    <w:pStyle w:val="7"/>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墨辊</w:t>
                  </w:r>
                  <w:r>
                    <w:rPr>
                      <w:rFonts w:hint="eastAsia" w:ascii="Times New Roman" w:hAnsi="Times New Roman" w:cs="Times New Roman"/>
                      <w:b w:val="0"/>
                      <w:bCs w:val="0"/>
                      <w:color w:val="auto"/>
                      <w:kern w:val="2"/>
                      <w:sz w:val="21"/>
                      <w:szCs w:val="21"/>
                      <w:lang w:val="en-US" w:eastAsia="zh-CN" w:bidi="ar-SA"/>
                    </w:rPr>
                    <w:t>清洁</w:t>
                  </w:r>
                </w:p>
              </w:tc>
              <w:tc>
                <w:tcPr>
                  <w:tcW w:w="384" w:type="pct"/>
                  <w:vAlign w:val="center"/>
                </w:tcPr>
                <w:p w14:paraId="201802D7">
                  <w:pPr>
                    <w:adjustRightInd w:val="0"/>
                    <w:snapToGrid w:val="0"/>
                    <w:jc w:val="center"/>
                    <w:rPr>
                      <w:bCs/>
                      <w:color w:val="auto"/>
                      <w:sz w:val="21"/>
                      <w:szCs w:val="21"/>
                    </w:rPr>
                  </w:pPr>
                  <w:r>
                    <w:rPr>
                      <w:rFonts w:hint="default" w:ascii="Times New Roman" w:hAnsi="Times New Roman" w:eastAsia="宋体" w:cs="Times New Roman"/>
                      <w:color w:val="auto"/>
                      <w:sz w:val="21"/>
                      <w:szCs w:val="21"/>
                    </w:rPr>
                    <w:t>T/In</w:t>
                  </w:r>
                </w:p>
              </w:tc>
              <w:tc>
                <w:tcPr>
                  <w:tcW w:w="401" w:type="pct"/>
                  <w:vAlign w:val="center"/>
                </w:tcPr>
                <w:p w14:paraId="57CB6DC4">
                  <w:pPr>
                    <w:adjustRightInd w:val="0"/>
                    <w:snapToGrid w:val="0"/>
                    <w:jc w:val="center"/>
                    <w:rPr>
                      <w:bCs/>
                      <w:color w:val="auto"/>
                      <w:sz w:val="21"/>
                      <w:szCs w:val="21"/>
                    </w:rPr>
                  </w:pPr>
                  <w:r>
                    <w:rPr>
                      <w:rFonts w:hint="default" w:ascii="Times New Roman" w:hAnsi="Times New Roman" w:eastAsia="宋体" w:cs="Times New Roman"/>
                      <w:color w:val="auto"/>
                      <w:sz w:val="21"/>
                      <w:szCs w:val="21"/>
                    </w:rPr>
                    <w:t>HW49</w:t>
                  </w:r>
                </w:p>
              </w:tc>
              <w:tc>
                <w:tcPr>
                  <w:tcW w:w="734" w:type="pct"/>
                  <w:vAlign w:val="center"/>
                </w:tcPr>
                <w:p w14:paraId="789C58F7">
                  <w:pPr>
                    <w:adjustRightInd w:val="0"/>
                    <w:snapToGrid w:val="0"/>
                    <w:jc w:val="center"/>
                    <w:rPr>
                      <w:bCs/>
                      <w:color w:val="auto"/>
                      <w:sz w:val="21"/>
                      <w:szCs w:val="21"/>
                    </w:rPr>
                  </w:pPr>
                  <w:r>
                    <w:rPr>
                      <w:rFonts w:hint="default" w:ascii="Times New Roman" w:hAnsi="Times New Roman" w:eastAsia="宋体" w:cs="Times New Roman"/>
                      <w:color w:val="auto"/>
                      <w:sz w:val="21"/>
                      <w:szCs w:val="21"/>
                    </w:rPr>
                    <w:t>900-041-49</w:t>
                  </w:r>
                </w:p>
              </w:tc>
              <w:tc>
                <w:tcPr>
                  <w:tcW w:w="628" w:type="pct"/>
                  <w:vAlign w:val="center"/>
                </w:tcPr>
                <w:p w14:paraId="50153DB1">
                  <w:pPr>
                    <w:adjustRightInd w:val="0"/>
                    <w:snapToGrid w:val="0"/>
                    <w:jc w:val="center"/>
                    <w:rPr>
                      <w:rFonts w:hint="eastAsia" w:cs="Times New Roman"/>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0.</w:t>
                  </w:r>
                  <w:r>
                    <w:rPr>
                      <w:rFonts w:hint="eastAsia" w:cs="Times New Roman"/>
                      <w:bCs/>
                      <w:color w:val="auto"/>
                      <w:kern w:val="2"/>
                      <w:sz w:val="21"/>
                      <w:szCs w:val="21"/>
                      <w:lang w:val="en-US" w:eastAsia="zh-CN" w:bidi="ar-SA"/>
                    </w:rPr>
                    <w:t>1</w:t>
                  </w:r>
                </w:p>
              </w:tc>
              <w:tc>
                <w:tcPr>
                  <w:tcW w:w="465" w:type="pct"/>
                  <w:vMerge w:val="restart"/>
                  <w:vAlign w:val="center"/>
                </w:tcPr>
                <w:p w14:paraId="20B2AC42">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auto"/>
                      <w:sz w:val="21"/>
                      <w:szCs w:val="21"/>
                      <w:lang w:val="en-US" w:eastAsia="zh-CN"/>
                    </w:rPr>
                    <w:t>委托处置</w:t>
                  </w:r>
                </w:p>
              </w:tc>
              <w:tc>
                <w:tcPr>
                  <w:tcW w:w="504" w:type="pct"/>
                  <w:vMerge w:val="restart"/>
                  <w:vAlign w:val="center"/>
                </w:tcPr>
                <w:p w14:paraId="2EF06C4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有资质单位</w:t>
                  </w:r>
                </w:p>
              </w:tc>
            </w:tr>
            <w:tr w14:paraId="73DF7F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5B99456B">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663" w:type="pct"/>
                  <w:vAlign w:val="center"/>
                </w:tcPr>
                <w:p w14:paraId="21335E4F">
                  <w:pPr>
                    <w:pStyle w:val="7"/>
                    <w:adjustRightInd w:val="0"/>
                    <w:snapToGrid w:val="0"/>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废包装桶</w:t>
                  </w:r>
                </w:p>
              </w:tc>
              <w:tc>
                <w:tcPr>
                  <w:tcW w:w="399" w:type="pct"/>
                  <w:vMerge w:val="continue"/>
                  <w:vAlign w:val="center"/>
                </w:tcPr>
                <w:p w14:paraId="5A45DC0F">
                  <w:pPr>
                    <w:adjustRightInd w:val="0"/>
                    <w:snapToGrid w:val="0"/>
                    <w:jc w:val="center"/>
                    <w:rPr>
                      <w:rFonts w:hint="default" w:ascii="Times New Roman" w:hAnsi="Times New Roman" w:cs="Times New Roman"/>
                      <w:color w:val="auto"/>
                      <w:sz w:val="21"/>
                      <w:szCs w:val="21"/>
                    </w:rPr>
                  </w:pPr>
                </w:p>
              </w:tc>
              <w:tc>
                <w:tcPr>
                  <w:tcW w:w="558" w:type="pct"/>
                  <w:vAlign w:val="center"/>
                </w:tcPr>
                <w:p w14:paraId="5F517792">
                  <w:pPr>
                    <w:pStyle w:val="7"/>
                    <w:adjustRightInd w:val="0"/>
                    <w:snapToGrid w:val="0"/>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液体原料包装</w:t>
                  </w:r>
                </w:p>
              </w:tc>
              <w:tc>
                <w:tcPr>
                  <w:tcW w:w="384" w:type="pct"/>
                  <w:vAlign w:val="center"/>
                </w:tcPr>
                <w:p w14:paraId="31A8B998">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T/In</w:t>
                  </w:r>
                </w:p>
              </w:tc>
              <w:tc>
                <w:tcPr>
                  <w:tcW w:w="401" w:type="pct"/>
                  <w:vAlign w:val="center"/>
                </w:tcPr>
                <w:p w14:paraId="3162865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HW49</w:t>
                  </w:r>
                </w:p>
              </w:tc>
              <w:tc>
                <w:tcPr>
                  <w:tcW w:w="734" w:type="pct"/>
                  <w:vAlign w:val="center"/>
                </w:tcPr>
                <w:p w14:paraId="39555FC0">
                  <w:pPr>
                    <w:adjustRightInd w:val="0"/>
                    <w:snapToGrid w:val="0"/>
                    <w:jc w:val="center"/>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eastAsia="宋体" w:cs="Times New Roman"/>
                      <w:color w:val="auto"/>
                      <w:sz w:val="21"/>
                      <w:szCs w:val="21"/>
                    </w:rPr>
                    <w:t>900-041-49</w:t>
                  </w:r>
                </w:p>
              </w:tc>
              <w:tc>
                <w:tcPr>
                  <w:tcW w:w="628" w:type="pct"/>
                  <w:vAlign w:val="center"/>
                </w:tcPr>
                <w:p w14:paraId="62667D33">
                  <w:pPr>
                    <w:adjustRightInd w:val="0"/>
                    <w:snapToGrid w:val="0"/>
                    <w:jc w:val="center"/>
                    <w:rPr>
                      <w:rFonts w:hint="default" w:cs="Times New Roman"/>
                      <w:color w:val="auto"/>
                      <w:sz w:val="21"/>
                      <w:szCs w:val="21"/>
                      <w:highlight w:val="none"/>
                      <w:lang w:val="en-US" w:eastAsia="zh-CN"/>
                    </w:rPr>
                  </w:pPr>
                  <w:r>
                    <w:rPr>
                      <w:rFonts w:hint="eastAsia" w:cs="Times New Roman"/>
                      <w:b w:val="0"/>
                      <w:bCs w:val="0"/>
                      <w:color w:val="auto"/>
                      <w:kern w:val="2"/>
                      <w:sz w:val="21"/>
                      <w:szCs w:val="21"/>
                      <w:lang w:val="en-US" w:eastAsia="zh-CN" w:bidi="ar-SA"/>
                    </w:rPr>
                    <w:t>0.75</w:t>
                  </w:r>
                </w:p>
              </w:tc>
              <w:tc>
                <w:tcPr>
                  <w:tcW w:w="465" w:type="pct"/>
                  <w:vMerge w:val="continue"/>
                  <w:vAlign w:val="center"/>
                </w:tcPr>
                <w:p w14:paraId="34B43BEE">
                  <w:pPr>
                    <w:adjustRightInd w:val="0"/>
                    <w:snapToGrid w:val="0"/>
                    <w:jc w:val="center"/>
                    <w:rPr>
                      <w:rFonts w:hint="default" w:ascii="Times New Roman" w:hAnsi="Times New Roman" w:cs="Times New Roman"/>
                      <w:bCs/>
                      <w:color w:val="auto"/>
                      <w:sz w:val="21"/>
                      <w:szCs w:val="21"/>
                      <w:lang w:val="en-US" w:eastAsia="zh-CN"/>
                    </w:rPr>
                  </w:pPr>
                </w:p>
              </w:tc>
              <w:tc>
                <w:tcPr>
                  <w:tcW w:w="504" w:type="pct"/>
                  <w:vMerge w:val="continue"/>
                  <w:vAlign w:val="center"/>
                </w:tcPr>
                <w:p w14:paraId="4ED3F647">
                  <w:pPr>
                    <w:adjustRightInd w:val="0"/>
                    <w:snapToGrid w:val="0"/>
                    <w:jc w:val="center"/>
                    <w:rPr>
                      <w:rFonts w:hint="default" w:ascii="Times New Roman" w:hAnsi="Times New Roman" w:cs="Times New Roman"/>
                      <w:bCs/>
                      <w:color w:val="auto"/>
                      <w:sz w:val="21"/>
                      <w:szCs w:val="21"/>
                    </w:rPr>
                  </w:pPr>
                </w:p>
              </w:tc>
            </w:tr>
            <w:tr w14:paraId="3AC7A7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55AD1784">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663" w:type="pct"/>
                  <w:vAlign w:val="center"/>
                </w:tcPr>
                <w:p w14:paraId="65C8E178">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废活性炭</w:t>
                  </w:r>
                </w:p>
              </w:tc>
              <w:tc>
                <w:tcPr>
                  <w:tcW w:w="399" w:type="pct"/>
                  <w:vMerge w:val="continue"/>
                  <w:vAlign w:val="center"/>
                </w:tcPr>
                <w:p w14:paraId="2CABFEB1">
                  <w:pPr>
                    <w:adjustRightInd w:val="0"/>
                    <w:snapToGrid w:val="0"/>
                    <w:jc w:val="center"/>
                    <w:rPr>
                      <w:rFonts w:hint="default" w:ascii="Times New Roman" w:hAnsi="Times New Roman" w:cs="Times New Roman"/>
                      <w:color w:val="auto"/>
                      <w:sz w:val="21"/>
                      <w:szCs w:val="21"/>
                    </w:rPr>
                  </w:pPr>
                </w:p>
              </w:tc>
              <w:tc>
                <w:tcPr>
                  <w:tcW w:w="558" w:type="pct"/>
                  <w:vAlign w:val="center"/>
                </w:tcPr>
                <w:p w14:paraId="0B85D3B3">
                  <w:pPr>
                    <w:pStyle w:val="7"/>
                    <w:adjustRightInd w:val="0"/>
                    <w:snapToGrid w:val="0"/>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废气处理</w:t>
                  </w:r>
                </w:p>
              </w:tc>
              <w:tc>
                <w:tcPr>
                  <w:tcW w:w="384" w:type="pct"/>
                  <w:vAlign w:val="center"/>
                </w:tcPr>
                <w:p w14:paraId="4A178DC3">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w:t>
                  </w:r>
                </w:p>
              </w:tc>
              <w:tc>
                <w:tcPr>
                  <w:tcW w:w="401" w:type="pct"/>
                  <w:vAlign w:val="center"/>
                </w:tcPr>
                <w:p w14:paraId="3E177788">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HW49</w:t>
                  </w:r>
                </w:p>
              </w:tc>
              <w:tc>
                <w:tcPr>
                  <w:tcW w:w="734" w:type="pct"/>
                  <w:vAlign w:val="center"/>
                </w:tcPr>
                <w:p w14:paraId="1A82EEFC">
                  <w:pPr>
                    <w:snapToGrid w:val="0"/>
                    <w:jc w:val="center"/>
                    <w:rPr>
                      <w:rFonts w:hint="eastAsia" w:cs="Times New Roman"/>
                      <w:color w:val="auto"/>
                      <w:sz w:val="21"/>
                      <w:szCs w:val="21"/>
                      <w:lang w:val="en-US" w:eastAsia="zh-CN"/>
                    </w:rPr>
                  </w:pPr>
                  <w:r>
                    <w:rPr>
                      <w:rFonts w:hint="default" w:ascii="Times New Roman" w:hAnsi="Times New Roman" w:cs="Times New Roman"/>
                      <w:color w:val="auto"/>
                      <w:sz w:val="21"/>
                      <w:szCs w:val="21"/>
                    </w:rPr>
                    <w:t>900-039-49</w:t>
                  </w:r>
                </w:p>
              </w:tc>
              <w:tc>
                <w:tcPr>
                  <w:tcW w:w="628" w:type="pct"/>
                  <w:vAlign w:val="center"/>
                </w:tcPr>
                <w:p w14:paraId="20D214B7">
                  <w:pPr>
                    <w:adjustRightInd w:val="0"/>
                    <w:snapToGrid w:val="0"/>
                    <w:jc w:val="center"/>
                    <w:rPr>
                      <w:rFonts w:hint="eastAsia" w:cs="Times New Roman"/>
                      <w:b w:val="0"/>
                      <w:bCs/>
                      <w:color w:val="auto"/>
                      <w:sz w:val="21"/>
                      <w:szCs w:val="21"/>
                      <w:lang w:val="en-US" w:eastAsia="zh-CN"/>
                    </w:rPr>
                  </w:pPr>
                  <w:r>
                    <w:rPr>
                      <w:rFonts w:hint="eastAsia" w:cs="Times New Roman"/>
                      <w:bCs/>
                      <w:color w:val="auto"/>
                      <w:kern w:val="2"/>
                      <w:sz w:val="21"/>
                      <w:szCs w:val="21"/>
                      <w:lang w:val="en-US" w:eastAsia="zh-CN" w:bidi="ar-SA"/>
                    </w:rPr>
                    <w:t>10.75</w:t>
                  </w:r>
                </w:p>
              </w:tc>
              <w:tc>
                <w:tcPr>
                  <w:tcW w:w="465" w:type="pct"/>
                  <w:vMerge w:val="continue"/>
                  <w:vAlign w:val="center"/>
                </w:tcPr>
                <w:p w14:paraId="2AB650C2">
                  <w:pPr>
                    <w:adjustRightInd w:val="0"/>
                    <w:snapToGrid w:val="0"/>
                    <w:jc w:val="center"/>
                    <w:rPr>
                      <w:rFonts w:hint="default" w:ascii="Times New Roman" w:hAnsi="Times New Roman" w:cs="Times New Roman"/>
                      <w:color w:val="auto"/>
                      <w:sz w:val="21"/>
                      <w:szCs w:val="21"/>
                    </w:rPr>
                  </w:pPr>
                </w:p>
              </w:tc>
              <w:tc>
                <w:tcPr>
                  <w:tcW w:w="504" w:type="pct"/>
                  <w:vMerge w:val="continue"/>
                  <w:vAlign w:val="center"/>
                </w:tcPr>
                <w:p w14:paraId="4268A6EB">
                  <w:pPr>
                    <w:adjustRightInd w:val="0"/>
                    <w:snapToGrid w:val="0"/>
                    <w:jc w:val="center"/>
                    <w:rPr>
                      <w:rFonts w:hint="default" w:ascii="Times New Roman" w:hAnsi="Times New Roman" w:cs="Times New Roman"/>
                      <w:color w:val="auto"/>
                      <w:sz w:val="21"/>
                      <w:szCs w:val="21"/>
                    </w:rPr>
                  </w:pPr>
                </w:p>
              </w:tc>
            </w:tr>
            <w:tr w14:paraId="648DD5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7F2FC4BF">
                  <w:pPr>
                    <w:pStyle w:val="7"/>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7</w:t>
                  </w:r>
                </w:p>
              </w:tc>
              <w:tc>
                <w:tcPr>
                  <w:tcW w:w="663" w:type="pct"/>
                  <w:vAlign w:val="center"/>
                </w:tcPr>
                <w:p w14:paraId="2F26AB10">
                  <w:pPr>
                    <w:pStyle w:val="7"/>
                    <w:adjustRightInd w:val="0"/>
                    <w:snapToGrid w:val="0"/>
                    <w:ind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生活垃圾</w:t>
                  </w:r>
                </w:p>
              </w:tc>
              <w:tc>
                <w:tcPr>
                  <w:tcW w:w="399" w:type="pct"/>
                  <w:vAlign w:val="center"/>
                </w:tcPr>
                <w:p w14:paraId="086DDA42">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558" w:type="pct"/>
                  <w:vAlign w:val="center"/>
                </w:tcPr>
                <w:p w14:paraId="4016867E">
                  <w:pPr>
                    <w:pStyle w:val="7"/>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日常办公</w:t>
                  </w:r>
                </w:p>
              </w:tc>
              <w:tc>
                <w:tcPr>
                  <w:tcW w:w="384" w:type="pct"/>
                  <w:vAlign w:val="center"/>
                </w:tcPr>
                <w:p w14:paraId="7817A3F7">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01" w:type="pct"/>
                  <w:vAlign w:val="center"/>
                </w:tcPr>
                <w:p w14:paraId="69FD8243">
                  <w:pPr>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SW64</w:t>
                  </w:r>
                </w:p>
              </w:tc>
              <w:tc>
                <w:tcPr>
                  <w:tcW w:w="734" w:type="pct"/>
                  <w:vAlign w:val="center"/>
                </w:tcPr>
                <w:p w14:paraId="2A2CC204">
                  <w:pPr>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900-099-S64</w:t>
                  </w:r>
                </w:p>
              </w:tc>
              <w:tc>
                <w:tcPr>
                  <w:tcW w:w="628" w:type="pct"/>
                  <w:vAlign w:val="center"/>
                </w:tcPr>
                <w:p w14:paraId="4D99F1CF">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6</w:t>
                  </w:r>
                </w:p>
              </w:tc>
              <w:tc>
                <w:tcPr>
                  <w:tcW w:w="465" w:type="pct"/>
                  <w:vAlign w:val="center"/>
                </w:tcPr>
                <w:p w14:paraId="3C8D4CA3">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委托处置</w:t>
                  </w:r>
                </w:p>
              </w:tc>
              <w:tc>
                <w:tcPr>
                  <w:tcW w:w="504" w:type="pct"/>
                  <w:vAlign w:val="center"/>
                </w:tcPr>
                <w:p w14:paraId="1FA5BEA0">
                  <w:pPr>
                    <w:adjustRightInd w:val="0"/>
                    <w:snapToGrid w:val="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环卫部门</w:t>
                  </w:r>
                </w:p>
              </w:tc>
            </w:tr>
          </w:tbl>
          <w:p w14:paraId="746A7F92">
            <w:pPr>
              <w:adjustRightInd w:val="0"/>
              <w:snapToGrid w:val="0"/>
              <w:spacing w:line="500" w:lineRule="exact"/>
              <w:ind w:firstLine="422" w:firstLineChars="200"/>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lang w:val="en-US" w:eastAsia="zh-CN"/>
              </w:rPr>
              <w:t>固废环境影响分析</w:t>
            </w:r>
          </w:p>
          <w:p w14:paraId="1AA4FAD1">
            <w:pPr>
              <w:adjustRightInd w:val="0"/>
              <w:snapToGrid w:val="0"/>
              <w:spacing w:line="500" w:lineRule="exact"/>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临时贮存可行性分析：</w:t>
            </w:r>
          </w:p>
          <w:p w14:paraId="72AABA52">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产生的废物应分类收集、分类贮存，并张贴标签储存在专门的场所内，一般固废、生活垃圾、危险废物应分开储存，不得混放。危废每季度周转一次，危废暂存场所按照《危险废物贮存污染控制标准》规范要求设置，设有防风、防雨、防晒、防渗漏等措施，并设置危险废物标识和警示牌。各堆场场所按照《环境保护图形标志-固体废物贮存（处置场）》设置</w:t>
            </w:r>
            <w:r>
              <w:rPr>
                <w:rFonts w:hint="eastAsia" w:cs="Times New Roman"/>
                <w:color w:val="auto"/>
                <w:sz w:val="21"/>
                <w:szCs w:val="21"/>
                <w:highlight w:val="none"/>
                <w:lang w:val="en-US" w:eastAsia="zh-CN"/>
              </w:rPr>
              <w:t>标识牌</w:t>
            </w:r>
            <w:r>
              <w:rPr>
                <w:rFonts w:hint="default" w:ascii="Times New Roman" w:hAnsi="Times New Roman" w:eastAsia="宋体" w:cs="Times New Roman"/>
                <w:color w:val="auto"/>
                <w:sz w:val="21"/>
                <w:szCs w:val="21"/>
                <w:highlight w:val="none"/>
                <w:lang w:val="en-US" w:eastAsia="zh-CN"/>
              </w:rPr>
              <w:t>。</w:t>
            </w:r>
          </w:p>
          <w:p w14:paraId="68415603">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企业应根据危险废物的种类和特性进行分区、分类贮存，设置防雨、防火、防雷、防扬散、防渗漏装置及泄漏液体收集装置。对易爆、易燃及排出有毒气体的危险废物进行预处理，稳定后贮存，否则按易爆、易燃危险品贮存。贮存废弃剧毒化学品的，应按照公安机关要求落实治安防范措施。</w:t>
            </w:r>
            <w:r>
              <w:rPr>
                <w:rFonts w:hint="default" w:ascii="Times New Roman" w:hAnsi="Times New Roman" w:eastAsia="宋体" w:cs="Times New Roman"/>
                <w:bCs/>
                <w:color w:val="auto"/>
                <w:sz w:val="21"/>
                <w:szCs w:val="21"/>
                <w:lang w:val="en-US" w:eastAsia="zh-CN"/>
              </w:rPr>
              <w:t>危险废物经营单位需制定废物入场控制措施，并不得接受核准经营许可以外的种类；贮存设施周转的累积贮存量不得超过年许可经营能力的六分之一，贮存期限原则上不得超过三个月。</w:t>
            </w:r>
          </w:p>
          <w:p w14:paraId="1F2B0F54">
            <w:pPr>
              <w:pStyle w:val="89"/>
              <w:keepNext w:val="0"/>
              <w:keepLines w:val="0"/>
              <w:pageBreakBefore w:val="0"/>
              <w:widowControl w:val="0"/>
              <w:kinsoku/>
              <w:wordWrap/>
              <w:overflowPunct/>
              <w:topLinePunct w:val="0"/>
              <w:autoSpaceDE w:val="0"/>
              <w:autoSpaceDN w:val="0"/>
              <w:bidi w:val="0"/>
              <w:adjustRightInd w:val="0"/>
              <w:snapToGrid w:val="0"/>
              <w:spacing w:beforeLines="0" w:line="500" w:lineRule="exact"/>
              <w:ind w:firstLine="0" w:firstLineChars="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表4-</w:t>
            </w:r>
            <w:r>
              <w:rPr>
                <w:rFonts w:hint="eastAsia" w:cs="Times New Roman"/>
                <w:b/>
                <w:color w:val="auto"/>
                <w:sz w:val="21"/>
                <w:szCs w:val="21"/>
                <w:lang w:val="en-US" w:eastAsia="zh-CN"/>
              </w:rPr>
              <w:t>21 项目</w:t>
            </w:r>
            <w:r>
              <w:rPr>
                <w:rFonts w:hint="default" w:ascii="Times New Roman" w:hAnsi="Times New Roman" w:eastAsia="宋体" w:cs="Times New Roman"/>
                <w:b/>
                <w:color w:val="auto"/>
                <w:sz w:val="21"/>
                <w:szCs w:val="21"/>
                <w:lang w:val="en-US" w:eastAsia="zh-CN"/>
              </w:rPr>
              <w:t>危险废物贮存场所（设施）基本情况表</w:t>
            </w:r>
          </w:p>
          <w:tbl>
            <w:tblPr>
              <w:tblStyle w:val="31"/>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86"/>
              <w:gridCol w:w="1308"/>
              <w:gridCol w:w="660"/>
              <w:gridCol w:w="644"/>
              <w:gridCol w:w="1188"/>
              <w:gridCol w:w="753"/>
              <w:gridCol w:w="713"/>
              <w:gridCol w:w="713"/>
              <w:gridCol w:w="713"/>
              <w:gridCol w:w="716"/>
              <w:gridCol w:w="1043"/>
            </w:tblGrid>
            <w:tr w14:paraId="4D3D90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219" w:type="pct"/>
                  <w:noWrap w:val="0"/>
                  <w:tcMar>
                    <w:top w:w="0" w:type="dxa"/>
                    <w:left w:w="11" w:type="dxa"/>
                    <w:bottom w:w="0" w:type="dxa"/>
                    <w:right w:w="11" w:type="dxa"/>
                  </w:tcMar>
                  <w:vAlign w:val="center"/>
                </w:tcPr>
                <w:p w14:paraId="22EE8A9A">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740" w:type="pct"/>
                  <w:noWrap w:val="0"/>
                  <w:tcMar>
                    <w:top w:w="0" w:type="dxa"/>
                    <w:left w:w="11" w:type="dxa"/>
                    <w:bottom w:w="0" w:type="dxa"/>
                    <w:right w:w="11" w:type="dxa"/>
                  </w:tcMar>
                  <w:vAlign w:val="center"/>
                </w:tcPr>
                <w:p w14:paraId="1467A6DF">
                  <w:pPr>
                    <w:pStyle w:val="10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名称</w:t>
                  </w:r>
                </w:p>
              </w:tc>
              <w:tc>
                <w:tcPr>
                  <w:tcW w:w="373" w:type="pct"/>
                  <w:noWrap w:val="0"/>
                  <w:tcMar>
                    <w:top w:w="0" w:type="dxa"/>
                    <w:left w:w="11" w:type="dxa"/>
                    <w:bottom w:w="0" w:type="dxa"/>
                    <w:right w:w="11" w:type="dxa"/>
                  </w:tcMar>
                  <w:vAlign w:val="center"/>
                </w:tcPr>
                <w:p w14:paraId="21916A78">
                  <w:pPr>
                    <w:pStyle w:val="10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属性</w:t>
                  </w:r>
                </w:p>
              </w:tc>
              <w:tc>
                <w:tcPr>
                  <w:tcW w:w="364" w:type="pct"/>
                  <w:noWrap w:val="0"/>
                  <w:tcMar>
                    <w:top w:w="0" w:type="dxa"/>
                    <w:left w:w="11" w:type="dxa"/>
                    <w:bottom w:w="0" w:type="dxa"/>
                    <w:right w:w="11" w:type="dxa"/>
                  </w:tcMar>
                  <w:vAlign w:val="center"/>
                </w:tcPr>
                <w:p w14:paraId="02F98DC7">
                  <w:pPr>
                    <w:pStyle w:val="10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类别</w:t>
                  </w:r>
                </w:p>
              </w:tc>
              <w:tc>
                <w:tcPr>
                  <w:tcW w:w="670" w:type="pct"/>
                  <w:noWrap w:val="0"/>
                  <w:tcMar>
                    <w:top w:w="0" w:type="dxa"/>
                    <w:left w:w="11" w:type="dxa"/>
                    <w:bottom w:w="0" w:type="dxa"/>
                    <w:right w:w="11" w:type="dxa"/>
                  </w:tcMar>
                  <w:vAlign w:val="center"/>
                </w:tcPr>
                <w:p w14:paraId="43658E30">
                  <w:pPr>
                    <w:pStyle w:val="10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代码</w:t>
                  </w:r>
                </w:p>
              </w:tc>
              <w:tc>
                <w:tcPr>
                  <w:tcW w:w="426" w:type="pct"/>
                  <w:noWrap w:val="0"/>
                  <w:tcMar>
                    <w:top w:w="0" w:type="dxa"/>
                    <w:left w:w="11" w:type="dxa"/>
                    <w:bottom w:w="0" w:type="dxa"/>
                    <w:right w:w="11" w:type="dxa"/>
                  </w:tcMar>
                  <w:vAlign w:val="center"/>
                </w:tcPr>
                <w:p w14:paraId="72B825A5">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产生量t/a</w:t>
                  </w:r>
                </w:p>
              </w:tc>
              <w:tc>
                <w:tcPr>
                  <w:tcW w:w="403" w:type="pct"/>
                  <w:noWrap w:val="0"/>
                  <w:tcMar>
                    <w:top w:w="0" w:type="dxa"/>
                    <w:left w:w="11" w:type="dxa"/>
                    <w:bottom w:w="0" w:type="dxa"/>
                    <w:right w:w="11" w:type="dxa"/>
                  </w:tcMar>
                  <w:vAlign w:val="center"/>
                </w:tcPr>
                <w:p w14:paraId="1DA8BF28">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贮存方式</w:t>
                  </w:r>
                </w:p>
              </w:tc>
              <w:tc>
                <w:tcPr>
                  <w:tcW w:w="403" w:type="pct"/>
                  <w:noWrap w:val="0"/>
                  <w:tcMar>
                    <w:top w:w="0" w:type="dxa"/>
                    <w:left w:w="11" w:type="dxa"/>
                    <w:bottom w:w="0" w:type="dxa"/>
                    <w:right w:w="11" w:type="dxa"/>
                  </w:tcMar>
                  <w:vAlign w:val="center"/>
                </w:tcPr>
                <w:p w14:paraId="2D32E613">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贮存周期</w:t>
                  </w:r>
                </w:p>
              </w:tc>
              <w:tc>
                <w:tcPr>
                  <w:tcW w:w="403" w:type="pct"/>
                  <w:noWrap w:val="0"/>
                  <w:tcMar>
                    <w:top w:w="0" w:type="dxa"/>
                    <w:left w:w="11" w:type="dxa"/>
                    <w:bottom w:w="0" w:type="dxa"/>
                    <w:right w:w="11" w:type="dxa"/>
                  </w:tcMar>
                  <w:vAlign w:val="center"/>
                </w:tcPr>
                <w:p w14:paraId="54F9E808">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占地面积m</w:t>
                  </w:r>
                  <w:r>
                    <w:rPr>
                      <w:rFonts w:hint="default" w:ascii="Times New Roman" w:hAnsi="Times New Roman" w:eastAsia="宋体" w:cs="Times New Roman"/>
                      <w:b/>
                      <w:bCs/>
                      <w:color w:val="auto"/>
                      <w:sz w:val="21"/>
                      <w:szCs w:val="21"/>
                      <w:vertAlign w:val="superscript"/>
                      <w:lang w:val="en-US" w:eastAsia="zh-CN"/>
                    </w:rPr>
                    <w:t>2</w:t>
                  </w:r>
                </w:p>
              </w:tc>
              <w:tc>
                <w:tcPr>
                  <w:tcW w:w="405" w:type="pct"/>
                  <w:noWrap w:val="0"/>
                  <w:tcMar>
                    <w:top w:w="0" w:type="dxa"/>
                    <w:left w:w="11" w:type="dxa"/>
                    <w:bottom w:w="0" w:type="dxa"/>
                    <w:right w:w="11" w:type="dxa"/>
                  </w:tcMar>
                  <w:vAlign w:val="center"/>
                </w:tcPr>
                <w:p w14:paraId="5C4A6F55">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shd w:val="clear" w:fill="auto"/>
                      <w:lang w:val="en-US" w:eastAsia="zh-CN"/>
                    </w:rPr>
                    <w:t>设计最大</w:t>
                  </w:r>
                  <w:r>
                    <w:rPr>
                      <w:rFonts w:hint="default" w:ascii="Times New Roman" w:hAnsi="Times New Roman" w:eastAsia="宋体" w:cs="Times New Roman"/>
                      <w:b/>
                      <w:bCs/>
                      <w:color w:val="auto"/>
                      <w:sz w:val="21"/>
                      <w:szCs w:val="21"/>
                      <w:lang w:val="en-US" w:eastAsia="zh-CN"/>
                    </w:rPr>
                    <w:t>贮存量t</w:t>
                  </w:r>
                </w:p>
              </w:tc>
              <w:tc>
                <w:tcPr>
                  <w:tcW w:w="590" w:type="pct"/>
                  <w:noWrap w:val="0"/>
                  <w:tcMar>
                    <w:top w:w="0" w:type="dxa"/>
                    <w:left w:w="11" w:type="dxa"/>
                    <w:bottom w:w="0" w:type="dxa"/>
                    <w:right w:w="11" w:type="dxa"/>
                  </w:tcMar>
                  <w:vAlign w:val="center"/>
                </w:tcPr>
                <w:p w14:paraId="2E564457">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贮存位置</w:t>
                  </w:r>
                </w:p>
              </w:tc>
            </w:tr>
            <w:tr w14:paraId="0EBCDB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noWrap w:val="0"/>
                  <w:tcMar>
                    <w:top w:w="0" w:type="dxa"/>
                    <w:left w:w="11" w:type="dxa"/>
                    <w:bottom w:w="0" w:type="dxa"/>
                    <w:right w:w="11" w:type="dxa"/>
                  </w:tcMar>
                  <w:vAlign w:val="center"/>
                </w:tcPr>
                <w:p w14:paraId="3D23825B">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w:t>
                  </w:r>
                </w:p>
              </w:tc>
              <w:tc>
                <w:tcPr>
                  <w:tcW w:w="740" w:type="pct"/>
                  <w:noWrap w:val="0"/>
                  <w:tcMar>
                    <w:top w:w="0" w:type="dxa"/>
                    <w:left w:w="11" w:type="dxa"/>
                    <w:bottom w:w="0" w:type="dxa"/>
                    <w:right w:w="11" w:type="dxa"/>
                  </w:tcMar>
                  <w:vAlign w:val="center"/>
                </w:tcPr>
                <w:p w14:paraId="674C8C4F">
                  <w:pPr>
                    <w:pStyle w:val="7"/>
                    <w:adjustRightInd w:val="0"/>
                    <w:snapToGrid w:val="0"/>
                    <w:ind w:firstLine="0" w:firstLineChars="0"/>
                    <w:jc w:val="center"/>
                    <w:rPr>
                      <w:rFonts w:hint="eastAsia" w:cs="Times New Roman"/>
                      <w:color w:val="auto"/>
                      <w:spacing w:val="2"/>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含油墨</w:t>
                  </w:r>
                  <w:r>
                    <w:rPr>
                      <w:rFonts w:hint="default" w:ascii="Times New Roman" w:hAnsi="Times New Roman" w:eastAsia="宋体" w:cs="Times New Roman"/>
                      <w:b w:val="0"/>
                      <w:bCs w:val="0"/>
                      <w:color w:val="auto"/>
                      <w:kern w:val="2"/>
                      <w:sz w:val="21"/>
                      <w:szCs w:val="21"/>
                      <w:lang w:val="en-US" w:eastAsia="zh-CN" w:bidi="ar-SA"/>
                    </w:rPr>
                    <w:t>废抹布</w:t>
                  </w:r>
                </w:p>
              </w:tc>
              <w:tc>
                <w:tcPr>
                  <w:tcW w:w="373" w:type="pct"/>
                  <w:vMerge w:val="restart"/>
                  <w:noWrap w:val="0"/>
                  <w:tcMar>
                    <w:top w:w="0" w:type="dxa"/>
                    <w:left w:w="11" w:type="dxa"/>
                    <w:bottom w:w="0" w:type="dxa"/>
                    <w:right w:w="11" w:type="dxa"/>
                  </w:tcMar>
                  <w:vAlign w:val="center"/>
                </w:tcPr>
                <w:p w14:paraId="6938B2C7">
                  <w:pPr>
                    <w:pStyle w:val="10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危险废物</w:t>
                  </w:r>
                </w:p>
              </w:tc>
              <w:tc>
                <w:tcPr>
                  <w:tcW w:w="364" w:type="pct"/>
                  <w:noWrap w:val="0"/>
                  <w:tcMar>
                    <w:top w:w="0" w:type="dxa"/>
                    <w:left w:w="11" w:type="dxa"/>
                    <w:bottom w:w="0" w:type="dxa"/>
                    <w:right w:w="11" w:type="dxa"/>
                  </w:tcMar>
                  <w:vAlign w:val="center"/>
                </w:tcPr>
                <w:p w14:paraId="412A0632">
                  <w:pPr>
                    <w:adjustRightInd w:val="0"/>
                    <w:snapToGrid w:val="0"/>
                    <w:jc w:val="center"/>
                    <w:rPr>
                      <w:bCs/>
                      <w:color w:val="auto"/>
                      <w:sz w:val="21"/>
                      <w:szCs w:val="21"/>
                    </w:rPr>
                  </w:pPr>
                  <w:r>
                    <w:rPr>
                      <w:rFonts w:hint="default" w:ascii="Times New Roman" w:hAnsi="Times New Roman" w:eastAsia="宋体" w:cs="Times New Roman"/>
                      <w:color w:val="auto"/>
                      <w:sz w:val="21"/>
                      <w:szCs w:val="21"/>
                    </w:rPr>
                    <w:t>HW49</w:t>
                  </w:r>
                </w:p>
              </w:tc>
              <w:tc>
                <w:tcPr>
                  <w:tcW w:w="670" w:type="pct"/>
                  <w:noWrap w:val="0"/>
                  <w:tcMar>
                    <w:top w:w="0" w:type="dxa"/>
                    <w:left w:w="11" w:type="dxa"/>
                    <w:bottom w:w="0" w:type="dxa"/>
                    <w:right w:w="11" w:type="dxa"/>
                  </w:tcMar>
                  <w:vAlign w:val="center"/>
                </w:tcPr>
                <w:p w14:paraId="708F75BD">
                  <w:pPr>
                    <w:adjustRightInd w:val="0"/>
                    <w:snapToGrid w:val="0"/>
                    <w:jc w:val="center"/>
                    <w:rPr>
                      <w:bCs/>
                      <w:color w:val="auto"/>
                      <w:sz w:val="21"/>
                      <w:szCs w:val="21"/>
                    </w:rPr>
                  </w:pPr>
                  <w:r>
                    <w:rPr>
                      <w:rFonts w:hint="default" w:ascii="Times New Roman" w:hAnsi="Times New Roman" w:eastAsia="宋体" w:cs="Times New Roman"/>
                      <w:color w:val="auto"/>
                      <w:sz w:val="21"/>
                      <w:szCs w:val="21"/>
                    </w:rPr>
                    <w:t>900-041-49</w:t>
                  </w:r>
                </w:p>
              </w:tc>
              <w:tc>
                <w:tcPr>
                  <w:tcW w:w="426" w:type="pct"/>
                  <w:noWrap w:val="0"/>
                  <w:tcMar>
                    <w:top w:w="0" w:type="dxa"/>
                    <w:left w:w="11" w:type="dxa"/>
                    <w:bottom w:w="0" w:type="dxa"/>
                    <w:right w:w="11" w:type="dxa"/>
                  </w:tcMar>
                  <w:vAlign w:val="center"/>
                </w:tcPr>
                <w:p w14:paraId="012F092B">
                  <w:pPr>
                    <w:adjustRightInd w:val="0"/>
                    <w:snapToGrid w:val="0"/>
                    <w:jc w:val="center"/>
                    <w:rPr>
                      <w:rFonts w:hint="default" w:cs="Times New Roman"/>
                      <w:color w:val="auto"/>
                      <w:sz w:val="21"/>
                      <w:szCs w:val="21"/>
                      <w:lang w:val="en-US" w:eastAsia="zh-CN"/>
                    </w:rPr>
                  </w:pPr>
                  <w:r>
                    <w:rPr>
                      <w:rFonts w:hint="eastAsia" w:cs="Times New Roman"/>
                      <w:bCs/>
                      <w:color w:val="auto"/>
                      <w:kern w:val="2"/>
                      <w:sz w:val="21"/>
                      <w:szCs w:val="21"/>
                      <w:lang w:val="en-US" w:eastAsia="zh-CN" w:bidi="ar-SA"/>
                    </w:rPr>
                    <w:t>0.1</w:t>
                  </w:r>
                </w:p>
              </w:tc>
              <w:tc>
                <w:tcPr>
                  <w:tcW w:w="403" w:type="pct"/>
                  <w:noWrap w:val="0"/>
                  <w:tcMar>
                    <w:top w:w="0" w:type="dxa"/>
                    <w:left w:w="11" w:type="dxa"/>
                    <w:bottom w:w="0" w:type="dxa"/>
                    <w:right w:w="11" w:type="dxa"/>
                  </w:tcMar>
                  <w:vAlign w:val="center"/>
                </w:tcPr>
                <w:p w14:paraId="3481F1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桶装</w:t>
                  </w:r>
                </w:p>
              </w:tc>
              <w:tc>
                <w:tcPr>
                  <w:tcW w:w="403" w:type="pct"/>
                  <w:noWrap w:val="0"/>
                  <w:tcMar>
                    <w:top w:w="0" w:type="dxa"/>
                    <w:left w:w="11" w:type="dxa"/>
                    <w:bottom w:w="0" w:type="dxa"/>
                    <w:right w:w="11" w:type="dxa"/>
                  </w:tcMar>
                  <w:vAlign w:val="center"/>
                </w:tcPr>
                <w:p w14:paraId="727E27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个月</w:t>
                  </w:r>
                </w:p>
              </w:tc>
              <w:tc>
                <w:tcPr>
                  <w:tcW w:w="403" w:type="pct"/>
                  <w:noWrap w:val="0"/>
                  <w:tcMar>
                    <w:top w:w="0" w:type="dxa"/>
                    <w:left w:w="11" w:type="dxa"/>
                    <w:bottom w:w="0" w:type="dxa"/>
                    <w:right w:w="11" w:type="dxa"/>
                  </w:tcMar>
                  <w:vAlign w:val="center"/>
                </w:tcPr>
                <w:p w14:paraId="44549F46">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0.5</w:t>
                  </w:r>
                </w:p>
              </w:tc>
              <w:tc>
                <w:tcPr>
                  <w:tcW w:w="405" w:type="pct"/>
                  <w:noWrap w:val="0"/>
                  <w:tcMar>
                    <w:top w:w="0" w:type="dxa"/>
                    <w:left w:w="11" w:type="dxa"/>
                    <w:bottom w:w="0" w:type="dxa"/>
                    <w:right w:w="11" w:type="dxa"/>
                  </w:tcMar>
                  <w:vAlign w:val="center"/>
                </w:tcPr>
                <w:p w14:paraId="4A330F75">
                  <w:pPr>
                    <w:adjustRightInd w:val="0"/>
                    <w:snapToGrid w:val="0"/>
                    <w:jc w:val="center"/>
                    <w:rPr>
                      <w:rFonts w:hint="default" w:cs="Times New Roman"/>
                      <w:color w:val="auto"/>
                      <w:sz w:val="21"/>
                      <w:szCs w:val="21"/>
                      <w:lang w:val="en-US" w:eastAsia="zh-CN"/>
                    </w:rPr>
                  </w:pPr>
                  <w:r>
                    <w:rPr>
                      <w:rFonts w:hint="eastAsia" w:ascii="Times New Roman" w:hAnsi="Times New Roman" w:cs="Times New Roman"/>
                      <w:bCs/>
                      <w:color w:val="auto"/>
                      <w:kern w:val="2"/>
                      <w:sz w:val="21"/>
                      <w:szCs w:val="21"/>
                      <w:lang w:val="en-US" w:eastAsia="zh-CN" w:bidi="ar-SA"/>
                    </w:rPr>
                    <w:t>0.</w:t>
                  </w:r>
                  <w:r>
                    <w:rPr>
                      <w:rFonts w:hint="eastAsia" w:cs="Times New Roman"/>
                      <w:bCs/>
                      <w:color w:val="auto"/>
                      <w:kern w:val="2"/>
                      <w:sz w:val="21"/>
                      <w:szCs w:val="21"/>
                      <w:lang w:val="en-US" w:eastAsia="zh-CN" w:bidi="ar-SA"/>
                    </w:rPr>
                    <w:t>0</w:t>
                  </w:r>
                  <w:r>
                    <w:rPr>
                      <w:rFonts w:hint="eastAsia" w:ascii="Times New Roman" w:hAnsi="Times New Roman" w:cs="Times New Roman"/>
                      <w:bCs/>
                      <w:color w:val="auto"/>
                      <w:kern w:val="2"/>
                      <w:sz w:val="21"/>
                      <w:szCs w:val="21"/>
                      <w:lang w:val="en-US" w:eastAsia="zh-CN" w:bidi="ar-SA"/>
                    </w:rPr>
                    <w:t>2</w:t>
                  </w:r>
                  <w:r>
                    <w:rPr>
                      <w:rFonts w:hint="eastAsia" w:cs="Times New Roman"/>
                      <w:bCs/>
                      <w:color w:val="auto"/>
                      <w:kern w:val="2"/>
                      <w:sz w:val="21"/>
                      <w:szCs w:val="21"/>
                      <w:lang w:val="en-US" w:eastAsia="zh-CN" w:bidi="ar-SA"/>
                    </w:rPr>
                    <w:t>5</w:t>
                  </w:r>
                </w:p>
              </w:tc>
              <w:tc>
                <w:tcPr>
                  <w:tcW w:w="590" w:type="pct"/>
                  <w:vMerge w:val="restart"/>
                  <w:noWrap w:val="0"/>
                  <w:tcMar>
                    <w:top w:w="0" w:type="dxa"/>
                    <w:left w:w="11" w:type="dxa"/>
                    <w:bottom w:w="0" w:type="dxa"/>
                    <w:right w:w="11" w:type="dxa"/>
                  </w:tcMar>
                  <w:vAlign w:val="center"/>
                </w:tcPr>
                <w:p w14:paraId="63D89473">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w:t>
                  </w:r>
                  <w:r>
                    <w:rPr>
                      <w:rFonts w:hint="default" w:ascii="Times New Roman" w:hAnsi="Times New Roman" w:eastAsia="宋体" w:cs="Times New Roman"/>
                      <w:color w:val="auto"/>
                      <w:sz w:val="21"/>
                      <w:szCs w:val="21"/>
                      <w:shd w:val="clear" w:fill="auto"/>
                      <w:lang w:val="en-US" w:eastAsia="zh-CN"/>
                    </w:rPr>
                    <w:t>废物</w:t>
                  </w:r>
                  <w:r>
                    <w:rPr>
                      <w:rFonts w:hint="eastAsia" w:cs="Times New Roman"/>
                      <w:color w:val="auto"/>
                      <w:sz w:val="21"/>
                      <w:szCs w:val="21"/>
                      <w:lang w:val="en-US" w:eastAsia="zh-CN"/>
                    </w:rPr>
                    <w:t>仓库</w:t>
                  </w:r>
                </w:p>
              </w:tc>
            </w:tr>
            <w:tr w14:paraId="7D6CC5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noWrap w:val="0"/>
                  <w:tcMar>
                    <w:top w:w="0" w:type="dxa"/>
                    <w:left w:w="11" w:type="dxa"/>
                    <w:bottom w:w="0" w:type="dxa"/>
                    <w:right w:w="11" w:type="dxa"/>
                  </w:tcMar>
                  <w:vAlign w:val="center"/>
                </w:tcPr>
                <w:p w14:paraId="49FB3671">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2</w:t>
                  </w:r>
                </w:p>
              </w:tc>
              <w:tc>
                <w:tcPr>
                  <w:tcW w:w="740" w:type="pct"/>
                  <w:noWrap w:val="0"/>
                  <w:tcMar>
                    <w:top w:w="0" w:type="dxa"/>
                    <w:left w:w="11" w:type="dxa"/>
                    <w:bottom w:w="0" w:type="dxa"/>
                    <w:right w:w="11" w:type="dxa"/>
                  </w:tcMar>
                  <w:vAlign w:val="center"/>
                </w:tcPr>
                <w:p w14:paraId="5EFF6588">
                  <w:pPr>
                    <w:pStyle w:val="7"/>
                    <w:adjustRightInd w:val="0"/>
                    <w:snapToGrid w:val="0"/>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废包装桶</w:t>
                  </w:r>
                </w:p>
              </w:tc>
              <w:tc>
                <w:tcPr>
                  <w:tcW w:w="373" w:type="pct"/>
                  <w:vMerge w:val="continue"/>
                  <w:noWrap w:val="0"/>
                  <w:tcMar>
                    <w:top w:w="0" w:type="dxa"/>
                    <w:left w:w="11" w:type="dxa"/>
                    <w:bottom w:w="0" w:type="dxa"/>
                    <w:right w:w="11" w:type="dxa"/>
                  </w:tcMar>
                  <w:vAlign w:val="center"/>
                </w:tcPr>
                <w:p w14:paraId="5EC7EBEF">
                  <w:pPr>
                    <w:pStyle w:val="10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lang w:val="en-US" w:eastAsia="zh-CN"/>
                    </w:rPr>
                  </w:pPr>
                </w:p>
              </w:tc>
              <w:tc>
                <w:tcPr>
                  <w:tcW w:w="364" w:type="pct"/>
                  <w:noWrap w:val="0"/>
                  <w:tcMar>
                    <w:top w:w="0" w:type="dxa"/>
                    <w:left w:w="11" w:type="dxa"/>
                    <w:bottom w:w="0" w:type="dxa"/>
                    <w:right w:w="11" w:type="dxa"/>
                  </w:tcMar>
                  <w:vAlign w:val="center"/>
                </w:tcPr>
                <w:p w14:paraId="746636A9">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HW49</w:t>
                  </w:r>
                </w:p>
              </w:tc>
              <w:tc>
                <w:tcPr>
                  <w:tcW w:w="670" w:type="pct"/>
                  <w:noWrap w:val="0"/>
                  <w:tcMar>
                    <w:top w:w="0" w:type="dxa"/>
                    <w:left w:w="11" w:type="dxa"/>
                    <w:bottom w:w="0" w:type="dxa"/>
                    <w:right w:w="11" w:type="dxa"/>
                  </w:tcMar>
                  <w:vAlign w:val="center"/>
                </w:tcPr>
                <w:p w14:paraId="730C6D1D">
                  <w:pPr>
                    <w:adjustRightInd w:val="0"/>
                    <w:snapToGrid w:val="0"/>
                    <w:jc w:val="center"/>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eastAsia="宋体" w:cs="Times New Roman"/>
                      <w:color w:val="auto"/>
                      <w:sz w:val="21"/>
                      <w:szCs w:val="21"/>
                    </w:rPr>
                    <w:t>900-041-49</w:t>
                  </w:r>
                </w:p>
              </w:tc>
              <w:tc>
                <w:tcPr>
                  <w:tcW w:w="426" w:type="pct"/>
                  <w:noWrap w:val="0"/>
                  <w:tcMar>
                    <w:top w:w="0" w:type="dxa"/>
                    <w:left w:w="11" w:type="dxa"/>
                    <w:bottom w:w="0" w:type="dxa"/>
                    <w:right w:w="11" w:type="dxa"/>
                  </w:tcMar>
                  <w:vAlign w:val="center"/>
                </w:tcPr>
                <w:p w14:paraId="56BB68F2">
                  <w:pPr>
                    <w:adjustRightInd w:val="0"/>
                    <w:snapToGrid w:val="0"/>
                    <w:jc w:val="center"/>
                    <w:rPr>
                      <w:rFonts w:hint="default" w:cs="Times New Roman"/>
                      <w:color w:val="auto"/>
                      <w:sz w:val="21"/>
                      <w:szCs w:val="21"/>
                      <w:highlight w:val="none"/>
                      <w:lang w:val="en-US" w:eastAsia="zh-CN"/>
                    </w:rPr>
                  </w:pPr>
                  <w:r>
                    <w:rPr>
                      <w:rFonts w:hint="eastAsia" w:cs="Times New Roman"/>
                      <w:b w:val="0"/>
                      <w:bCs w:val="0"/>
                      <w:color w:val="auto"/>
                      <w:kern w:val="2"/>
                      <w:sz w:val="21"/>
                      <w:szCs w:val="21"/>
                      <w:lang w:val="en-US" w:eastAsia="zh-CN" w:bidi="ar-SA"/>
                    </w:rPr>
                    <w:t>0.75</w:t>
                  </w:r>
                </w:p>
              </w:tc>
              <w:tc>
                <w:tcPr>
                  <w:tcW w:w="403" w:type="pct"/>
                  <w:noWrap w:val="0"/>
                  <w:tcMar>
                    <w:top w:w="0" w:type="dxa"/>
                    <w:left w:w="11" w:type="dxa"/>
                    <w:bottom w:w="0" w:type="dxa"/>
                    <w:right w:w="11" w:type="dxa"/>
                  </w:tcMar>
                  <w:vAlign w:val="center"/>
                </w:tcPr>
                <w:p w14:paraId="752BAD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防渗托盘</w:t>
                  </w:r>
                </w:p>
              </w:tc>
              <w:tc>
                <w:tcPr>
                  <w:tcW w:w="403" w:type="pct"/>
                  <w:noWrap w:val="0"/>
                  <w:tcMar>
                    <w:top w:w="0" w:type="dxa"/>
                    <w:left w:w="11" w:type="dxa"/>
                    <w:bottom w:w="0" w:type="dxa"/>
                    <w:right w:w="11" w:type="dxa"/>
                  </w:tcMar>
                  <w:vAlign w:val="center"/>
                </w:tcPr>
                <w:p w14:paraId="189AAA72">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个月</w:t>
                  </w:r>
                </w:p>
              </w:tc>
              <w:tc>
                <w:tcPr>
                  <w:tcW w:w="403" w:type="pct"/>
                  <w:noWrap w:val="0"/>
                  <w:tcMar>
                    <w:top w:w="0" w:type="dxa"/>
                    <w:left w:w="11" w:type="dxa"/>
                    <w:bottom w:w="0" w:type="dxa"/>
                    <w:right w:w="11" w:type="dxa"/>
                  </w:tcMar>
                  <w:vAlign w:val="center"/>
                </w:tcPr>
                <w:p w14:paraId="6982F04F">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0.5</w:t>
                  </w:r>
                </w:p>
              </w:tc>
              <w:tc>
                <w:tcPr>
                  <w:tcW w:w="405" w:type="pct"/>
                  <w:noWrap w:val="0"/>
                  <w:tcMar>
                    <w:top w:w="0" w:type="dxa"/>
                    <w:left w:w="11" w:type="dxa"/>
                    <w:bottom w:w="0" w:type="dxa"/>
                    <w:right w:w="11" w:type="dxa"/>
                  </w:tcMar>
                  <w:vAlign w:val="center"/>
                </w:tcPr>
                <w:p w14:paraId="5DBB1D45">
                  <w:pPr>
                    <w:adjustRightInd w:val="0"/>
                    <w:snapToGrid w:val="0"/>
                    <w:jc w:val="center"/>
                    <w:rPr>
                      <w:rFonts w:hint="default" w:cs="Times New Roman"/>
                      <w:color w:val="auto"/>
                      <w:sz w:val="21"/>
                      <w:szCs w:val="21"/>
                      <w:lang w:val="en-US" w:eastAsia="zh-CN"/>
                    </w:rPr>
                  </w:pPr>
                  <w:r>
                    <w:rPr>
                      <w:rFonts w:hint="eastAsia" w:ascii="Times New Roman" w:hAnsi="Times New Roman" w:cs="Times New Roman"/>
                      <w:bCs/>
                      <w:color w:val="auto"/>
                      <w:kern w:val="2"/>
                      <w:sz w:val="21"/>
                      <w:szCs w:val="21"/>
                      <w:lang w:val="en-US" w:eastAsia="zh-CN" w:bidi="ar-SA"/>
                    </w:rPr>
                    <w:t>0.</w:t>
                  </w:r>
                  <w:r>
                    <w:rPr>
                      <w:rFonts w:hint="eastAsia" w:cs="Times New Roman"/>
                      <w:bCs/>
                      <w:color w:val="auto"/>
                      <w:kern w:val="2"/>
                      <w:sz w:val="21"/>
                      <w:szCs w:val="21"/>
                      <w:lang w:val="en-US" w:eastAsia="zh-CN" w:bidi="ar-SA"/>
                    </w:rPr>
                    <w:t>188</w:t>
                  </w:r>
                </w:p>
              </w:tc>
              <w:tc>
                <w:tcPr>
                  <w:tcW w:w="590" w:type="pct"/>
                  <w:vMerge w:val="continue"/>
                  <w:noWrap w:val="0"/>
                  <w:tcMar>
                    <w:top w:w="0" w:type="dxa"/>
                    <w:left w:w="11" w:type="dxa"/>
                    <w:bottom w:w="0" w:type="dxa"/>
                    <w:right w:w="11" w:type="dxa"/>
                  </w:tcMar>
                  <w:vAlign w:val="center"/>
                </w:tcPr>
                <w:p w14:paraId="35C24778">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62C5FF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noWrap w:val="0"/>
                  <w:tcMar>
                    <w:top w:w="0" w:type="dxa"/>
                    <w:left w:w="11" w:type="dxa"/>
                    <w:bottom w:w="0" w:type="dxa"/>
                    <w:right w:w="11" w:type="dxa"/>
                  </w:tcMar>
                  <w:vAlign w:val="center"/>
                </w:tcPr>
                <w:p w14:paraId="77C8B2E1">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3</w:t>
                  </w:r>
                </w:p>
              </w:tc>
              <w:tc>
                <w:tcPr>
                  <w:tcW w:w="740" w:type="pct"/>
                  <w:noWrap w:val="0"/>
                  <w:tcMar>
                    <w:top w:w="0" w:type="dxa"/>
                    <w:left w:w="11" w:type="dxa"/>
                    <w:bottom w:w="0" w:type="dxa"/>
                    <w:right w:w="11" w:type="dxa"/>
                  </w:tcMar>
                  <w:vAlign w:val="center"/>
                </w:tcPr>
                <w:p w14:paraId="478D7215">
                  <w:pPr>
                    <w:pStyle w:val="7"/>
                    <w:adjustRightInd w:val="0"/>
                    <w:snapToGrid w:val="0"/>
                    <w:ind w:firstLine="0" w:firstLineChars="0"/>
                    <w:jc w:val="center"/>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cs="Times New Roman"/>
                      <w:color w:val="auto"/>
                      <w:sz w:val="21"/>
                      <w:szCs w:val="21"/>
                      <w:lang w:val="en-US" w:eastAsia="zh-CN"/>
                    </w:rPr>
                    <w:t>废活性炭</w:t>
                  </w:r>
                </w:p>
              </w:tc>
              <w:tc>
                <w:tcPr>
                  <w:tcW w:w="373" w:type="pct"/>
                  <w:vMerge w:val="continue"/>
                  <w:noWrap w:val="0"/>
                  <w:tcMar>
                    <w:top w:w="0" w:type="dxa"/>
                    <w:left w:w="11" w:type="dxa"/>
                    <w:bottom w:w="0" w:type="dxa"/>
                    <w:right w:w="11" w:type="dxa"/>
                  </w:tcMar>
                  <w:vAlign w:val="center"/>
                </w:tcPr>
                <w:p w14:paraId="60BB3E95">
                  <w:pPr>
                    <w:pStyle w:val="10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364" w:type="pct"/>
                  <w:noWrap w:val="0"/>
                  <w:tcMar>
                    <w:top w:w="0" w:type="dxa"/>
                    <w:left w:w="11" w:type="dxa"/>
                    <w:bottom w:w="0" w:type="dxa"/>
                    <w:right w:w="11" w:type="dxa"/>
                  </w:tcMar>
                  <w:vAlign w:val="center"/>
                </w:tcPr>
                <w:p w14:paraId="7ED9708E">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HW49</w:t>
                  </w:r>
                </w:p>
              </w:tc>
              <w:tc>
                <w:tcPr>
                  <w:tcW w:w="670" w:type="pct"/>
                  <w:noWrap w:val="0"/>
                  <w:tcMar>
                    <w:top w:w="0" w:type="dxa"/>
                    <w:left w:w="11" w:type="dxa"/>
                    <w:bottom w:w="0" w:type="dxa"/>
                    <w:right w:w="11" w:type="dxa"/>
                  </w:tcMar>
                  <w:vAlign w:val="center"/>
                </w:tcPr>
                <w:p w14:paraId="3695D5FE">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900-039-49</w:t>
                  </w:r>
                </w:p>
              </w:tc>
              <w:tc>
                <w:tcPr>
                  <w:tcW w:w="426" w:type="pct"/>
                  <w:noWrap w:val="0"/>
                  <w:tcMar>
                    <w:top w:w="0" w:type="dxa"/>
                    <w:left w:w="11" w:type="dxa"/>
                    <w:bottom w:w="0" w:type="dxa"/>
                    <w:right w:w="11" w:type="dxa"/>
                  </w:tcMar>
                  <w:vAlign w:val="center"/>
                </w:tcPr>
                <w:p w14:paraId="4855B031">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bCs/>
                      <w:color w:val="auto"/>
                      <w:kern w:val="2"/>
                      <w:sz w:val="21"/>
                      <w:szCs w:val="21"/>
                      <w:lang w:val="en-US" w:eastAsia="zh-CN" w:bidi="ar-SA"/>
                    </w:rPr>
                    <w:t>10.75</w:t>
                  </w:r>
                </w:p>
              </w:tc>
              <w:tc>
                <w:tcPr>
                  <w:tcW w:w="403" w:type="pct"/>
                  <w:noWrap w:val="0"/>
                  <w:tcMar>
                    <w:top w:w="0" w:type="dxa"/>
                    <w:left w:w="11" w:type="dxa"/>
                    <w:bottom w:w="0" w:type="dxa"/>
                    <w:right w:w="11" w:type="dxa"/>
                  </w:tcMar>
                  <w:vAlign w:val="center"/>
                </w:tcPr>
                <w:p w14:paraId="1C7003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袋装</w:t>
                  </w:r>
                </w:p>
              </w:tc>
              <w:tc>
                <w:tcPr>
                  <w:tcW w:w="403" w:type="pct"/>
                  <w:noWrap w:val="0"/>
                  <w:tcMar>
                    <w:top w:w="0" w:type="dxa"/>
                    <w:left w:w="11" w:type="dxa"/>
                    <w:bottom w:w="0" w:type="dxa"/>
                    <w:right w:w="11" w:type="dxa"/>
                  </w:tcMar>
                  <w:vAlign w:val="center"/>
                </w:tcPr>
                <w:p w14:paraId="474EFC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个月</w:t>
                  </w:r>
                </w:p>
              </w:tc>
              <w:tc>
                <w:tcPr>
                  <w:tcW w:w="403" w:type="pct"/>
                  <w:noWrap w:val="0"/>
                  <w:tcMar>
                    <w:top w:w="0" w:type="dxa"/>
                    <w:left w:w="11" w:type="dxa"/>
                    <w:bottom w:w="0" w:type="dxa"/>
                    <w:right w:w="11" w:type="dxa"/>
                  </w:tcMar>
                  <w:vAlign w:val="center"/>
                </w:tcPr>
                <w:p w14:paraId="48903739">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4</w:t>
                  </w:r>
                </w:p>
              </w:tc>
              <w:tc>
                <w:tcPr>
                  <w:tcW w:w="405" w:type="pct"/>
                  <w:noWrap w:val="0"/>
                  <w:tcMar>
                    <w:top w:w="0" w:type="dxa"/>
                    <w:left w:w="11" w:type="dxa"/>
                    <w:bottom w:w="0" w:type="dxa"/>
                    <w:right w:w="11" w:type="dxa"/>
                  </w:tcMar>
                  <w:vAlign w:val="center"/>
                </w:tcPr>
                <w:p w14:paraId="168A2C64">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2.688</w:t>
                  </w:r>
                </w:p>
              </w:tc>
              <w:tc>
                <w:tcPr>
                  <w:tcW w:w="590" w:type="pct"/>
                  <w:vMerge w:val="continue"/>
                  <w:noWrap w:val="0"/>
                  <w:tcMar>
                    <w:top w:w="0" w:type="dxa"/>
                    <w:left w:w="11" w:type="dxa"/>
                    <w:bottom w:w="0" w:type="dxa"/>
                    <w:right w:w="11" w:type="dxa"/>
                  </w:tcMar>
                  <w:vAlign w:val="center"/>
                </w:tcPr>
                <w:p w14:paraId="163F73CC">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10A1C2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8" w:type="pct"/>
                  <w:gridSpan w:val="5"/>
                  <w:noWrap w:val="0"/>
                  <w:tcMar>
                    <w:top w:w="0" w:type="dxa"/>
                    <w:left w:w="11" w:type="dxa"/>
                    <w:bottom w:w="0" w:type="dxa"/>
                    <w:right w:w="11" w:type="dxa"/>
                  </w:tcMar>
                  <w:vAlign w:val="center"/>
                </w:tcPr>
                <w:p w14:paraId="38517DBA">
                  <w:pPr>
                    <w:pStyle w:val="10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合计</w:t>
                  </w:r>
                </w:p>
              </w:tc>
              <w:tc>
                <w:tcPr>
                  <w:tcW w:w="426" w:type="pct"/>
                  <w:noWrap w:val="0"/>
                  <w:tcMar>
                    <w:top w:w="0" w:type="dxa"/>
                    <w:left w:w="11" w:type="dxa"/>
                    <w:bottom w:w="0" w:type="dxa"/>
                    <w:right w:w="11" w:type="dxa"/>
                  </w:tcMar>
                  <w:vAlign w:val="center"/>
                </w:tcPr>
                <w:p w14:paraId="4683114D">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3" w:type="pct"/>
                  <w:noWrap w:val="0"/>
                  <w:tcMar>
                    <w:top w:w="0" w:type="dxa"/>
                    <w:left w:w="11" w:type="dxa"/>
                    <w:bottom w:w="0" w:type="dxa"/>
                    <w:right w:w="11" w:type="dxa"/>
                  </w:tcMar>
                  <w:vAlign w:val="center"/>
                </w:tcPr>
                <w:p w14:paraId="1D6E8E52">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3" w:type="pct"/>
                  <w:noWrap w:val="0"/>
                  <w:tcMar>
                    <w:top w:w="0" w:type="dxa"/>
                    <w:left w:w="11" w:type="dxa"/>
                    <w:bottom w:w="0" w:type="dxa"/>
                    <w:right w:w="11" w:type="dxa"/>
                  </w:tcMar>
                  <w:vAlign w:val="center"/>
                </w:tcPr>
                <w:p w14:paraId="1B7EB92B">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3" w:type="pct"/>
                  <w:noWrap w:val="0"/>
                  <w:tcMar>
                    <w:top w:w="0" w:type="dxa"/>
                    <w:left w:w="11" w:type="dxa"/>
                    <w:bottom w:w="0" w:type="dxa"/>
                    <w:right w:w="11" w:type="dxa"/>
                  </w:tcMar>
                  <w:vAlign w:val="center"/>
                </w:tcPr>
                <w:p w14:paraId="1F132882">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405" w:type="pct"/>
                  <w:noWrap w:val="0"/>
                  <w:tcMar>
                    <w:top w:w="0" w:type="dxa"/>
                    <w:left w:w="11" w:type="dxa"/>
                    <w:bottom w:w="0" w:type="dxa"/>
                    <w:right w:w="11" w:type="dxa"/>
                  </w:tcMar>
                  <w:vAlign w:val="center"/>
                </w:tcPr>
                <w:p w14:paraId="176841A5">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90" w:type="pct"/>
                  <w:noWrap w:val="0"/>
                  <w:tcMar>
                    <w:top w:w="0" w:type="dxa"/>
                    <w:left w:w="11" w:type="dxa"/>
                    <w:bottom w:w="0" w:type="dxa"/>
                    <w:right w:w="11" w:type="dxa"/>
                  </w:tcMar>
                  <w:vAlign w:val="center"/>
                </w:tcPr>
                <w:p w14:paraId="2318E883">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14:paraId="7AD67FA7">
            <w:pPr>
              <w:pStyle w:val="7"/>
              <w:adjustRightInd w:val="0"/>
              <w:snapToGrid w:val="0"/>
              <w:spacing w:line="500" w:lineRule="exact"/>
              <w:ind w:firstLine="420" w:firstLineChars="200"/>
              <w:rPr>
                <w:color w:val="auto"/>
                <w:sz w:val="21"/>
                <w:szCs w:val="21"/>
              </w:rPr>
            </w:pPr>
            <w:r>
              <w:rPr>
                <w:rFonts w:hint="default" w:ascii="Times New Roman" w:hAnsi="Times New Roman" w:eastAsia="宋体" w:cs="Times New Roman"/>
                <w:color w:val="auto"/>
                <w:sz w:val="21"/>
                <w:szCs w:val="21"/>
                <w:lang w:val="en-US" w:eastAsia="zh-CN"/>
              </w:rPr>
              <w:t>本项目危险废物收集后密闭袋装或桶装暂存于危险废物</w:t>
            </w:r>
            <w:r>
              <w:rPr>
                <w:rFonts w:hint="default" w:ascii="Times New Roman" w:hAnsi="Times New Roman" w:cs="Times New Roman"/>
                <w:color w:val="auto"/>
                <w:sz w:val="21"/>
                <w:szCs w:val="21"/>
                <w:lang w:val="en-US" w:eastAsia="zh-CN"/>
              </w:rPr>
              <w:t>仓库</w:t>
            </w:r>
            <w:r>
              <w:rPr>
                <w:rFonts w:hint="default" w:ascii="Times New Roman" w:hAnsi="Times New Roman" w:eastAsia="宋体" w:cs="Times New Roman"/>
                <w:color w:val="auto"/>
                <w:sz w:val="21"/>
                <w:szCs w:val="21"/>
                <w:lang w:val="en-US" w:eastAsia="zh-CN"/>
              </w:rPr>
              <w:t>，由上表可知危险废物贮存占用面积约为</w:t>
            </w:r>
            <w:r>
              <w:rPr>
                <w:rFonts w:hint="eastAsia"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，项目</w:t>
            </w:r>
            <w:r>
              <w:rPr>
                <w:rFonts w:hint="default" w:ascii="Times New Roman" w:hAnsi="Times New Roman" w:cs="Times New Roman"/>
                <w:color w:val="auto"/>
                <w:sz w:val="21"/>
                <w:szCs w:val="21"/>
                <w:lang w:val="en-US" w:eastAsia="zh-CN"/>
              </w:rPr>
              <w:t>拟</w:t>
            </w:r>
            <w:r>
              <w:rPr>
                <w:rFonts w:hint="default" w:ascii="Times New Roman" w:hAnsi="Times New Roman" w:eastAsia="宋体" w:cs="Times New Roman"/>
                <w:color w:val="auto"/>
                <w:sz w:val="21"/>
                <w:szCs w:val="21"/>
                <w:lang w:val="en-US" w:eastAsia="zh-CN"/>
              </w:rPr>
              <w:t>设置一个</w:t>
            </w:r>
            <w:r>
              <w:rPr>
                <w:rFonts w:hint="default" w:ascii="Times New Roman" w:hAnsi="Times New Roman" w:cs="Times New Roman"/>
                <w:color w:val="auto"/>
                <w:sz w:val="21"/>
                <w:szCs w:val="21"/>
                <w:lang w:val="en-US" w:eastAsia="zh-CN"/>
              </w:rPr>
              <w:t>10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危险废物</w:t>
            </w:r>
            <w:r>
              <w:rPr>
                <w:rFonts w:hint="default" w:ascii="Times New Roman" w:hAnsi="Times New Roman" w:cs="Times New Roman"/>
                <w:color w:val="auto"/>
                <w:sz w:val="21"/>
                <w:szCs w:val="21"/>
                <w:lang w:val="en-US" w:eastAsia="zh-CN"/>
              </w:rPr>
              <w:t>仓库</w:t>
            </w:r>
            <w:r>
              <w:rPr>
                <w:rFonts w:hint="default" w:ascii="Times New Roman" w:hAnsi="Times New Roman" w:eastAsia="宋体" w:cs="Times New Roman"/>
                <w:color w:val="auto"/>
                <w:sz w:val="21"/>
                <w:szCs w:val="21"/>
                <w:lang w:val="en-US" w:eastAsia="zh-CN"/>
              </w:rPr>
              <w:t>，可满足</w:t>
            </w:r>
            <w:r>
              <w:rPr>
                <w:rFonts w:hint="default" w:ascii="Times New Roman" w:hAnsi="Times New Roman" w:cs="Times New Roman"/>
                <w:color w:val="auto"/>
                <w:sz w:val="21"/>
                <w:szCs w:val="21"/>
                <w:lang w:val="en-US" w:eastAsia="zh-CN"/>
              </w:rPr>
              <w:t>本项目</w:t>
            </w:r>
            <w:r>
              <w:rPr>
                <w:rFonts w:hint="default" w:ascii="Times New Roman" w:hAnsi="Times New Roman" w:eastAsia="宋体" w:cs="Times New Roman"/>
                <w:color w:val="auto"/>
                <w:sz w:val="21"/>
                <w:szCs w:val="21"/>
                <w:lang w:val="en-US" w:eastAsia="zh-CN"/>
              </w:rPr>
              <w:t>各类危险废物暂存需求</w:t>
            </w:r>
            <w:r>
              <w:rPr>
                <w:rFonts w:hint="default" w:ascii="Times New Roman" w:hAnsi="Times New Roman" w:cs="Times New Roman"/>
                <w:color w:val="auto"/>
                <w:sz w:val="21"/>
                <w:szCs w:val="21"/>
                <w:lang w:val="en-US" w:eastAsia="zh-CN"/>
              </w:rPr>
              <w:t>。</w:t>
            </w:r>
          </w:p>
          <w:p w14:paraId="057E6D31">
            <w:pPr>
              <w:keepNext w:val="0"/>
              <w:keepLines w:val="0"/>
              <w:pageBreakBefore w:val="0"/>
              <w:widowControl w:val="0"/>
              <w:tabs>
                <w:tab w:val="left" w:pos="7560"/>
              </w:tabs>
              <w:kinsoku/>
              <w:wordWrap/>
              <w:overflowPunct/>
              <w:topLinePunct w:val="0"/>
              <w:bidi w:val="0"/>
              <w:adjustRightInd w:val="0"/>
              <w:snapToGrid w:val="0"/>
              <w:spacing w:line="460" w:lineRule="exact"/>
              <w:ind w:firstLine="420" w:firstLineChars="200"/>
              <w:textAlignment w:val="auto"/>
              <w:rPr>
                <w:rFonts w:hint="default"/>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本项目生产过程产生的废活性炭（HW49，900-039-49）可委托常州富创再生资源有限公司</w:t>
            </w:r>
            <w:r>
              <w:rPr>
                <w:rFonts w:hint="eastAsia" w:ascii="Times New Roman" w:hAnsi="Times New Roman" w:eastAsia="宋体" w:cs="Times New Roman"/>
                <w:color w:val="auto"/>
                <w:kern w:val="2"/>
                <w:sz w:val="21"/>
                <w:szCs w:val="21"/>
                <w:lang w:val="en-US" w:eastAsia="zh-CN" w:bidi="ar-SA"/>
              </w:rPr>
              <w:t>（利用废活性炭（HW05，266-001-05）、(HW06，900-405-06) （不包括900-401-06中所列废有机溶剂再生处理过程中产生的废活性炭）、（HW39，261-071-39）、（HW49，900-039-49、900-041-49）5000吨/年）</w:t>
            </w:r>
            <w:r>
              <w:rPr>
                <w:rFonts w:hint="default" w:ascii="Times New Roman" w:hAnsi="Times New Roman" w:eastAsia="宋体" w:cs="Times New Roman"/>
                <w:color w:val="auto"/>
                <w:kern w:val="2"/>
                <w:sz w:val="21"/>
                <w:szCs w:val="21"/>
                <w:lang w:val="en-US" w:eastAsia="zh-CN" w:bidi="ar-SA"/>
              </w:rPr>
              <w:t>等单位无害化处置；</w:t>
            </w:r>
            <w:r>
              <w:rPr>
                <w:rFonts w:hint="eastAsia" w:cs="Times New Roman"/>
                <w:color w:val="auto"/>
                <w:kern w:val="2"/>
                <w:sz w:val="21"/>
                <w:szCs w:val="21"/>
                <w:lang w:val="en-US" w:eastAsia="zh-CN" w:bidi="ar-SA"/>
              </w:rPr>
              <w:t>含油墨废抹布</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HW</w:t>
            </w:r>
            <w:r>
              <w:rPr>
                <w:rFonts w:hint="eastAsia" w:ascii="Times New Roman" w:hAnsi="Times New Roman" w:eastAsia="宋体" w:cs="Times New Roman"/>
                <w:color w:val="auto"/>
                <w:kern w:val="2"/>
                <w:sz w:val="21"/>
                <w:szCs w:val="21"/>
                <w:lang w:val="en-US" w:eastAsia="zh-CN" w:bidi="ar-SA"/>
              </w:rPr>
              <w:t>49</w:t>
            </w:r>
            <w:r>
              <w:rPr>
                <w:rFonts w:hint="default" w:ascii="Times New Roman" w:hAnsi="Times New Roman" w:eastAsia="宋体" w:cs="Times New Roman"/>
                <w:color w:val="auto"/>
                <w:kern w:val="2"/>
                <w:sz w:val="21"/>
                <w:szCs w:val="21"/>
                <w:lang w:val="en-US" w:eastAsia="zh-CN" w:bidi="ar-SA"/>
              </w:rPr>
              <w:t>，900-041-49</w:t>
            </w: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、废包装桶</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HW</w:t>
            </w:r>
            <w:r>
              <w:rPr>
                <w:rFonts w:hint="eastAsia" w:ascii="Times New Roman" w:hAnsi="Times New Roman" w:eastAsia="宋体" w:cs="Times New Roman"/>
                <w:color w:val="auto"/>
                <w:kern w:val="2"/>
                <w:sz w:val="21"/>
                <w:szCs w:val="21"/>
                <w:lang w:val="en-US" w:eastAsia="zh-CN" w:bidi="ar-SA"/>
              </w:rPr>
              <w:t>49</w:t>
            </w:r>
            <w:r>
              <w:rPr>
                <w:rFonts w:hint="default" w:ascii="Times New Roman" w:hAnsi="Times New Roman" w:eastAsia="宋体" w:cs="Times New Roman"/>
                <w:color w:val="auto"/>
                <w:kern w:val="2"/>
                <w:sz w:val="21"/>
                <w:szCs w:val="21"/>
                <w:lang w:val="en-US" w:eastAsia="zh-CN" w:bidi="ar-SA"/>
              </w:rPr>
              <w:t>，900-041-49</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可委托常州市和润环保科技有限公司</w:t>
            </w:r>
            <w:r>
              <w:rPr>
                <w:rFonts w:hint="eastAsia" w:ascii="Times New Roman" w:hAnsi="Times New Roman" w:eastAsia="宋体" w:cs="Times New Roman"/>
                <w:color w:val="auto"/>
                <w:kern w:val="2"/>
                <w:sz w:val="21"/>
                <w:szCs w:val="21"/>
                <w:lang w:val="en-US" w:eastAsia="zh-CN" w:bidi="ar-SA"/>
              </w:rPr>
              <w:t>（焚烧处置医药废物（HW02）、废药物、药品（HW03）、农药废物（HW04）、木材防腐剂废物（HW05)、废有机溶剂与含有机溶剂废物</w:t>
            </w:r>
            <w:r>
              <w:rPr>
                <w:rFonts w:hint="eastAsia" w:cs="Times New Roman"/>
                <w:color w:val="auto"/>
                <w:kern w:val="2"/>
                <w:sz w:val="21"/>
                <w:szCs w:val="21"/>
                <w:lang w:val="en-US" w:eastAsia="zh-CN" w:bidi="ar-SA"/>
              </w:rPr>
              <w:t>（HW06）、热处理含氰废物（HW07）、废矿物油与含矿物油废物（HW08）、油/水、烃/水混合物或乳化液（HW09）、精（蒸）馏残渣（HW11）、染料、涂料废物（HW12）、有机树脂类废物（HW13）、新化学物质废物（HW14）、感光材料废物（HW16，仅限266-009-16、266-010-16、231-001-16、231-002-16、398-001-16、806-001-16、900-019-16）、表面处理废物（HW17）、含金属羰基化合物废物（HW19）、废酸（HW34，仅限251-014-34）、废碱（HW35，仅限251-015-35、261-059-35、900-399-35）、有机磷化合物废物（HW37）、有机氰化物废物（HW38）、含酚废物（HW39）、含醚废物（HW40）、含有机卤化物废物（HW45）、其他废物（HW49，仅限309-001-49、900-039-49、900-041-49、900-042-49、900-046-49、900-047-49、900-999-49）共计25000吨/年）</w:t>
            </w:r>
            <w:r>
              <w:rPr>
                <w:rFonts w:hint="default" w:ascii="Times New Roman" w:hAnsi="Times New Roman" w:eastAsia="宋体" w:cs="Times New Roman"/>
                <w:color w:val="auto"/>
                <w:kern w:val="2"/>
                <w:sz w:val="21"/>
                <w:szCs w:val="21"/>
                <w:lang w:val="en-US" w:eastAsia="zh-CN" w:bidi="ar-SA"/>
              </w:rPr>
              <w:t>等单位无害化处理处置。</w:t>
            </w:r>
          </w:p>
          <w:p w14:paraId="3D25CC1B">
            <w:pPr>
              <w:pStyle w:val="7"/>
              <w:adjustRightInd w:val="0"/>
              <w:snapToGrid w:val="0"/>
              <w:spacing w:line="500" w:lineRule="exact"/>
              <w:ind w:firstLine="422" w:firstLineChars="200"/>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4、</w:t>
            </w:r>
            <w:r>
              <w:rPr>
                <w:rFonts w:hint="default" w:ascii="Times New Roman" w:hAnsi="Times New Roman" w:cs="Times New Roman"/>
                <w:b/>
                <w:bCs/>
                <w:color w:val="auto"/>
                <w:sz w:val="21"/>
                <w:szCs w:val="21"/>
              </w:rPr>
              <w:t>环境管理要求</w:t>
            </w:r>
          </w:p>
          <w:p w14:paraId="353E9D19">
            <w:pPr>
              <w:adjustRightInd w:val="0"/>
              <w:snapToGrid w:val="0"/>
              <w:spacing w:line="500" w:lineRule="exact"/>
              <w:ind w:firstLine="420" w:firstLineChars="200"/>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①</w:t>
            </w:r>
            <w:r>
              <w:rPr>
                <w:rFonts w:hint="default" w:ascii="Times New Roman" w:hAnsi="Times New Roman" w:eastAsia="宋体" w:cs="Times New Roman"/>
                <w:bCs/>
                <w:color w:val="auto"/>
                <w:sz w:val="21"/>
                <w:szCs w:val="21"/>
                <w:lang w:eastAsia="zh-CN"/>
              </w:rPr>
              <w:t>危险</w:t>
            </w:r>
            <w:r>
              <w:rPr>
                <w:rFonts w:hint="default" w:ascii="Times New Roman" w:hAnsi="Times New Roman" w:eastAsia="宋体" w:cs="Times New Roman"/>
                <w:bCs/>
                <w:color w:val="auto"/>
                <w:sz w:val="21"/>
                <w:szCs w:val="21"/>
                <w:lang w:val="en-US" w:eastAsia="zh-CN"/>
              </w:rPr>
              <w:t>废物</w:t>
            </w:r>
            <w:r>
              <w:rPr>
                <w:rFonts w:hint="default" w:ascii="Times New Roman" w:hAnsi="Times New Roman" w:eastAsia="宋体" w:cs="Times New Roman"/>
                <w:bCs/>
                <w:color w:val="auto"/>
                <w:sz w:val="21"/>
                <w:szCs w:val="21"/>
                <w:lang w:eastAsia="zh-CN"/>
              </w:rPr>
              <w:t>管理要求</w:t>
            </w:r>
          </w:p>
          <w:p w14:paraId="28E5D155">
            <w:pPr>
              <w:adjustRightInd w:val="0"/>
              <w:snapToGrid w:val="0"/>
              <w:spacing w:line="500" w:lineRule="exact"/>
              <w:ind w:firstLine="420" w:firstLineChars="200"/>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rPr>
              <w:t>根据《</w:t>
            </w:r>
            <w:r>
              <w:rPr>
                <w:rFonts w:hint="eastAsia" w:cs="Times New Roman"/>
                <w:bCs/>
                <w:color w:val="auto"/>
                <w:sz w:val="21"/>
                <w:szCs w:val="21"/>
                <w:lang w:val="en-US" w:eastAsia="zh-CN"/>
              </w:rPr>
              <w:t>江苏省固体废物全过程环境监管工作意见</w:t>
            </w:r>
            <w:r>
              <w:rPr>
                <w:rFonts w:hint="default" w:ascii="Times New Roman" w:hAnsi="Times New Roman" w:cs="Times New Roman"/>
                <w:bCs/>
                <w:color w:val="auto"/>
                <w:sz w:val="21"/>
                <w:szCs w:val="21"/>
              </w:rPr>
              <w:t>》（</w:t>
            </w:r>
            <w:r>
              <w:rPr>
                <w:rFonts w:hint="default" w:ascii="Times New Roman" w:hAnsi="Times New Roman" w:eastAsia="宋体" w:cs="Times New Roman"/>
                <w:bCs/>
                <w:color w:val="auto"/>
                <w:sz w:val="21"/>
                <w:szCs w:val="21"/>
                <w:lang w:eastAsia="zh-CN"/>
              </w:rPr>
              <w:t>苏环办</w:t>
            </w:r>
            <w:r>
              <w:rPr>
                <w:rFonts w:hint="eastAsia" w:cs="Times New Roman"/>
                <w:bCs/>
                <w:color w:val="auto"/>
                <w:sz w:val="21"/>
                <w:szCs w:val="21"/>
                <w:lang w:eastAsia="zh-CN"/>
              </w:rPr>
              <w:t>〔2024〕16号</w:t>
            </w:r>
            <w:r>
              <w:rPr>
                <w:rFonts w:hint="default" w:ascii="Times New Roman" w:hAnsi="Times New Roman" w:eastAsia="宋体" w:cs="Times New Roman"/>
                <w:bCs/>
                <w:color w:val="auto"/>
                <w:sz w:val="21"/>
                <w:szCs w:val="21"/>
                <w:lang w:eastAsia="zh-CN"/>
              </w:rPr>
              <w:t>）要求：</w:t>
            </w:r>
          </w:p>
          <w:p w14:paraId="2202AF7A">
            <w:pPr>
              <w:adjustRightInd w:val="0"/>
              <w:snapToGrid w:val="0"/>
              <w:spacing w:line="500" w:lineRule="exact"/>
              <w:ind w:firstLine="420" w:firstLineChars="200"/>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规范贮存管理要求。根据《危险废物贮存污染控制标准》(GB18597-2023)，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w:t>
            </w:r>
            <w:r>
              <w:rPr>
                <w:rFonts w:hint="eastAsia" w:cs="Times New Roman"/>
                <w:bCs/>
                <w:color w:val="auto"/>
                <w:sz w:val="21"/>
                <w:szCs w:val="21"/>
                <w:lang w:val="en-US" w:eastAsia="zh-CN"/>
              </w:rPr>
              <w:t>〔2021〕290号</w:t>
            </w:r>
            <w:r>
              <w:rPr>
                <w:rFonts w:hint="default" w:ascii="Times New Roman" w:hAnsi="Times New Roman" w:eastAsia="宋体" w:cs="Times New Roman"/>
                <w:bCs/>
                <w:color w:val="auto"/>
                <w:sz w:val="21"/>
                <w:szCs w:val="21"/>
                <w:lang w:val="en-US" w:eastAsia="zh-CN"/>
              </w:rPr>
              <w:t>)中关于贮存周期和贮存量的要求，I级、II级、</w:t>
            </w:r>
            <w:r>
              <w:rPr>
                <w:rFonts w:hint="default" w:ascii="Times New Roman" w:hAnsi="Times New Roman" w:eastAsia="宋体" w:cs="Times New Roman"/>
                <w:bCs/>
                <w:color w:val="auto"/>
                <w:sz w:val="21"/>
                <w:szCs w:val="21"/>
                <w:lang w:val="en-US" w:eastAsia="zh-CN"/>
              </w:rPr>
              <w:fldChar w:fldCharType="begin"/>
            </w:r>
            <w:r>
              <w:rPr>
                <w:rFonts w:hint="default" w:ascii="Times New Roman" w:hAnsi="Times New Roman" w:eastAsia="宋体" w:cs="Times New Roman"/>
                <w:bCs/>
                <w:color w:val="auto"/>
                <w:sz w:val="21"/>
                <w:szCs w:val="21"/>
                <w:lang w:val="en-US" w:eastAsia="zh-CN"/>
              </w:rPr>
              <w:instrText xml:space="preserve"> = 3 \* ROMAN \* MERGEFORMAT </w:instrText>
            </w:r>
            <w:r>
              <w:rPr>
                <w:rFonts w:hint="default" w:ascii="Times New Roman" w:hAnsi="Times New Roman" w:eastAsia="宋体" w:cs="Times New Roman"/>
                <w:bCs/>
                <w:color w:val="auto"/>
                <w:sz w:val="21"/>
                <w:szCs w:val="21"/>
                <w:lang w:val="en-US" w:eastAsia="zh-CN"/>
              </w:rPr>
              <w:fldChar w:fldCharType="separate"/>
            </w:r>
            <w:r>
              <w:rPr>
                <w:color w:val="auto"/>
                <w:sz w:val="21"/>
                <w:szCs w:val="21"/>
              </w:rPr>
              <w:t>III</w:t>
            </w:r>
            <w:r>
              <w:rPr>
                <w:rFonts w:hint="default" w:ascii="Times New Roman" w:hAnsi="Times New Roman" w:eastAsia="宋体" w:cs="Times New Roman"/>
                <w:bCs/>
                <w:color w:val="auto"/>
                <w:sz w:val="21"/>
                <w:szCs w:val="21"/>
                <w:lang w:val="en-US" w:eastAsia="zh-CN"/>
              </w:rPr>
              <w:fldChar w:fldCharType="end"/>
            </w:r>
            <w:r>
              <w:rPr>
                <w:rFonts w:hint="default" w:ascii="Times New Roman" w:hAnsi="Times New Roman" w:eastAsia="宋体" w:cs="Times New Roman"/>
                <w:bCs/>
                <w:color w:val="auto"/>
                <w:sz w:val="21"/>
                <w:szCs w:val="21"/>
                <w:lang w:val="en-US" w:eastAsia="zh-CN"/>
              </w:rPr>
              <w:t>级危险废物贮存时间分别不得超过30天、60天、90天，最大贮存量不得超过1吨。</w:t>
            </w:r>
          </w:p>
          <w:p w14:paraId="586D59BC">
            <w:pPr>
              <w:adjustRightInd w:val="0"/>
              <w:snapToGrid w:val="0"/>
              <w:spacing w:line="500" w:lineRule="exact"/>
              <w:ind w:firstLine="420" w:firstLineChars="20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落实信息公开制度。危险废物环境重点监管单位要在出入口、设施内部、危险废物运输车辆通道等关键位置设置视频监控并与中控室联网，通过设立公开栏、标志牌等方式，主动公开危险废物产生和利用处置等有关信息。集中焚烧处置单位及有自建</w:t>
            </w:r>
          </w:p>
          <w:p w14:paraId="3A4D9533">
            <w:pPr>
              <w:adjustRightInd w:val="0"/>
              <w:snapToGrid w:val="0"/>
              <w:spacing w:line="500" w:lineRule="exact"/>
              <w:rPr>
                <w:rFonts w:hint="default" w:ascii="Times New Roman" w:hAnsi="Times New Roman" w:cs="Times New Roman"/>
                <w:color w:val="auto"/>
                <w:sz w:val="21"/>
                <w:szCs w:val="21"/>
              </w:rPr>
            </w:pPr>
            <w:r>
              <w:rPr>
                <w:rFonts w:hint="default" w:ascii="Times New Roman" w:hAnsi="Times New Roman" w:eastAsia="宋体" w:cs="Times New Roman"/>
                <w:bCs/>
                <w:color w:val="auto"/>
                <w:sz w:val="21"/>
                <w:szCs w:val="21"/>
                <w:lang w:val="en-US" w:eastAsia="zh-CN"/>
              </w:rPr>
              <w:t>危废焚烧处置设施的单位要依法及时公开二燃室温度等工况运行指标以及污染物排放指标、浓度等有关信息，并联网至属地生态环境部门。危险废物经营单位应同步公开许可证、许可条件等全文信息</w:t>
            </w:r>
            <w:r>
              <w:rPr>
                <w:rFonts w:hint="default" w:ascii="Times New Roman" w:hAnsi="Times New Roman" w:cs="Times New Roman"/>
                <w:color w:val="auto"/>
                <w:kern w:val="0"/>
                <w:sz w:val="21"/>
                <w:szCs w:val="21"/>
              </w:rPr>
              <w:t>。</w:t>
            </w:r>
          </w:p>
          <w:p w14:paraId="7FBB31A1">
            <w:pPr>
              <w:adjustRightInd w:val="0"/>
              <w:snapToGrid w:val="0"/>
              <w:spacing w:line="500" w:lineRule="exact"/>
              <w:ind w:firstLine="420" w:firstLineChars="200"/>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②</w:t>
            </w:r>
            <w:r>
              <w:rPr>
                <w:rFonts w:hint="default" w:ascii="Times New Roman" w:hAnsi="Times New Roman" w:eastAsia="宋体" w:cs="Times New Roman"/>
                <w:bCs/>
                <w:color w:val="auto"/>
                <w:sz w:val="21"/>
                <w:szCs w:val="21"/>
                <w:lang w:eastAsia="zh-CN"/>
              </w:rPr>
              <w:t>一般工业固废管理要求</w:t>
            </w:r>
          </w:p>
          <w:p w14:paraId="4B459C21">
            <w:pPr>
              <w:pStyle w:val="7"/>
              <w:adjustRightInd w:val="0"/>
              <w:snapToGrid w:val="0"/>
              <w:spacing w:line="500" w:lineRule="exact"/>
              <w:ind w:firstLine="420" w:firstLineChars="200"/>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一般固废仓库满足防渗漏、防雨淋、防扬尘的环境管理要求</w:t>
            </w:r>
            <w:r>
              <w:rPr>
                <w:rFonts w:hint="default" w:ascii="Times New Roman" w:hAnsi="Times New Roman" w:eastAsia="宋体"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废包装</w:t>
            </w:r>
            <w:r>
              <w:rPr>
                <w:rFonts w:hint="eastAsia" w:ascii="Times New Roman" w:hAnsi="Times New Roman" w:cs="Times New Roman"/>
                <w:color w:val="auto"/>
                <w:kern w:val="0"/>
                <w:sz w:val="21"/>
                <w:szCs w:val="21"/>
                <w:lang w:val="en-US" w:eastAsia="zh-CN"/>
              </w:rPr>
              <w:t>材料</w:t>
            </w:r>
            <w:r>
              <w:rPr>
                <w:rFonts w:hint="default" w:ascii="Times New Roman" w:hAnsi="Times New Roman" w:cs="Times New Roman"/>
                <w:color w:val="auto"/>
                <w:kern w:val="0"/>
                <w:sz w:val="21"/>
                <w:szCs w:val="21"/>
              </w:rPr>
              <w:t>收集后分别送至一般固废暂</w:t>
            </w:r>
            <w:r>
              <w:rPr>
                <w:rFonts w:hint="default" w:ascii="Times New Roman" w:hAnsi="Times New Roman" w:eastAsia="宋体" w:cs="Times New Roman"/>
                <w:color w:val="auto"/>
                <w:kern w:val="0"/>
                <w:sz w:val="21"/>
                <w:szCs w:val="21"/>
              </w:rPr>
              <w:t>存场所进行分类暂存，杜绝混合存放。</w:t>
            </w:r>
          </w:p>
          <w:p w14:paraId="4BEF3083">
            <w:pPr>
              <w:pStyle w:val="7"/>
              <w:adjustRightInd w:val="0"/>
              <w:snapToGrid w:val="0"/>
              <w:spacing w:line="500" w:lineRule="exact"/>
              <w:ind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企业在做好废物产生、收集、贮运、处置各环节的措施及厂内管理后，固废均能得到合理、有效</w:t>
            </w:r>
            <w:r>
              <w:rPr>
                <w:rFonts w:hint="eastAsia" w:ascii="Times New Roman" w:hAnsi="Times New Roman" w:cs="Times New Roman"/>
                <w:color w:val="auto"/>
                <w:kern w:val="0"/>
                <w:sz w:val="21"/>
                <w:szCs w:val="21"/>
                <w:lang w:val="en-US" w:eastAsia="zh-CN"/>
              </w:rPr>
              <w:t>地</w:t>
            </w:r>
            <w:r>
              <w:rPr>
                <w:rFonts w:hint="default" w:ascii="Times New Roman" w:hAnsi="Times New Roman" w:eastAsia="宋体" w:cs="Times New Roman"/>
                <w:color w:val="auto"/>
                <w:kern w:val="0"/>
                <w:sz w:val="21"/>
                <w:szCs w:val="21"/>
                <w:lang w:val="en-US" w:eastAsia="zh-CN"/>
              </w:rPr>
              <w:t>处置。因此，厂内产生的固体废物经有效处理和处置后对环境影响较小。</w:t>
            </w:r>
          </w:p>
          <w:p w14:paraId="763DE632">
            <w:pPr>
              <w:pStyle w:val="7"/>
              <w:adjustRightInd w:val="0"/>
              <w:snapToGrid w:val="0"/>
              <w:spacing w:line="500" w:lineRule="exact"/>
              <w:ind w:firstLine="0"/>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eastAsia="zh-CN"/>
              </w:rPr>
              <w:t>五</w:t>
            </w:r>
            <w:r>
              <w:rPr>
                <w:rFonts w:hint="default" w:ascii="Times New Roman" w:hAnsi="Times New Roman" w:cs="Times New Roman"/>
                <w:b/>
                <w:bCs/>
                <w:color w:val="auto"/>
                <w:sz w:val="21"/>
                <w:szCs w:val="21"/>
              </w:rPr>
              <w:t>、土壤、地下水</w:t>
            </w:r>
          </w:p>
          <w:p w14:paraId="588E5683">
            <w:pPr>
              <w:adjustRightInd w:val="0"/>
              <w:snapToGrid w:val="0"/>
              <w:spacing w:line="500" w:lineRule="exact"/>
              <w:ind w:firstLine="420" w:firstLineChars="200"/>
              <w:rPr>
                <w:rFonts w:hint="default" w:ascii="Times New Roman" w:hAnsi="Times New Roman" w:cs="Times New Roman"/>
                <w:color w:val="auto"/>
                <w:sz w:val="21"/>
                <w:szCs w:val="21"/>
              </w:rPr>
            </w:pPr>
            <w:r>
              <w:rPr>
                <w:rFonts w:hint="eastAsia" w:cs="Times New Roman"/>
                <w:color w:val="auto"/>
                <w:sz w:val="21"/>
                <w:szCs w:val="21"/>
                <w:lang w:val="en-US" w:eastAsia="zh-CN"/>
              </w:rPr>
              <w:t>1、</w:t>
            </w:r>
            <w:r>
              <w:rPr>
                <w:rFonts w:hint="default" w:ascii="Times New Roman" w:hAnsi="Times New Roman" w:cs="Times New Roman"/>
                <w:color w:val="auto"/>
                <w:sz w:val="21"/>
                <w:szCs w:val="21"/>
              </w:rPr>
              <w:t>土壤、地下水环境影响分析</w:t>
            </w:r>
          </w:p>
          <w:p w14:paraId="5347DD57">
            <w:pPr>
              <w:spacing w:line="48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本项目</w:t>
            </w:r>
            <w:r>
              <w:rPr>
                <w:rFonts w:hint="eastAsia" w:cs="Times New Roman"/>
                <w:color w:val="auto"/>
                <w:sz w:val="21"/>
                <w:szCs w:val="21"/>
                <w:lang w:val="en-US" w:eastAsia="zh-CN"/>
              </w:rPr>
              <w:t>所租车间地面已全部硬化</w:t>
            </w:r>
            <w:r>
              <w:rPr>
                <w:rFonts w:hint="default" w:ascii="Times New Roman" w:hAnsi="Times New Roman" w:cs="Times New Roman"/>
                <w:color w:val="auto"/>
                <w:sz w:val="21"/>
                <w:szCs w:val="21"/>
              </w:rPr>
              <w:t>。建设项目正常运行过程中，</w:t>
            </w:r>
            <w:r>
              <w:rPr>
                <w:rFonts w:hint="eastAsia" w:cs="Times New Roman"/>
                <w:color w:val="auto"/>
                <w:sz w:val="21"/>
                <w:szCs w:val="21"/>
                <w:lang w:val="en-US" w:eastAsia="zh-CN"/>
              </w:rPr>
              <w:t>在</w:t>
            </w:r>
            <w:r>
              <w:rPr>
                <w:rFonts w:hint="default" w:ascii="Times New Roman" w:hAnsi="Times New Roman" w:cs="Times New Roman"/>
                <w:color w:val="auto"/>
                <w:sz w:val="21"/>
                <w:szCs w:val="21"/>
              </w:rPr>
              <w:t>落实各项污染防渗措施的情况下，项目不会对当地</w:t>
            </w:r>
            <w:r>
              <w:rPr>
                <w:rFonts w:hint="default" w:ascii="Times New Roman" w:hAnsi="Times New Roman" w:cs="Times New Roman"/>
                <w:color w:val="auto"/>
                <w:sz w:val="21"/>
                <w:szCs w:val="21"/>
                <w:lang w:val="en-US" w:eastAsia="zh-CN"/>
              </w:rPr>
              <w:t>土壤及</w:t>
            </w:r>
            <w:r>
              <w:rPr>
                <w:rFonts w:hint="default" w:ascii="Times New Roman" w:hAnsi="Times New Roman" w:cs="Times New Roman"/>
                <w:color w:val="auto"/>
                <w:sz w:val="21"/>
                <w:szCs w:val="21"/>
              </w:rPr>
              <w:t>地下水水质产生影响。若</w:t>
            </w:r>
            <w:r>
              <w:rPr>
                <w:rFonts w:hint="eastAsia" w:ascii="Times New Roman" w:hAnsi="Times New Roman" w:cs="Times New Roman"/>
                <w:color w:val="auto"/>
                <w:sz w:val="21"/>
                <w:szCs w:val="21"/>
                <w:lang w:val="en-US" w:eastAsia="zh-CN"/>
              </w:rPr>
              <w:t>发生</w:t>
            </w:r>
            <w:r>
              <w:rPr>
                <w:rFonts w:hint="eastAsia" w:cs="Times New Roman"/>
                <w:color w:val="auto"/>
                <w:sz w:val="21"/>
                <w:szCs w:val="21"/>
                <w:lang w:val="en-US" w:eastAsia="zh-CN"/>
              </w:rPr>
              <w:t>油墨</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胶水、</w:t>
            </w:r>
            <w:r>
              <w:rPr>
                <w:rFonts w:hint="eastAsia" w:ascii="Times New Roman" w:hAnsi="Times New Roman" w:cs="Times New Roman"/>
                <w:color w:val="auto"/>
                <w:sz w:val="21"/>
                <w:szCs w:val="21"/>
                <w:lang w:val="en-US" w:eastAsia="zh-CN"/>
              </w:rPr>
              <w:t>危废等</w:t>
            </w:r>
            <w:r>
              <w:rPr>
                <w:rFonts w:hint="default" w:ascii="Times New Roman" w:hAnsi="Times New Roman" w:cs="Times New Roman"/>
                <w:color w:val="auto"/>
                <w:sz w:val="21"/>
                <w:szCs w:val="21"/>
              </w:rPr>
              <w:t>泄漏，污染物下渗则可能会在厂区及周边较小范围内造成</w:t>
            </w:r>
            <w:r>
              <w:rPr>
                <w:rFonts w:hint="default" w:ascii="Times New Roman" w:hAnsi="Times New Roman" w:cs="Times New Roman"/>
                <w:color w:val="auto"/>
                <w:sz w:val="21"/>
                <w:szCs w:val="21"/>
                <w:lang w:val="en-US" w:eastAsia="zh-CN"/>
              </w:rPr>
              <w:t>土壤及地下水</w:t>
            </w:r>
            <w:r>
              <w:rPr>
                <w:rFonts w:hint="default" w:ascii="Times New Roman" w:hAnsi="Times New Roman" w:cs="Times New Roman"/>
                <w:color w:val="auto"/>
                <w:sz w:val="21"/>
                <w:szCs w:val="21"/>
              </w:rPr>
              <w:t>水质污染。项目所在地水文地质单元内水力梯度小，水流速度较慢，污染物不易随水流迁移。区域地层以风化基岩为主，透水性较小，污染物在其中迁移距离较小，对地下水基本无影响。</w:t>
            </w:r>
          </w:p>
          <w:p w14:paraId="67AA60B9">
            <w:pPr>
              <w:adjustRightInd w:val="0"/>
              <w:snapToGrid w:val="0"/>
              <w:spacing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若固体废物不考虑设置废物堆放处或者没有适当的防漏措施，其中的有害组分很容易经过风化、雨水淋溶、地表径流的侵蚀，产生有毒液体渗入土壤，</w:t>
            </w:r>
            <w:r>
              <w:rPr>
                <w:rFonts w:hint="default" w:ascii="Times New Roman" w:hAnsi="Times New Roman" w:cs="Times New Roman"/>
                <w:color w:val="auto"/>
                <w:sz w:val="21"/>
                <w:szCs w:val="21"/>
                <w:lang w:val="en-US" w:eastAsia="zh-CN"/>
              </w:rPr>
              <w:t>对土壤环境造成污染</w:t>
            </w:r>
            <w:r>
              <w:rPr>
                <w:rFonts w:hint="default" w:ascii="Times New Roman" w:hAnsi="Times New Roman" w:cs="Times New Roman"/>
                <w:color w:val="auto"/>
                <w:sz w:val="21"/>
                <w:szCs w:val="21"/>
              </w:rPr>
              <w:t>。同时这些水分经土壤渗入地下水，对地下水水质也造成污染。本项目危险废物仓库采取“三防”（防扬散、防流失、防渗漏）和防腐措施。因此，项目运行期可有效避免由于固废的</w:t>
            </w:r>
            <w:r>
              <w:rPr>
                <w:rFonts w:hint="eastAsia" w:cs="Times New Roman"/>
                <w:color w:val="auto"/>
                <w:sz w:val="21"/>
                <w:szCs w:val="21"/>
                <w:lang w:eastAsia="zh-CN"/>
              </w:rPr>
              <w:t>泄漏</w:t>
            </w:r>
            <w:r>
              <w:rPr>
                <w:rFonts w:hint="default" w:ascii="Times New Roman" w:hAnsi="Times New Roman" w:cs="Times New Roman"/>
                <w:color w:val="auto"/>
                <w:sz w:val="21"/>
                <w:szCs w:val="21"/>
              </w:rPr>
              <w:t>而造成土壤环境的污染。</w:t>
            </w:r>
          </w:p>
          <w:p w14:paraId="182C122E">
            <w:pPr>
              <w:adjustRightInd w:val="0"/>
              <w:snapToGrid w:val="0"/>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大气沉降主要考虑重点重金属、持久性有机污染物（特别是二噁英，典型行业有铅蓄电池和危废焚烧等）、难降解有机污染物（苯系物等）以及最高法司法解释中规定的（主要有危废、剧毒化合物、重金属、农药等持久性有机污染物）。本项目废气不属于重点重金属、持久性有机污染物或难降解有机污染物，大气沉降对土壤基本无影响。</w:t>
            </w:r>
          </w:p>
          <w:p w14:paraId="583A6AD6">
            <w:pPr>
              <w:snapToGrid w:val="0"/>
              <w:spacing w:line="500" w:lineRule="exact"/>
              <w:ind w:firstLine="420" w:firstLineChars="200"/>
              <w:rPr>
                <w:rFonts w:hint="default" w:ascii="Times New Roman" w:hAnsi="Times New Roman" w:cs="Times New Roman"/>
                <w:bCs/>
                <w:color w:val="auto"/>
                <w:sz w:val="21"/>
                <w:szCs w:val="21"/>
              </w:rPr>
            </w:pPr>
            <w:r>
              <w:rPr>
                <w:rFonts w:hint="eastAsia" w:cs="Times New Roman"/>
                <w:color w:val="auto"/>
                <w:sz w:val="21"/>
                <w:szCs w:val="21"/>
                <w:lang w:val="en-US" w:eastAsia="zh-CN"/>
              </w:rPr>
              <w:t>2、</w:t>
            </w:r>
            <w:r>
              <w:rPr>
                <w:rFonts w:hint="default" w:ascii="Times New Roman" w:hAnsi="Times New Roman" w:cs="Times New Roman"/>
                <w:bCs/>
                <w:color w:val="auto"/>
                <w:sz w:val="21"/>
                <w:szCs w:val="21"/>
              </w:rPr>
              <w:t>土壤</w:t>
            </w:r>
            <w:r>
              <w:rPr>
                <w:rFonts w:hint="default"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rPr>
              <w:t>地下水污染防治措施</w:t>
            </w:r>
          </w:p>
          <w:p w14:paraId="66316207">
            <w:pPr>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本项目土壤地下水污染防治措施按照“源头控制、分区防治、污染监控、应急响应”相结合的原则，从污染物的产生、入渗、扩散、应急响应进行控制。</w:t>
            </w:r>
          </w:p>
          <w:p w14:paraId="3A8F9838">
            <w:pPr>
              <w:spacing w:line="500" w:lineRule="exact"/>
              <w:ind w:firstLine="420" w:firstLineChars="200"/>
              <w:rPr>
                <w:rFonts w:hint="default" w:ascii="Times New Roman" w:hAnsi="Times New Roman" w:cs="Times New Roman"/>
                <w:bCs/>
                <w:color w:val="auto"/>
                <w:sz w:val="21"/>
                <w:szCs w:val="21"/>
              </w:rPr>
            </w:pPr>
            <w:r>
              <w:rPr>
                <w:rFonts w:hint="eastAsia" w:cs="Times New Roman"/>
                <w:bCs/>
                <w:color w:val="auto"/>
                <w:sz w:val="21"/>
                <w:szCs w:val="21"/>
                <w:lang w:eastAsia="zh-CN"/>
              </w:rPr>
              <w:t>（</w:t>
            </w:r>
            <w:r>
              <w:rPr>
                <w:rFonts w:hint="eastAsia" w:cs="Times New Roman"/>
                <w:bCs/>
                <w:color w:val="auto"/>
                <w:sz w:val="21"/>
                <w:szCs w:val="21"/>
                <w:lang w:val="en-US" w:eastAsia="zh-CN"/>
              </w:rPr>
              <w:t>1</w:t>
            </w:r>
            <w:r>
              <w:rPr>
                <w:rFonts w:hint="eastAsia" w:cs="Times New Roman"/>
                <w:bCs/>
                <w:color w:val="auto"/>
                <w:sz w:val="21"/>
                <w:szCs w:val="21"/>
                <w:lang w:eastAsia="zh-CN"/>
              </w:rPr>
              <w:t>）</w:t>
            </w:r>
            <w:r>
              <w:rPr>
                <w:rFonts w:hint="default" w:ascii="Times New Roman" w:hAnsi="Times New Roman" w:cs="Times New Roman"/>
                <w:bCs/>
                <w:color w:val="auto"/>
                <w:sz w:val="21"/>
                <w:szCs w:val="21"/>
              </w:rPr>
              <w:t>源头控制措施</w:t>
            </w:r>
          </w:p>
          <w:p w14:paraId="727DB818">
            <w:pPr>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本项目以先进工艺、管道、设备、污水储存，尽可能从源头上减少废水产生；严格按照国家相关规范要求，对工艺、管道、设备、污水储存及处理构筑物采取相应的措施，以防止和降低废水的跑、冒、滴、漏，将废水泄漏的环境风险事故降到最低程度。</w:t>
            </w:r>
          </w:p>
          <w:p w14:paraId="542AB2C9">
            <w:pPr>
              <w:spacing w:line="500" w:lineRule="exact"/>
              <w:ind w:firstLine="420" w:firstLineChars="200"/>
              <w:rPr>
                <w:rFonts w:hint="default" w:ascii="Times New Roman" w:hAnsi="Times New Roman" w:cs="Times New Roman"/>
                <w:bCs/>
                <w:color w:val="auto"/>
                <w:sz w:val="21"/>
                <w:szCs w:val="21"/>
              </w:rPr>
            </w:pPr>
            <w:r>
              <w:rPr>
                <w:rFonts w:hint="eastAsia" w:cs="Times New Roman"/>
                <w:bCs/>
                <w:color w:val="auto"/>
                <w:sz w:val="21"/>
                <w:szCs w:val="21"/>
                <w:lang w:eastAsia="zh-CN"/>
              </w:rPr>
              <w:t>（</w:t>
            </w:r>
            <w:r>
              <w:rPr>
                <w:rFonts w:hint="eastAsia" w:cs="Times New Roman"/>
                <w:bCs/>
                <w:color w:val="auto"/>
                <w:sz w:val="21"/>
                <w:szCs w:val="21"/>
                <w:lang w:val="en-US" w:eastAsia="zh-CN"/>
              </w:rPr>
              <w:t>2</w:t>
            </w:r>
            <w:r>
              <w:rPr>
                <w:rFonts w:hint="eastAsia" w:cs="Times New Roman"/>
                <w:bCs/>
                <w:color w:val="auto"/>
                <w:sz w:val="21"/>
                <w:szCs w:val="21"/>
                <w:lang w:eastAsia="zh-CN"/>
              </w:rPr>
              <w:t>）</w:t>
            </w:r>
            <w:r>
              <w:rPr>
                <w:rFonts w:hint="default" w:ascii="Times New Roman" w:hAnsi="Times New Roman" w:cs="Times New Roman"/>
                <w:bCs/>
                <w:color w:val="auto"/>
                <w:sz w:val="21"/>
                <w:szCs w:val="21"/>
              </w:rPr>
              <w:t>分区防渗措施</w:t>
            </w:r>
          </w:p>
          <w:p w14:paraId="2E11BC81">
            <w:pPr>
              <w:spacing w:line="500" w:lineRule="exact"/>
              <w:ind w:firstLine="420" w:firstLineChars="200"/>
              <w:rPr>
                <w:rFonts w:hint="default" w:ascii="Times New Roman" w:hAnsi="Times New Roman" w:eastAsia="宋体" w:cs="Times New Roman"/>
                <w:bCs/>
                <w:color w:val="auto"/>
                <w:sz w:val="21"/>
                <w:szCs w:val="21"/>
              </w:rPr>
            </w:pPr>
            <w:bookmarkStart w:id="14" w:name="OLE_LINK23"/>
            <w:r>
              <w:rPr>
                <w:rFonts w:hint="default" w:ascii="Times New Roman" w:hAnsi="Times New Roman" w:cs="Times New Roman"/>
                <w:bCs/>
                <w:color w:val="auto"/>
                <w:sz w:val="21"/>
                <w:szCs w:val="21"/>
              </w:rPr>
              <w:t>①</w:t>
            </w:r>
            <w:r>
              <w:rPr>
                <w:rFonts w:hint="default" w:ascii="Times New Roman" w:hAnsi="Times New Roman" w:eastAsia="宋体" w:cs="Times New Roman"/>
                <w:bCs/>
                <w:color w:val="auto"/>
                <w:sz w:val="21"/>
                <w:szCs w:val="21"/>
              </w:rPr>
              <w:t>重点防渗区</w:t>
            </w:r>
            <w:bookmarkEnd w:id="14"/>
          </w:p>
          <w:p w14:paraId="190B6BB4">
            <w:pPr>
              <w:spacing w:line="480" w:lineRule="exact"/>
              <w:ind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本项目建成后，</w:t>
            </w:r>
            <w:r>
              <w:rPr>
                <w:rFonts w:hint="eastAsia" w:ascii="Times New Roman" w:hAnsi="Times New Roman" w:eastAsia="宋体" w:cs="Times New Roman"/>
                <w:bCs/>
                <w:color w:val="auto"/>
                <w:sz w:val="21"/>
                <w:szCs w:val="21"/>
                <w:lang w:eastAsia="zh-CN"/>
              </w:rPr>
              <w:t>厂区</w:t>
            </w:r>
            <w:r>
              <w:rPr>
                <w:rFonts w:hint="default" w:ascii="Times New Roman" w:hAnsi="Times New Roman" w:eastAsia="宋体" w:cs="Times New Roman"/>
                <w:bCs/>
                <w:color w:val="auto"/>
                <w:sz w:val="21"/>
                <w:szCs w:val="21"/>
              </w:rPr>
              <w:t>重点防渗区</w:t>
            </w:r>
            <w:r>
              <w:rPr>
                <w:rFonts w:hint="eastAsia" w:cs="Times New Roman"/>
                <w:bCs/>
                <w:color w:val="auto"/>
                <w:sz w:val="21"/>
                <w:szCs w:val="21"/>
                <w:lang w:val="en-US" w:eastAsia="zh-CN"/>
              </w:rPr>
              <w:t>主要为化学品暂存间</w:t>
            </w:r>
            <w:r>
              <w:rPr>
                <w:rFonts w:hint="eastAsia" w:cs="Times New Roman"/>
                <w:color w:val="auto"/>
                <w:sz w:val="21"/>
                <w:szCs w:val="21"/>
                <w:lang w:val="en-US" w:eastAsia="zh-CN"/>
              </w:rPr>
              <w:t>、印刷复合间、</w:t>
            </w:r>
            <w:r>
              <w:rPr>
                <w:rFonts w:hint="eastAsia" w:cs="Times New Roman"/>
                <w:color w:val="auto"/>
                <w:sz w:val="21"/>
                <w:szCs w:val="21"/>
                <w:highlight w:val="none"/>
                <w:lang w:eastAsia="zh-CN"/>
              </w:rPr>
              <w:t>危废仓库、</w:t>
            </w:r>
            <w:r>
              <w:rPr>
                <w:rFonts w:hint="eastAsia" w:cs="Times New Roman"/>
                <w:color w:val="auto"/>
                <w:sz w:val="21"/>
                <w:szCs w:val="21"/>
                <w:highlight w:val="none"/>
                <w:lang w:val="en-US" w:eastAsia="zh-CN"/>
              </w:rPr>
              <w:t>事故应急池</w:t>
            </w:r>
            <w:r>
              <w:rPr>
                <w:rFonts w:hint="default" w:ascii="Times New Roman" w:hAnsi="Times New Roman" w:eastAsia="宋体" w:cs="Times New Roman"/>
                <w:bCs/>
                <w:color w:val="auto"/>
                <w:sz w:val="21"/>
                <w:szCs w:val="21"/>
              </w:rPr>
              <w:t>等。</w:t>
            </w:r>
            <w:r>
              <w:rPr>
                <w:rFonts w:hint="eastAsia" w:cs="Times New Roman"/>
                <w:bCs/>
                <w:color w:val="auto"/>
                <w:sz w:val="21"/>
                <w:szCs w:val="21"/>
                <w:lang w:val="en-US" w:eastAsia="zh-CN"/>
              </w:rPr>
              <w:t>化学品暂存间</w:t>
            </w:r>
            <w:r>
              <w:rPr>
                <w:rFonts w:hint="eastAsia" w:cs="Times New Roman"/>
                <w:color w:val="auto"/>
                <w:sz w:val="21"/>
                <w:szCs w:val="21"/>
                <w:lang w:val="en-US" w:eastAsia="zh-CN"/>
              </w:rPr>
              <w:t>、印刷复合间、</w:t>
            </w:r>
            <w:r>
              <w:rPr>
                <w:rFonts w:hint="eastAsia" w:cs="Times New Roman"/>
                <w:color w:val="auto"/>
                <w:sz w:val="21"/>
                <w:szCs w:val="21"/>
                <w:highlight w:val="none"/>
                <w:lang w:eastAsia="zh-CN"/>
              </w:rPr>
              <w:t>危废仓库、</w:t>
            </w:r>
            <w:r>
              <w:rPr>
                <w:rFonts w:hint="eastAsia" w:cs="Times New Roman"/>
                <w:color w:val="auto"/>
                <w:sz w:val="21"/>
                <w:szCs w:val="21"/>
                <w:highlight w:val="none"/>
                <w:lang w:val="en-US" w:eastAsia="zh-CN"/>
              </w:rPr>
              <w:t>事故应急池</w:t>
            </w:r>
            <w:r>
              <w:rPr>
                <w:rFonts w:hint="eastAsia" w:cs="Times New Roman"/>
                <w:color w:val="auto"/>
                <w:sz w:val="21"/>
                <w:szCs w:val="21"/>
                <w:highlight w:val="none"/>
                <w:lang w:eastAsia="zh-CN"/>
              </w:rPr>
              <w:t>等</w:t>
            </w:r>
            <w:r>
              <w:rPr>
                <w:rFonts w:hint="default" w:ascii="Times New Roman" w:hAnsi="Times New Roman" w:eastAsia="宋体" w:cs="Times New Roman"/>
                <w:bCs/>
                <w:color w:val="auto"/>
                <w:sz w:val="21"/>
                <w:szCs w:val="21"/>
              </w:rPr>
              <w:t>重点防渗区</w:t>
            </w:r>
            <w:r>
              <w:rPr>
                <w:rFonts w:hint="eastAsia" w:ascii="Times New Roman" w:hAnsi="Times New Roman" w:eastAsia="宋体" w:cs="Times New Roman"/>
                <w:bCs/>
                <w:color w:val="auto"/>
                <w:sz w:val="21"/>
                <w:szCs w:val="21"/>
                <w:lang w:eastAsia="zh-CN"/>
              </w:rPr>
              <w:t>需</w:t>
            </w:r>
            <w:r>
              <w:rPr>
                <w:rFonts w:hint="default" w:ascii="Times New Roman" w:hAnsi="Times New Roman" w:eastAsia="宋体" w:cs="Times New Roman"/>
                <w:bCs/>
                <w:color w:val="auto"/>
                <w:sz w:val="21"/>
                <w:szCs w:val="21"/>
              </w:rPr>
              <w:t>参照《危险废物贮存污染控制标准》</w:t>
            </w:r>
            <w:r>
              <w:rPr>
                <w:rFonts w:hint="eastAsia" w:ascii="Times New Roman" w:hAnsi="Times New Roman" w:eastAsia="宋体" w:cs="Times New Roman"/>
                <w:bCs/>
                <w:color w:val="auto"/>
                <w:sz w:val="21"/>
                <w:szCs w:val="21"/>
              </w:rPr>
              <w:t>（GB 18597-2023）</w:t>
            </w:r>
            <w:r>
              <w:rPr>
                <w:rFonts w:hint="default" w:ascii="Times New Roman" w:hAnsi="Times New Roman" w:eastAsia="宋体" w:cs="Times New Roman"/>
                <w:bCs/>
                <w:color w:val="auto"/>
                <w:sz w:val="21"/>
                <w:szCs w:val="21"/>
              </w:rPr>
              <w:t>中</w:t>
            </w:r>
            <w:r>
              <w:rPr>
                <w:rFonts w:hint="eastAsia" w:ascii="Times New Roman" w:hAnsi="Times New Roman" w:eastAsia="宋体" w:cs="Times New Roman"/>
                <w:bCs/>
                <w:color w:val="auto"/>
                <w:sz w:val="21"/>
                <w:szCs w:val="21"/>
              </w:rPr>
              <w:t>贮存设施污染控制要求</w:t>
            </w:r>
            <w:r>
              <w:rPr>
                <w:rFonts w:hint="default" w:ascii="Times New Roman" w:hAnsi="Times New Roman" w:eastAsia="宋体" w:cs="Times New Roman"/>
                <w:bCs/>
                <w:color w:val="auto"/>
                <w:sz w:val="21"/>
                <w:szCs w:val="21"/>
              </w:rPr>
              <w:t>设计</w:t>
            </w:r>
            <w:r>
              <w:rPr>
                <w:rFonts w:hint="eastAsia" w:ascii="Times New Roman" w:hAnsi="Times New Roman" w:eastAsia="宋体" w:cs="Times New Roman"/>
                <w:bCs/>
                <w:color w:val="auto"/>
                <w:sz w:val="21"/>
                <w:szCs w:val="21"/>
              </w:rPr>
              <w:t>：“防渗材料可采用抗渗混凝土、高密度聚乙烯膜、钠基膨润土防水毯或其他防渗性能等效的材料，防渗层为至少</w:t>
            </w:r>
            <w:r>
              <w:rPr>
                <w:rFonts w:hint="default" w:ascii="Times New Roman" w:hAnsi="Times New Roman" w:eastAsia="宋体" w:cs="Times New Roman"/>
                <w:bCs/>
                <w:color w:val="auto"/>
                <w:sz w:val="21"/>
                <w:szCs w:val="21"/>
              </w:rPr>
              <w:t>1m</w:t>
            </w:r>
            <w:r>
              <w:rPr>
                <w:rFonts w:hint="eastAsia" w:ascii="Times New Roman" w:hAnsi="Times New Roman" w:eastAsia="宋体" w:cs="Times New Roman"/>
                <w:bCs/>
                <w:color w:val="auto"/>
                <w:sz w:val="21"/>
                <w:szCs w:val="21"/>
              </w:rPr>
              <w:t>厚黏土层（渗透系数不大于</w:t>
            </w:r>
            <w:r>
              <w:rPr>
                <w:rFonts w:hint="default" w:ascii="Times New Roman" w:hAnsi="Times New Roman" w:eastAsia="宋体" w:cs="Times New Roman"/>
                <w:bCs/>
                <w:color w:val="auto"/>
                <w:sz w:val="21"/>
                <w:szCs w:val="21"/>
              </w:rPr>
              <w:t>10</w:t>
            </w:r>
            <w:r>
              <w:rPr>
                <w:rFonts w:hint="default" w:ascii="Times New Roman" w:hAnsi="Times New Roman" w:eastAsia="宋体" w:cs="Times New Roman"/>
                <w:bCs/>
                <w:color w:val="auto"/>
                <w:sz w:val="21"/>
                <w:szCs w:val="21"/>
                <w:vertAlign w:val="superscript"/>
              </w:rPr>
              <w:t>-7</w:t>
            </w:r>
            <w:r>
              <w:rPr>
                <w:rFonts w:hint="default" w:ascii="Times New Roman" w:hAnsi="Times New Roman" w:eastAsia="宋体" w:cs="Times New Roman"/>
                <w:bCs/>
                <w:color w:val="auto"/>
                <w:sz w:val="21"/>
                <w:szCs w:val="21"/>
              </w:rPr>
              <w:t xml:space="preserve"> cm/s</w:t>
            </w:r>
            <w:r>
              <w:rPr>
                <w:rFonts w:hint="eastAsia" w:ascii="Times New Roman" w:hAnsi="Times New Roman" w:eastAsia="宋体" w:cs="Times New Roman"/>
                <w:bCs/>
                <w:color w:val="auto"/>
                <w:sz w:val="21"/>
                <w:szCs w:val="21"/>
              </w:rPr>
              <w:t>），或至少</w:t>
            </w:r>
            <w:r>
              <w:rPr>
                <w:rFonts w:hint="default" w:ascii="Times New Roman" w:hAnsi="Times New Roman" w:eastAsia="宋体" w:cs="Times New Roman"/>
                <w:bCs/>
                <w:color w:val="auto"/>
                <w:sz w:val="21"/>
                <w:szCs w:val="21"/>
              </w:rPr>
              <w:t>2 mm</w:t>
            </w:r>
            <w:r>
              <w:rPr>
                <w:rFonts w:hint="eastAsia" w:ascii="Times New Roman" w:hAnsi="Times New Roman" w:eastAsia="宋体" w:cs="Times New Roman"/>
                <w:bCs/>
                <w:color w:val="auto"/>
                <w:sz w:val="21"/>
                <w:szCs w:val="21"/>
              </w:rPr>
              <w:t>厚高密度聚乙烯膜等人工防渗材料（渗透系数不大于</w:t>
            </w:r>
            <w:r>
              <w:rPr>
                <w:rFonts w:hint="default" w:ascii="Times New Roman" w:hAnsi="Times New Roman" w:eastAsia="宋体" w:cs="Times New Roman"/>
                <w:bCs/>
                <w:color w:val="auto"/>
                <w:sz w:val="21"/>
                <w:szCs w:val="21"/>
              </w:rPr>
              <w:t>10</w:t>
            </w:r>
            <w:r>
              <w:rPr>
                <w:rFonts w:hint="default" w:ascii="Times New Roman" w:hAnsi="Times New Roman" w:eastAsia="宋体" w:cs="Times New Roman"/>
                <w:bCs/>
                <w:color w:val="auto"/>
                <w:sz w:val="21"/>
                <w:szCs w:val="21"/>
                <w:vertAlign w:val="superscript"/>
              </w:rPr>
              <w:t>-10</w:t>
            </w:r>
            <w:r>
              <w:rPr>
                <w:rFonts w:hint="default" w:ascii="Times New Roman" w:hAnsi="Times New Roman" w:eastAsia="宋体" w:cs="Times New Roman"/>
                <w:bCs/>
                <w:color w:val="auto"/>
                <w:sz w:val="21"/>
                <w:szCs w:val="21"/>
              </w:rPr>
              <w:t xml:space="preserve"> cm/s</w:t>
            </w:r>
            <w:r>
              <w:rPr>
                <w:rFonts w:hint="eastAsia" w:ascii="Times New Roman" w:hAnsi="Times New Roman" w:eastAsia="宋体" w:cs="Times New Roman"/>
                <w:bCs/>
                <w:color w:val="auto"/>
                <w:sz w:val="21"/>
                <w:szCs w:val="21"/>
              </w:rPr>
              <w:t>），或其他防渗性能等效的材料。”</w:t>
            </w:r>
            <w:r>
              <w:rPr>
                <w:rFonts w:hint="default" w:ascii="Times New Roman" w:hAnsi="Times New Roman" w:eastAsia="宋体" w:cs="Times New Roman"/>
                <w:bCs/>
                <w:color w:val="auto"/>
                <w:sz w:val="21"/>
                <w:szCs w:val="21"/>
              </w:rPr>
              <w:t>建设单位</w:t>
            </w:r>
            <w:r>
              <w:rPr>
                <w:rFonts w:hint="eastAsia" w:ascii="Times New Roman" w:hAnsi="Times New Roman" w:eastAsia="宋体" w:cs="Times New Roman"/>
                <w:bCs/>
                <w:color w:val="auto"/>
                <w:sz w:val="21"/>
                <w:szCs w:val="21"/>
              </w:rPr>
              <w:t>拟在</w:t>
            </w:r>
            <w:r>
              <w:rPr>
                <w:rFonts w:hint="default" w:ascii="Times New Roman" w:hAnsi="Times New Roman" w:eastAsia="宋体" w:cs="Times New Roman"/>
                <w:bCs/>
                <w:color w:val="auto"/>
                <w:sz w:val="21"/>
                <w:szCs w:val="21"/>
              </w:rPr>
              <w:t>重点防渗区铺设30cm厚成品水泥混凝土作为底层，中层铺设5cm厚的成品普通防腐水泥，上层铺设2mm厚的环氧树脂涂层</w:t>
            </w:r>
            <w:r>
              <w:rPr>
                <w:rFonts w:hint="eastAsia"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rPr>
              <w:t>防渗层性能达到《环境影响评价技术导则 地下水环境》（HJ610-2016）表7中重点防渗区防渗技术要求，即等效黏土防渗层Mb≥6.0m，渗透系数K≤10</w:t>
            </w:r>
            <w:r>
              <w:rPr>
                <w:rFonts w:hint="default" w:ascii="Times New Roman" w:hAnsi="Times New Roman" w:eastAsia="宋体" w:cs="Times New Roman"/>
                <w:bCs/>
                <w:color w:val="auto"/>
                <w:sz w:val="21"/>
                <w:szCs w:val="21"/>
                <w:vertAlign w:val="superscript"/>
              </w:rPr>
              <w:t>-7</w:t>
            </w:r>
            <w:r>
              <w:rPr>
                <w:rFonts w:hint="default" w:ascii="Times New Roman" w:hAnsi="Times New Roman" w:eastAsia="宋体" w:cs="Times New Roman"/>
                <w:bCs/>
                <w:color w:val="auto"/>
                <w:sz w:val="21"/>
                <w:szCs w:val="21"/>
              </w:rPr>
              <w:t>cm/s。</w:t>
            </w:r>
          </w:p>
          <w:p w14:paraId="48FE0244">
            <w:pPr>
              <w:spacing w:line="500" w:lineRule="exact"/>
              <w:ind w:firstLine="420" w:firstLineChars="200"/>
              <w:rPr>
                <w:rFonts w:hint="default" w:ascii="Times New Roman" w:hAnsi="Times New Roman" w:eastAsia="宋体" w:cs="Times New Roman"/>
                <w:bCs/>
                <w:color w:val="auto"/>
                <w:sz w:val="21"/>
                <w:szCs w:val="21"/>
              </w:rPr>
            </w:pPr>
            <w:r>
              <w:rPr>
                <w:rFonts w:hint="default" w:ascii="Times New Roman" w:hAnsi="Times New Roman" w:cs="Times New Roman"/>
                <w:bCs/>
                <w:color w:val="auto"/>
                <w:sz w:val="21"/>
                <w:szCs w:val="21"/>
              </w:rPr>
              <w:t>②</w:t>
            </w:r>
            <w:r>
              <w:rPr>
                <w:rFonts w:hint="default" w:ascii="Times New Roman" w:hAnsi="Times New Roman" w:eastAsia="宋体" w:cs="Times New Roman"/>
                <w:bCs/>
                <w:color w:val="auto"/>
                <w:sz w:val="21"/>
                <w:szCs w:val="21"/>
              </w:rPr>
              <w:t>一般防渗区</w:t>
            </w:r>
          </w:p>
          <w:p w14:paraId="0E1899F1">
            <w:pPr>
              <w:spacing w:line="500" w:lineRule="exact"/>
              <w:ind w:firstLine="420" w:firstLineChars="200"/>
              <w:rPr>
                <w:rFonts w:hint="eastAsia"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本项目建成后，一般防渗区主要为</w:t>
            </w:r>
            <w:r>
              <w:rPr>
                <w:rFonts w:hint="eastAsia" w:cs="Times New Roman"/>
                <w:bCs/>
                <w:color w:val="auto"/>
                <w:sz w:val="21"/>
                <w:szCs w:val="21"/>
                <w:lang w:val="en-US" w:eastAsia="zh-CN"/>
              </w:rPr>
              <w:t>原料仓库、成品仓库、</w:t>
            </w:r>
            <w:r>
              <w:rPr>
                <w:rFonts w:hint="eastAsia" w:cs="Times New Roman"/>
                <w:bCs/>
                <w:color w:val="auto"/>
                <w:sz w:val="21"/>
                <w:szCs w:val="21"/>
                <w:lang w:eastAsia="zh-CN"/>
              </w:rPr>
              <w:t>一般固废仓库</w:t>
            </w:r>
            <w:r>
              <w:rPr>
                <w:rFonts w:hint="default" w:ascii="Times New Roman" w:hAnsi="Times New Roman" w:eastAsia="宋体" w:cs="Times New Roman"/>
                <w:bCs/>
                <w:color w:val="auto"/>
                <w:sz w:val="21"/>
                <w:szCs w:val="21"/>
              </w:rPr>
              <w:t>等</w:t>
            </w:r>
            <w:r>
              <w:rPr>
                <w:rFonts w:hint="eastAsia" w:cs="Times New Roman"/>
                <w:bCs/>
                <w:color w:val="auto"/>
                <w:sz w:val="21"/>
                <w:szCs w:val="21"/>
                <w:lang w:eastAsia="zh-CN"/>
              </w:rPr>
              <w:t>，</w:t>
            </w:r>
            <w:r>
              <w:rPr>
                <w:rFonts w:hint="default" w:ascii="Times New Roman" w:hAnsi="Times New Roman" w:eastAsia="宋体" w:cs="Times New Roman"/>
                <w:bCs/>
                <w:color w:val="auto"/>
                <w:sz w:val="21"/>
                <w:szCs w:val="21"/>
              </w:rPr>
              <w:t>一般防渗区底层铺设10cm-15cm厚成品水泥混凝土，中层铺设1cm-5cm厚的成品普通防腐水泥</w:t>
            </w:r>
            <w:r>
              <w:rPr>
                <w:rFonts w:hint="eastAsia"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rPr>
              <w:t>防渗层性能达到《环境影响评价技术导则 地下水环境》（HJ610-2016）表7中一般防渗区防渗技术要求，即等效黏土防渗层Mb≥1.5m，渗透系数K≤10</w:t>
            </w:r>
            <w:r>
              <w:rPr>
                <w:rFonts w:hint="default" w:ascii="Times New Roman" w:hAnsi="Times New Roman" w:eastAsia="宋体" w:cs="Times New Roman"/>
                <w:bCs/>
                <w:color w:val="auto"/>
                <w:sz w:val="21"/>
                <w:szCs w:val="21"/>
                <w:vertAlign w:val="superscript"/>
              </w:rPr>
              <w:t>-7</w:t>
            </w:r>
            <w:r>
              <w:rPr>
                <w:rFonts w:hint="default" w:ascii="Times New Roman" w:hAnsi="Times New Roman" w:eastAsia="宋体" w:cs="Times New Roman"/>
                <w:bCs/>
                <w:color w:val="auto"/>
                <w:sz w:val="21"/>
                <w:szCs w:val="21"/>
              </w:rPr>
              <w:t>cm/s</w:t>
            </w:r>
            <w:r>
              <w:rPr>
                <w:rFonts w:hint="eastAsia" w:ascii="Times New Roman" w:hAnsi="Times New Roman" w:eastAsia="宋体" w:cs="Times New Roman"/>
                <w:bCs/>
                <w:color w:val="auto"/>
                <w:sz w:val="21"/>
                <w:szCs w:val="21"/>
                <w:lang w:eastAsia="zh-CN"/>
              </w:rPr>
              <w:t>。</w:t>
            </w:r>
          </w:p>
          <w:p w14:paraId="02436C9B">
            <w:pPr>
              <w:spacing w:line="500" w:lineRule="exact"/>
              <w:ind w:firstLine="420" w:firstLineChars="200"/>
              <w:rPr>
                <w:rFonts w:hint="default" w:ascii="Times New Roman" w:hAnsi="Times New Roman" w:cs="Times New Roman"/>
                <w:bCs/>
                <w:color w:val="auto"/>
                <w:sz w:val="21"/>
                <w:szCs w:val="21"/>
              </w:rPr>
            </w:pPr>
            <w:r>
              <w:rPr>
                <w:rFonts w:hint="eastAsia" w:cs="Times New Roman"/>
                <w:bCs/>
                <w:color w:val="auto"/>
                <w:sz w:val="21"/>
                <w:szCs w:val="21"/>
                <w:lang w:eastAsia="zh-CN"/>
              </w:rPr>
              <w:t>（</w:t>
            </w:r>
            <w:r>
              <w:rPr>
                <w:rFonts w:hint="eastAsia" w:cs="Times New Roman"/>
                <w:bCs/>
                <w:color w:val="auto"/>
                <w:sz w:val="21"/>
                <w:szCs w:val="21"/>
                <w:lang w:val="en-US" w:eastAsia="zh-CN"/>
              </w:rPr>
              <w:t>3</w:t>
            </w:r>
            <w:r>
              <w:rPr>
                <w:rFonts w:hint="eastAsia" w:cs="Times New Roman"/>
                <w:bCs/>
                <w:color w:val="auto"/>
                <w:sz w:val="21"/>
                <w:szCs w:val="21"/>
                <w:lang w:eastAsia="zh-CN"/>
              </w:rPr>
              <w:t>）</w:t>
            </w:r>
            <w:r>
              <w:rPr>
                <w:rFonts w:hint="default" w:ascii="Times New Roman" w:hAnsi="Times New Roman" w:cs="Times New Roman"/>
                <w:bCs/>
                <w:color w:val="auto"/>
                <w:sz w:val="21"/>
                <w:szCs w:val="21"/>
              </w:rPr>
              <w:t>应急处置</w:t>
            </w:r>
          </w:p>
          <w:p w14:paraId="333BDC3B">
            <w:pPr>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当发生异常情况，需要马上采取紧急措施。按照装置制定的环境事故应急预案，启动应急预案。在第一时间内尽快上报主管领导，启动周围社会预案，密切关注地下水水质变化情况。组织专业队伍负责查找环境事故发生地点，分析事故原因，尽量将紧急</w:t>
            </w:r>
            <w:r>
              <w:rPr>
                <w:rFonts w:hint="eastAsia"/>
                <w:color w:val="auto"/>
                <w:sz w:val="21"/>
                <w:szCs w:val="21"/>
                <w:lang w:val="en-US" w:eastAsia="zh-CN"/>
              </w:rPr>
              <w:t>事件</w:t>
            </w:r>
            <w:r>
              <w:rPr>
                <w:rFonts w:hint="default" w:ascii="Times New Roman" w:hAnsi="Times New Roman" w:cs="Times New Roman"/>
                <w:bCs/>
                <w:color w:val="auto"/>
                <w:sz w:val="21"/>
                <w:szCs w:val="21"/>
              </w:rPr>
              <w:t>局部化，如可能应予以消除，尽量缩小环境事故对人和财产的影响，减低事故后果的手段，包括切断生产装置或设施。对事故现场</w:t>
            </w:r>
            <w:r>
              <w:rPr>
                <w:rFonts w:hint="eastAsia" w:cs="Times New Roman"/>
                <w:bCs/>
                <w:color w:val="auto"/>
                <w:sz w:val="21"/>
                <w:szCs w:val="21"/>
                <w:lang w:val="en-US" w:eastAsia="zh-CN"/>
              </w:rPr>
              <w:t>进行</w:t>
            </w:r>
            <w:r>
              <w:rPr>
                <w:rFonts w:hint="default" w:ascii="Times New Roman" w:hAnsi="Times New Roman" w:cs="Times New Roman"/>
                <w:bCs/>
                <w:color w:val="auto"/>
                <w:sz w:val="21"/>
                <w:szCs w:val="21"/>
              </w:rPr>
              <w:t>调查、监测、处理。对事故后果进行评估，采取紧急措施制止事故的扩散、扩大，并制定防止类似事件发生的措施。如果本公司力量不足，需要请求社会应急力量协助。</w:t>
            </w:r>
          </w:p>
          <w:p w14:paraId="3CE87685">
            <w:pPr>
              <w:adjustRightInd w:val="0"/>
              <w:snapToGrid w:val="0"/>
              <w:spacing w:line="500" w:lineRule="exact"/>
              <w:rPr>
                <w:rFonts w:hint="default" w:ascii="Times New Roman" w:hAnsi="Times New Roman" w:cs="Times New Roman"/>
                <w:b/>
                <w:bCs/>
                <w:color w:val="auto"/>
                <w:sz w:val="21"/>
                <w:szCs w:val="21"/>
              </w:rPr>
            </w:pPr>
            <w:r>
              <w:rPr>
                <w:rFonts w:hint="eastAsia" w:cs="Times New Roman"/>
                <w:b/>
                <w:bCs/>
                <w:color w:val="auto"/>
                <w:sz w:val="21"/>
                <w:szCs w:val="21"/>
                <w:lang w:eastAsia="zh-CN"/>
              </w:rPr>
              <w:t>六</w:t>
            </w:r>
            <w:r>
              <w:rPr>
                <w:rFonts w:hint="default" w:ascii="Times New Roman" w:hAnsi="Times New Roman" w:cs="Times New Roman"/>
                <w:b/>
                <w:bCs/>
                <w:color w:val="auto"/>
                <w:sz w:val="21"/>
                <w:szCs w:val="21"/>
              </w:rPr>
              <w:t>、生态</w:t>
            </w:r>
          </w:p>
          <w:p w14:paraId="74B04280">
            <w:pPr>
              <w:adjustRightInd w:val="0"/>
              <w:snapToGrid w:val="0"/>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本项目不在已划定的生态空间管控区域和生态红线区内，无须设置生态保护措施。</w:t>
            </w:r>
          </w:p>
          <w:p w14:paraId="11BA2D3E">
            <w:pPr>
              <w:adjustRightInd w:val="0"/>
              <w:snapToGrid w:val="0"/>
              <w:spacing w:line="500" w:lineRule="exact"/>
              <w:rPr>
                <w:rFonts w:hint="default" w:ascii="Times New Roman" w:hAnsi="Times New Roman" w:cs="Times New Roman"/>
                <w:b/>
                <w:bCs/>
                <w:color w:val="auto"/>
                <w:sz w:val="21"/>
                <w:szCs w:val="21"/>
              </w:rPr>
            </w:pPr>
            <w:r>
              <w:rPr>
                <w:rFonts w:hint="eastAsia" w:cs="Times New Roman"/>
                <w:b/>
                <w:bCs/>
                <w:color w:val="auto"/>
                <w:sz w:val="21"/>
                <w:szCs w:val="21"/>
                <w:lang w:eastAsia="zh-CN"/>
              </w:rPr>
              <w:t>七</w:t>
            </w:r>
            <w:r>
              <w:rPr>
                <w:rFonts w:hint="default" w:ascii="Times New Roman" w:hAnsi="Times New Roman" w:cs="Times New Roman"/>
                <w:b/>
                <w:bCs/>
                <w:color w:val="auto"/>
                <w:sz w:val="21"/>
                <w:szCs w:val="21"/>
              </w:rPr>
              <w:t>、环境风险</w:t>
            </w:r>
          </w:p>
          <w:p w14:paraId="0FD704D8">
            <w:pPr>
              <w:spacing w:line="500" w:lineRule="exact"/>
              <w:ind w:firstLine="420" w:firstLineChars="200"/>
              <w:rPr>
                <w:rFonts w:hint="default" w:ascii="Times New Roman" w:hAnsi="Times New Roman" w:cs="Times New Roman"/>
                <w:bCs/>
                <w:color w:val="auto"/>
                <w:sz w:val="21"/>
                <w:szCs w:val="21"/>
              </w:rPr>
            </w:pPr>
            <w:r>
              <w:rPr>
                <w:rFonts w:hint="eastAsia" w:cs="Times New Roman"/>
                <w:bCs/>
                <w:color w:val="auto"/>
                <w:sz w:val="21"/>
                <w:szCs w:val="21"/>
                <w:lang w:val="en-US" w:eastAsia="zh-CN"/>
              </w:rPr>
              <w:t>1、</w:t>
            </w:r>
            <w:r>
              <w:rPr>
                <w:rFonts w:hint="default" w:ascii="Times New Roman" w:hAnsi="Times New Roman" w:cs="Times New Roman"/>
                <w:bCs/>
                <w:color w:val="auto"/>
                <w:sz w:val="21"/>
                <w:szCs w:val="21"/>
              </w:rPr>
              <w:t>风险识别</w:t>
            </w:r>
          </w:p>
          <w:p w14:paraId="489061AB">
            <w:pPr>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本项目涉及的风险物质最大存储量与临界量见下表。</w:t>
            </w:r>
          </w:p>
          <w:p w14:paraId="63362302">
            <w:pPr>
              <w:spacing w:line="500" w:lineRule="exact"/>
              <w:jc w:val="center"/>
              <w:rPr>
                <w:rFonts w:hint="default" w:ascii="Times New Roman" w:hAnsi="Times New Roman" w:cs="Times New Roman"/>
                <w:b/>
                <w:bCs/>
                <w:color w:val="auto"/>
                <w:sz w:val="21"/>
                <w:szCs w:val="21"/>
                <w:highlight w:val="none"/>
              </w:rPr>
            </w:pPr>
          </w:p>
          <w:p w14:paraId="04DA34EA">
            <w:pPr>
              <w:spacing w:line="500" w:lineRule="exact"/>
              <w:jc w:val="center"/>
              <w:rPr>
                <w:rFonts w:hint="default" w:ascii="Times New Roman" w:hAnsi="Times New Roman" w:cs="Times New Roman"/>
                <w:b/>
                <w:bCs/>
                <w:color w:val="auto"/>
                <w:sz w:val="21"/>
                <w:szCs w:val="21"/>
                <w:highlight w:val="none"/>
              </w:rPr>
            </w:pPr>
          </w:p>
          <w:p w14:paraId="3EDD7106">
            <w:pPr>
              <w:spacing w:line="500" w:lineRule="exact"/>
              <w:jc w:val="center"/>
              <w:rPr>
                <w:rFonts w:hint="default" w:ascii="Times New Roman" w:hAnsi="Times New Roman" w:cs="Times New Roman"/>
                <w:b/>
                <w:bCs/>
                <w:color w:val="auto"/>
                <w:sz w:val="21"/>
                <w:szCs w:val="21"/>
                <w:highlight w:val="none"/>
              </w:rPr>
            </w:pPr>
          </w:p>
          <w:p w14:paraId="2E1423BB">
            <w:pPr>
              <w:pStyle w:val="2"/>
              <w:rPr>
                <w:rFonts w:hint="default" w:ascii="Times New Roman" w:hAnsi="Times New Roman" w:cs="Times New Roman"/>
                <w:b/>
                <w:bCs/>
                <w:color w:val="auto"/>
                <w:sz w:val="21"/>
                <w:szCs w:val="21"/>
                <w:highlight w:val="none"/>
              </w:rPr>
            </w:pPr>
          </w:p>
          <w:p w14:paraId="61E1B269">
            <w:pPr>
              <w:pStyle w:val="2"/>
              <w:rPr>
                <w:rFonts w:hint="default" w:ascii="Times New Roman" w:hAnsi="Times New Roman" w:cs="Times New Roman"/>
                <w:b/>
                <w:bCs/>
                <w:color w:val="auto"/>
                <w:sz w:val="21"/>
                <w:szCs w:val="21"/>
                <w:highlight w:val="none"/>
              </w:rPr>
            </w:pPr>
          </w:p>
          <w:p w14:paraId="7A74BB65">
            <w:pPr>
              <w:pStyle w:val="2"/>
              <w:rPr>
                <w:rFonts w:hint="default" w:ascii="Times New Roman" w:hAnsi="Times New Roman" w:cs="Times New Roman"/>
                <w:b/>
                <w:bCs/>
                <w:color w:val="auto"/>
                <w:sz w:val="21"/>
                <w:szCs w:val="21"/>
                <w:highlight w:val="none"/>
              </w:rPr>
            </w:pPr>
          </w:p>
          <w:p w14:paraId="36076DF8">
            <w:pPr>
              <w:pStyle w:val="2"/>
              <w:rPr>
                <w:rFonts w:hint="default" w:ascii="Times New Roman" w:hAnsi="Times New Roman" w:cs="Times New Roman"/>
                <w:b/>
                <w:bCs/>
                <w:color w:val="auto"/>
                <w:sz w:val="21"/>
                <w:szCs w:val="21"/>
                <w:highlight w:val="none"/>
              </w:rPr>
            </w:pPr>
          </w:p>
          <w:p w14:paraId="02767BBF">
            <w:pPr>
              <w:pStyle w:val="2"/>
              <w:rPr>
                <w:rFonts w:hint="default" w:ascii="Times New Roman" w:hAnsi="Times New Roman" w:cs="Times New Roman"/>
                <w:b/>
                <w:bCs/>
                <w:color w:val="auto"/>
                <w:sz w:val="21"/>
                <w:szCs w:val="21"/>
                <w:highlight w:val="none"/>
              </w:rPr>
            </w:pPr>
          </w:p>
          <w:p w14:paraId="56C2D58A">
            <w:pPr>
              <w:pStyle w:val="2"/>
              <w:rPr>
                <w:rFonts w:hint="default" w:ascii="Times New Roman" w:hAnsi="Times New Roman" w:cs="Times New Roman"/>
                <w:b/>
                <w:bCs/>
                <w:color w:val="auto"/>
                <w:sz w:val="21"/>
                <w:szCs w:val="21"/>
                <w:highlight w:val="none"/>
              </w:rPr>
            </w:pPr>
          </w:p>
          <w:p w14:paraId="2D378653">
            <w:pPr>
              <w:spacing w:line="500" w:lineRule="exact"/>
              <w:jc w:val="center"/>
              <w:rPr>
                <w:rFonts w:hint="default" w:ascii="Times New Roman" w:hAnsi="Times New Roman" w:cs="Times New Roman"/>
                <w:b/>
                <w:bCs/>
                <w:color w:val="auto"/>
                <w:sz w:val="21"/>
                <w:szCs w:val="21"/>
                <w:highlight w:val="none"/>
              </w:rPr>
            </w:pPr>
          </w:p>
          <w:p w14:paraId="5EF8D87E">
            <w:pPr>
              <w:spacing w:line="50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表4</w:t>
            </w:r>
            <w:r>
              <w:rPr>
                <w:rFonts w:hint="eastAsia" w:cs="Times New Roman"/>
                <w:b/>
                <w:bCs/>
                <w:color w:val="auto"/>
                <w:sz w:val="21"/>
                <w:szCs w:val="21"/>
                <w:highlight w:val="none"/>
                <w:lang w:val="en-US" w:eastAsia="zh-CN"/>
              </w:rPr>
              <w:t xml:space="preserve">-22 </w:t>
            </w:r>
            <w:r>
              <w:rPr>
                <w:rFonts w:hint="default" w:ascii="Times New Roman" w:hAnsi="Times New Roman" w:cs="Times New Roman"/>
                <w:b/>
                <w:bCs/>
                <w:color w:val="auto"/>
                <w:sz w:val="21"/>
                <w:szCs w:val="21"/>
                <w:highlight w:val="none"/>
              </w:rPr>
              <w:t>风险物质与临界量比值结果表</w:t>
            </w:r>
          </w:p>
          <w:tbl>
            <w:tblPr>
              <w:tblStyle w:val="32"/>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835"/>
              <w:gridCol w:w="1503"/>
              <w:gridCol w:w="1119"/>
              <w:gridCol w:w="2115"/>
              <w:gridCol w:w="1563"/>
            </w:tblGrid>
            <w:tr w14:paraId="3EF522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vAlign w:val="center"/>
                </w:tcPr>
                <w:p w14:paraId="1FC6DB72">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1038" w:type="pct"/>
                  <w:vAlign w:val="center"/>
                </w:tcPr>
                <w:p w14:paraId="7795BFEB">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名称</w:t>
                  </w:r>
                </w:p>
              </w:tc>
              <w:tc>
                <w:tcPr>
                  <w:tcW w:w="850" w:type="pct"/>
                  <w:tcBorders>
                    <w:right w:val="single" w:color="000000" w:sz="4" w:space="0"/>
                  </w:tcBorders>
                  <w:vAlign w:val="center"/>
                </w:tcPr>
                <w:p w14:paraId="36041FBA">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最大存在总量（t）</w:t>
                  </w:r>
                </w:p>
              </w:tc>
              <w:tc>
                <w:tcPr>
                  <w:tcW w:w="632" w:type="pct"/>
                  <w:tcBorders>
                    <w:left w:val="single" w:color="000000" w:sz="4" w:space="0"/>
                  </w:tcBorders>
                  <w:vAlign w:val="center"/>
                </w:tcPr>
                <w:p w14:paraId="2D08DD08">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临界量（t）</w:t>
                  </w:r>
                </w:p>
              </w:tc>
              <w:tc>
                <w:tcPr>
                  <w:tcW w:w="1196" w:type="pct"/>
                  <w:vAlign w:val="center"/>
                </w:tcPr>
                <w:p w14:paraId="7737425F">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最大储存量与临界量的比值（q</w:t>
                  </w:r>
                  <w:r>
                    <w:rPr>
                      <w:rFonts w:hint="default" w:ascii="Times New Roman" w:hAnsi="Times New Roman" w:cs="Times New Roman"/>
                      <w:b/>
                      <w:color w:val="auto"/>
                      <w:sz w:val="21"/>
                      <w:szCs w:val="21"/>
                      <w:vertAlign w:val="subscript"/>
                    </w:rPr>
                    <w:t>i</w:t>
                  </w:r>
                  <w:r>
                    <w:rPr>
                      <w:rFonts w:hint="default" w:ascii="Times New Roman" w:hAnsi="Times New Roman" w:cs="Times New Roman"/>
                      <w:b/>
                      <w:color w:val="auto"/>
                      <w:sz w:val="21"/>
                      <w:szCs w:val="21"/>
                    </w:rPr>
                    <w:t>/Q</w:t>
                  </w:r>
                  <w:r>
                    <w:rPr>
                      <w:rFonts w:hint="default" w:ascii="Times New Roman" w:hAnsi="Times New Roman" w:cs="Times New Roman"/>
                      <w:b/>
                      <w:color w:val="auto"/>
                      <w:sz w:val="21"/>
                      <w:szCs w:val="21"/>
                      <w:vertAlign w:val="subscript"/>
                    </w:rPr>
                    <w:t>i</w:t>
                  </w:r>
                  <w:r>
                    <w:rPr>
                      <w:rFonts w:hint="default" w:ascii="Times New Roman" w:hAnsi="Times New Roman" w:cs="Times New Roman"/>
                      <w:b/>
                      <w:color w:val="auto"/>
                      <w:sz w:val="21"/>
                      <w:szCs w:val="21"/>
                    </w:rPr>
                    <w:t>）</w:t>
                  </w:r>
                </w:p>
              </w:tc>
              <w:tc>
                <w:tcPr>
                  <w:tcW w:w="884" w:type="pct"/>
                  <w:vAlign w:val="center"/>
                </w:tcPr>
                <w:p w14:paraId="506A0266">
                  <w:pPr>
                    <w:adjustRightInd w:val="0"/>
                    <w:snapToGrid w:val="0"/>
                    <w:jc w:val="center"/>
                    <w:rPr>
                      <w:rFonts w:hint="eastAsia" w:ascii="Times New Roman" w:hAnsi="Times New Roman" w:eastAsia="宋体" w:cs="Times New Roman"/>
                      <w:b/>
                      <w:color w:val="auto"/>
                      <w:sz w:val="21"/>
                      <w:szCs w:val="21"/>
                      <w:lang w:eastAsia="zh-CN"/>
                    </w:rPr>
                  </w:pPr>
                  <w:r>
                    <w:rPr>
                      <w:rFonts w:hint="eastAsia" w:cs="Times New Roman"/>
                      <w:b/>
                      <w:color w:val="auto"/>
                      <w:sz w:val="21"/>
                      <w:szCs w:val="21"/>
                      <w:lang w:eastAsia="zh-CN"/>
                    </w:rPr>
                    <w:t>储存地点</w:t>
                  </w:r>
                </w:p>
              </w:tc>
            </w:tr>
            <w:tr w14:paraId="1340E6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vAlign w:val="center"/>
                </w:tcPr>
                <w:p w14:paraId="628FA16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38" w:type="pct"/>
                  <w:shd w:val="clear" w:color="auto" w:fill="FFFFFF"/>
                  <w:vAlign w:val="center"/>
                </w:tcPr>
                <w:p w14:paraId="0B54A00C">
                  <w:pPr>
                    <w:pStyle w:val="49"/>
                    <w:adjustRightInd w:val="0"/>
                    <w:snapToGrid w:val="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胶水</w:t>
                  </w:r>
                </w:p>
              </w:tc>
              <w:tc>
                <w:tcPr>
                  <w:tcW w:w="850" w:type="pct"/>
                  <w:tcBorders>
                    <w:right w:val="single" w:color="000000" w:sz="4" w:space="0"/>
                  </w:tcBorders>
                  <w:vAlign w:val="center"/>
                </w:tcPr>
                <w:p w14:paraId="079C77FF">
                  <w:pPr>
                    <w:adjustRightInd w:val="0"/>
                    <w:snapToGrid w:val="0"/>
                    <w:spacing w:line="320" w:lineRule="exact"/>
                    <w:jc w:val="center"/>
                    <w:rPr>
                      <w:rFonts w:hint="default"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0.2</w:t>
                  </w:r>
                  <w:r>
                    <w:rPr>
                      <w:rFonts w:hint="eastAsia" w:ascii="Times New Roman" w:hAnsi="Times New Roman" w:cs="Times New Roman"/>
                      <w:color w:val="auto"/>
                      <w:kern w:val="2"/>
                      <w:sz w:val="21"/>
                      <w:szCs w:val="21"/>
                      <w:lang w:val="en-US" w:eastAsia="zh-CN" w:bidi="ar-SA"/>
                    </w:rPr>
                    <w:t>2</w:t>
                  </w:r>
                </w:p>
              </w:tc>
              <w:tc>
                <w:tcPr>
                  <w:tcW w:w="632" w:type="pct"/>
                  <w:tcBorders>
                    <w:left w:val="single" w:color="000000" w:sz="4" w:space="0"/>
                  </w:tcBorders>
                  <w:vAlign w:val="center"/>
                </w:tcPr>
                <w:p w14:paraId="661F0E29">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50</w:t>
                  </w:r>
                </w:p>
              </w:tc>
              <w:tc>
                <w:tcPr>
                  <w:tcW w:w="1196" w:type="pct"/>
                  <w:vAlign w:val="center"/>
                </w:tcPr>
                <w:p w14:paraId="0E71BFB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0.022</w:t>
                  </w:r>
                </w:p>
              </w:tc>
              <w:tc>
                <w:tcPr>
                  <w:tcW w:w="884" w:type="pct"/>
                  <w:vMerge w:val="restart"/>
                  <w:vAlign w:val="center"/>
                </w:tcPr>
                <w:p w14:paraId="519499DC">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化学品暂存区/车间</w:t>
                  </w:r>
                </w:p>
              </w:tc>
            </w:tr>
            <w:tr w14:paraId="608E7D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vAlign w:val="center"/>
                </w:tcPr>
                <w:p w14:paraId="50124B3D">
                  <w:pPr>
                    <w:adjustRightInd w:val="0"/>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2</w:t>
                  </w:r>
                </w:p>
              </w:tc>
              <w:tc>
                <w:tcPr>
                  <w:tcW w:w="1038" w:type="pct"/>
                  <w:shd w:val="clear" w:color="auto" w:fill="FFFFFF"/>
                  <w:vAlign w:val="center"/>
                </w:tcPr>
                <w:p w14:paraId="2B0B9DFE">
                  <w:pPr>
                    <w:pStyle w:val="25"/>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水性油墨</w:t>
                  </w:r>
                </w:p>
              </w:tc>
              <w:tc>
                <w:tcPr>
                  <w:tcW w:w="850" w:type="pct"/>
                  <w:tcBorders>
                    <w:right w:val="single" w:color="000000" w:sz="4" w:space="0"/>
                  </w:tcBorders>
                  <w:vAlign w:val="center"/>
                </w:tcPr>
                <w:p w14:paraId="6499B7E2">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1.1</w:t>
                  </w:r>
                </w:p>
              </w:tc>
              <w:tc>
                <w:tcPr>
                  <w:tcW w:w="632" w:type="pct"/>
                  <w:tcBorders>
                    <w:left w:val="single" w:color="000000" w:sz="4" w:space="0"/>
                  </w:tcBorders>
                  <w:vAlign w:val="center"/>
                </w:tcPr>
                <w:p w14:paraId="48687024">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50</w:t>
                  </w:r>
                </w:p>
              </w:tc>
              <w:tc>
                <w:tcPr>
                  <w:tcW w:w="1196" w:type="pct"/>
                  <w:vAlign w:val="center"/>
                </w:tcPr>
                <w:p w14:paraId="0BBFD5D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0.0005</w:t>
                  </w:r>
                </w:p>
              </w:tc>
              <w:tc>
                <w:tcPr>
                  <w:tcW w:w="884" w:type="pct"/>
                  <w:vMerge w:val="continue"/>
                  <w:shd w:val="clear" w:color="auto" w:fill="auto"/>
                  <w:vAlign w:val="center"/>
                </w:tcPr>
                <w:p w14:paraId="189AB575">
                  <w:pPr>
                    <w:adjustRightInd w:val="0"/>
                    <w:snapToGrid w:val="0"/>
                    <w:jc w:val="center"/>
                    <w:rPr>
                      <w:rFonts w:hint="eastAsia"/>
                      <w:color w:val="auto"/>
                      <w:lang w:val="en-US" w:eastAsia="zh-CN"/>
                    </w:rPr>
                  </w:pPr>
                </w:p>
              </w:tc>
            </w:tr>
            <w:tr w14:paraId="2C42F2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vAlign w:val="center"/>
                </w:tcPr>
                <w:p w14:paraId="4A74B126">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1038" w:type="pct"/>
                  <w:vAlign w:val="center"/>
                </w:tcPr>
                <w:p w14:paraId="199BAD21">
                  <w:pPr>
                    <w:pStyle w:val="7"/>
                    <w:adjustRightInd w:val="0"/>
                    <w:snapToGrid w:val="0"/>
                    <w:ind w:firstLine="0" w:firstLineChars="0"/>
                    <w:jc w:val="center"/>
                    <w:rPr>
                      <w:rFonts w:hint="eastAsia" w:ascii="Times New Roman" w:hAnsi="Times New Roman" w:cs="Times New Roman"/>
                      <w:color w:val="auto"/>
                      <w:sz w:val="21"/>
                      <w:szCs w:val="21"/>
                      <w:highlight w:val="none"/>
                      <w:lang w:eastAsia="zh-CN"/>
                    </w:rPr>
                  </w:pPr>
                  <w:r>
                    <w:rPr>
                      <w:rFonts w:hint="eastAsia" w:ascii="Times New Roman" w:hAnsi="Times New Roman" w:eastAsia="宋体" w:cs="Times New Roman"/>
                      <w:b w:val="0"/>
                      <w:bCs w:val="0"/>
                      <w:color w:val="auto"/>
                      <w:kern w:val="2"/>
                      <w:sz w:val="21"/>
                      <w:szCs w:val="21"/>
                      <w:lang w:val="en-US" w:eastAsia="zh-CN" w:bidi="ar-SA"/>
                    </w:rPr>
                    <w:t>含油墨</w:t>
                  </w:r>
                  <w:r>
                    <w:rPr>
                      <w:rFonts w:hint="default" w:ascii="Times New Roman" w:hAnsi="Times New Roman" w:eastAsia="宋体" w:cs="Times New Roman"/>
                      <w:b w:val="0"/>
                      <w:bCs w:val="0"/>
                      <w:color w:val="auto"/>
                      <w:kern w:val="2"/>
                      <w:sz w:val="21"/>
                      <w:szCs w:val="21"/>
                      <w:lang w:val="en-US" w:eastAsia="zh-CN" w:bidi="ar-SA"/>
                    </w:rPr>
                    <w:t>废抹布</w:t>
                  </w:r>
                </w:p>
              </w:tc>
              <w:tc>
                <w:tcPr>
                  <w:tcW w:w="850" w:type="pct"/>
                  <w:tcBorders>
                    <w:bottom w:val="single" w:color="000000" w:sz="4" w:space="0"/>
                    <w:right w:val="single" w:color="000000" w:sz="4" w:space="0"/>
                  </w:tcBorders>
                  <w:vAlign w:val="center"/>
                </w:tcPr>
                <w:p w14:paraId="6694801C">
                  <w:pPr>
                    <w:adjustRightInd w:val="0"/>
                    <w:snapToGrid w:val="0"/>
                    <w:jc w:val="center"/>
                    <w:rPr>
                      <w:rFonts w:hint="eastAsia" w:cs="Times New Roman"/>
                      <w:color w:val="auto"/>
                      <w:sz w:val="21"/>
                      <w:szCs w:val="21"/>
                      <w:lang w:val="en-US" w:eastAsia="zh-CN"/>
                    </w:rPr>
                  </w:pPr>
                  <w:r>
                    <w:rPr>
                      <w:rFonts w:hint="eastAsia" w:ascii="Times New Roman" w:hAnsi="Times New Roman" w:cs="Times New Roman"/>
                      <w:bCs/>
                      <w:color w:val="auto"/>
                      <w:kern w:val="2"/>
                      <w:sz w:val="21"/>
                      <w:szCs w:val="21"/>
                      <w:lang w:val="en-US" w:eastAsia="zh-CN" w:bidi="ar-SA"/>
                    </w:rPr>
                    <w:t>0.</w:t>
                  </w:r>
                  <w:r>
                    <w:rPr>
                      <w:rFonts w:hint="eastAsia" w:cs="Times New Roman"/>
                      <w:bCs/>
                      <w:color w:val="auto"/>
                      <w:kern w:val="2"/>
                      <w:sz w:val="21"/>
                      <w:szCs w:val="21"/>
                      <w:lang w:val="en-US" w:eastAsia="zh-CN" w:bidi="ar-SA"/>
                    </w:rPr>
                    <w:t>0</w:t>
                  </w:r>
                  <w:r>
                    <w:rPr>
                      <w:rFonts w:hint="eastAsia" w:ascii="Times New Roman" w:hAnsi="Times New Roman" w:cs="Times New Roman"/>
                      <w:bCs/>
                      <w:color w:val="auto"/>
                      <w:kern w:val="2"/>
                      <w:sz w:val="21"/>
                      <w:szCs w:val="21"/>
                      <w:lang w:val="en-US" w:eastAsia="zh-CN" w:bidi="ar-SA"/>
                    </w:rPr>
                    <w:t>2</w:t>
                  </w:r>
                  <w:r>
                    <w:rPr>
                      <w:rFonts w:hint="eastAsia" w:cs="Times New Roman"/>
                      <w:bCs/>
                      <w:color w:val="auto"/>
                      <w:kern w:val="2"/>
                      <w:sz w:val="21"/>
                      <w:szCs w:val="21"/>
                      <w:lang w:val="en-US" w:eastAsia="zh-CN" w:bidi="ar-SA"/>
                    </w:rPr>
                    <w:t>5</w:t>
                  </w:r>
                </w:p>
              </w:tc>
              <w:tc>
                <w:tcPr>
                  <w:tcW w:w="632" w:type="pct"/>
                  <w:tcBorders>
                    <w:left w:val="single" w:color="000000" w:sz="4" w:space="0"/>
                    <w:bottom w:val="single" w:color="000000" w:sz="4" w:space="0"/>
                  </w:tcBorders>
                  <w:vAlign w:val="center"/>
                </w:tcPr>
                <w:p w14:paraId="6FC01787">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50</w:t>
                  </w:r>
                </w:p>
              </w:tc>
              <w:tc>
                <w:tcPr>
                  <w:tcW w:w="1196" w:type="pct"/>
                  <w:vAlign w:val="center"/>
                </w:tcPr>
                <w:p w14:paraId="619C4F3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0.0024</w:t>
                  </w:r>
                </w:p>
              </w:tc>
              <w:tc>
                <w:tcPr>
                  <w:tcW w:w="884" w:type="pct"/>
                  <w:vMerge w:val="restart"/>
                  <w:vAlign w:val="center"/>
                </w:tcPr>
                <w:p w14:paraId="4DDCA457">
                  <w:pPr>
                    <w:adjustRightInd w:val="0"/>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危废仓库</w:t>
                  </w:r>
                </w:p>
              </w:tc>
            </w:tr>
            <w:tr w14:paraId="38A388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vAlign w:val="center"/>
                </w:tcPr>
                <w:p w14:paraId="25C92936">
                  <w:pPr>
                    <w:adjustRightInd w:val="0"/>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w:t>
                  </w:r>
                </w:p>
              </w:tc>
              <w:tc>
                <w:tcPr>
                  <w:tcW w:w="1038" w:type="pct"/>
                  <w:vAlign w:val="center"/>
                </w:tcPr>
                <w:p w14:paraId="2CDF8D96">
                  <w:pPr>
                    <w:pStyle w:val="7"/>
                    <w:adjustRightInd w:val="0"/>
                    <w:snapToGrid w:val="0"/>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lang w:val="en-US" w:eastAsia="zh-CN"/>
                    </w:rPr>
                    <w:t>废包装桶</w:t>
                  </w:r>
                </w:p>
              </w:tc>
              <w:tc>
                <w:tcPr>
                  <w:tcW w:w="850" w:type="pct"/>
                  <w:tcBorders>
                    <w:bottom w:val="single" w:color="000000" w:sz="4" w:space="0"/>
                    <w:right w:val="single" w:color="000000" w:sz="4" w:space="0"/>
                  </w:tcBorders>
                  <w:vAlign w:val="center"/>
                </w:tcPr>
                <w:p w14:paraId="096B83C4">
                  <w:pPr>
                    <w:adjustRightInd w:val="0"/>
                    <w:snapToGrid w:val="0"/>
                    <w:jc w:val="center"/>
                    <w:rPr>
                      <w:rFonts w:hint="default" w:cs="Times New Roman"/>
                      <w:color w:val="auto"/>
                      <w:sz w:val="21"/>
                      <w:szCs w:val="21"/>
                      <w:lang w:val="en-US" w:eastAsia="zh-CN"/>
                    </w:rPr>
                  </w:pPr>
                  <w:r>
                    <w:rPr>
                      <w:rFonts w:hint="eastAsia" w:ascii="Times New Roman" w:hAnsi="Times New Roman" w:cs="Times New Roman"/>
                      <w:bCs/>
                      <w:color w:val="auto"/>
                      <w:kern w:val="2"/>
                      <w:sz w:val="21"/>
                      <w:szCs w:val="21"/>
                      <w:lang w:val="en-US" w:eastAsia="zh-CN" w:bidi="ar-SA"/>
                    </w:rPr>
                    <w:t>0.</w:t>
                  </w:r>
                  <w:r>
                    <w:rPr>
                      <w:rFonts w:hint="eastAsia" w:cs="Times New Roman"/>
                      <w:bCs/>
                      <w:color w:val="auto"/>
                      <w:kern w:val="2"/>
                      <w:sz w:val="21"/>
                      <w:szCs w:val="21"/>
                      <w:lang w:val="en-US" w:eastAsia="zh-CN" w:bidi="ar-SA"/>
                    </w:rPr>
                    <w:t>188</w:t>
                  </w:r>
                </w:p>
              </w:tc>
              <w:tc>
                <w:tcPr>
                  <w:tcW w:w="632" w:type="pct"/>
                  <w:tcBorders>
                    <w:left w:val="single" w:color="000000" w:sz="4" w:space="0"/>
                    <w:bottom w:val="single" w:color="000000" w:sz="4" w:space="0"/>
                  </w:tcBorders>
                  <w:vAlign w:val="center"/>
                </w:tcPr>
                <w:p w14:paraId="6D063175">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50</w:t>
                  </w:r>
                </w:p>
              </w:tc>
              <w:tc>
                <w:tcPr>
                  <w:tcW w:w="1196" w:type="pct"/>
                  <w:vAlign w:val="center"/>
                </w:tcPr>
                <w:p w14:paraId="0715C65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0.05376</w:t>
                  </w:r>
                </w:p>
              </w:tc>
              <w:tc>
                <w:tcPr>
                  <w:tcW w:w="884" w:type="pct"/>
                  <w:vMerge w:val="continue"/>
                  <w:vAlign w:val="center"/>
                </w:tcPr>
                <w:p w14:paraId="03D30CA1">
                  <w:pPr>
                    <w:adjustRightInd w:val="0"/>
                    <w:snapToGrid w:val="0"/>
                    <w:jc w:val="center"/>
                    <w:rPr>
                      <w:rFonts w:hint="eastAsia" w:cs="Times New Roman"/>
                      <w:color w:val="auto"/>
                      <w:sz w:val="21"/>
                      <w:szCs w:val="21"/>
                      <w:lang w:val="en-US" w:eastAsia="zh-CN"/>
                    </w:rPr>
                  </w:pPr>
                </w:p>
              </w:tc>
            </w:tr>
            <w:tr w14:paraId="5D4507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vAlign w:val="center"/>
                </w:tcPr>
                <w:p w14:paraId="2E1C04EC">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1038" w:type="pct"/>
                  <w:vAlign w:val="center"/>
                </w:tcPr>
                <w:p w14:paraId="08FD0DC4">
                  <w:pPr>
                    <w:pStyle w:val="7"/>
                    <w:adjustRightInd w:val="0"/>
                    <w:snapToGrid w:val="0"/>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废活性炭</w:t>
                  </w:r>
                </w:p>
              </w:tc>
              <w:tc>
                <w:tcPr>
                  <w:tcW w:w="850" w:type="pct"/>
                  <w:tcBorders>
                    <w:bottom w:val="single" w:color="000000" w:sz="4" w:space="0"/>
                    <w:right w:val="single" w:color="000000" w:sz="4" w:space="0"/>
                  </w:tcBorders>
                  <w:vAlign w:val="center"/>
                </w:tcPr>
                <w:p w14:paraId="0B4E1075">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2.688</w:t>
                  </w:r>
                </w:p>
              </w:tc>
              <w:tc>
                <w:tcPr>
                  <w:tcW w:w="632" w:type="pct"/>
                  <w:tcBorders>
                    <w:left w:val="single" w:color="000000" w:sz="4" w:space="0"/>
                    <w:bottom w:val="single" w:color="000000" w:sz="4" w:space="0"/>
                  </w:tcBorders>
                  <w:vAlign w:val="center"/>
                </w:tcPr>
                <w:p w14:paraId="5CC2612B">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50</w:t>
                  </w:r>
                </w:p>
              </w:tc>
              <w:tc>
                <w:tcPr>
                  <w:tcW w:w="1196" w:type="pct"/>
                  <w:vAlign w:val="center"/>
                </w:tcPr>
                <w:p w14:paraId="116C968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0.08242</w:t>
                  </w:r>
                </w:p>
              </w:tc>
              <w:tc>
                <w:tcPr>
                  <w:tcW w:w="884" w:type="pct"/>
                  <w:vMerge w:val="continue"/>
                  <w:vAlign w:val="center"/>
                </w:tcPr>
                <w:p w14:paraId="259961E3">
                  <w:pPr>
                    <w:adjustRightInd w:val="0"/>
                    <w:snapToGrid w:val="0"/>
                    <w:jc w:val="center"/>
                    <w:rPr>
                      <w:rFonts w:hint="eastAsia" w:cs="Times New Roman"/>
                      <w:color w:val="auto"/>
                      <w:sz w:val="21"/>
                      <w:szCs w:val="21"/>
                      <w:lang w:val="en-US" w:eastAsia="zh-CN"/>
                    </w:rPr>
                  </w:pPr>
                </w:p>
              </w:tc>
            </w:tr>
            <w:tr w14:paraId="7175FA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9" w:type="pct"/>
                  <w:gridSpan w:val="4"/>
                  <w:vAlign w:val="center"/>
                </w:tcPr>
                <w:p w14:paraId="4F8A74CB">
                  <w:pPr>
                    <w:adjustRightInd w:val="0"/>
                    <w:snapToGrid w:val="0"/>
                    <w:jc w:val="center"/>
                    <w:rPr>
                      <w:rFonts w:hint="default" w:cs="Times New Roman"/>
                      <w:color w:val="auto"/>
                      <w:sz w:val="21"/>
                      <w:szCs w:val="21"/>
                      <w:lang w:val="en-US" w:eastAsia="zh-CN"/>
                    </w:rPr>
                  </w:pPr>
                  <w:r>
                    <w:rPr>
                      <w:rFonts w:hint="default" w:cs="Times New Roman"/>
                      <w:color w:val="auto"/>
                      <w:sz w:val="21"/>
                      <w:szCs w:val="21"/>
                      <w:lang w:val="en-US" w:eastAsia="zh-CN"/>
                    </w:rPr>
                    <w:t>合计</w:t>
                  </w:r>
                </w:p>
              </w:tc>
              <w:tc>
                <w:tcPr>
                  <w:tcW w:w="1196" w:type="pct"/>
                  <w:vAlign w:val="center"/>
                </w:tcPr>
                <w:p w14:paraId="20F96FB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0.16108</w:t>
                  </w:r>
                </w:p>
              </w:tc>
              <w:tc>
                <w:tcPr>
                  <w:tcW w:w="884" w:type="pct"/>
                  <w:vAlign w:val="center"/>
                </w:tcPr>
                <w:p w14:paraId="6AA96305">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bl>
          <w:p w14:paraId="1DDDE962">
            <w:pPr>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由上表可知风险物质与临界量比值Q＜1，故本项目环境风险潜势等级低。</w:t>
            </w:r>
          </w:p>
          <w:p w14:paraId="79DA632D">
            <w:pPr>
              <w:snapToGrid w:val="0"/>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通过对本项目的风险识别，参考同类企业的有关资料，本项目可能发生的突发环境事件为</w:t>
            </w:r>
            <w:r>
              <w:rPr>
                <w:rFonts w:hint="eastAsia" w:cs="Times New Roman"/>
                <w:bCs/>
                <w:color w:val="auto"/>
                <w:sz w:val="21"/>
                <w:szCs w:val="21"/>
                <w:lang w:eastAsia="zh-CN"/>
              </w:rPr>
              <w:t>：</w:t>
            </w:r>
            <w:r>
              <w:rPr>
                <w:rFonts w:hint="default" w:ascii="Times New Roman" w:hAnsi="Times New Roman" w:cs="Times New Roman"/>
                <w:bCs/>
                <w:color w:val="auto"/>
                <w:sz w:val="21"/>
                <w:szCs w:val="21"/>
              </w:rPr>
              <w:t>①存放</w:t>
            </w:r>
            <w:r>
              <w:rPr>
                <w:rFonts w:hint="eastAsia" w:cs="Times New Roman"/>
                <w:color w:val="auto"/>
                <w:kern w:val="2"/>
                <w:sz w:val="21"/>
                <w:szCs w:val="21"/>
                <w:lang w:val="en-US" w:eastAsia="zh-CN" w:bidi="ar-SA"/>
              </w:rPr>
              <w:t>胶水</w:t>
            </w:r>
            <w:r>
              <w:rPr>
                <w:rFonts w:hint="default" w:ascii="Times New Roman" w:hAnsi="Times New Roman" w:cs="Times New Roman"/>
                <w:bCs/>
                <w:color w:val="auto"/>
                <w:sz w:val="21"/>
                <w:szCs w:val="21"/>
              </w:rPr>
              <w:t>、</w:t>
            </w:r>
            <w:r>
              <w:rPr>
                <w:rFonts w:hint="eastAsia" w:cs="Times New Roman"/>
                <w:color w:val="auto"/>
                <w:kern w:val="2"/>
                <w:sz w:val="21"/>
                <w:szCs w:val="21"/>
                <w:lang w:val="en-US" w:eastAsia="zh-CN" w:bidi="ar-SA"/>
              </w:rPr>
              <w:t>水性油墨</w:t>
            </w:r>
            <w:r>
              <w:rPr>
                <w:rFonts w:hint="default" w:ascii="Times New Roman" w:hAnsi="Times New Roman" w:cs="Times New Roman"/>
                <w:bCs/>
                <w:color w:val="auto"/>
                <w:sz w:val="21"/>
                <w:szCs w:val="21"/>
                <w:lang w:eastAsia="zh-CN"/>
              </w:rPr>
              <w:t>、</w:t>
            </w:r>
            <w:r>
              <w:rPr>
                <w:rFonts w:hint="eastAsia" w:cs="Times New Roman"/>
                <w:color w:val="auto"/>
                <w:sz w:val="21"/>
                <w:szCs w:val="21"/>
                <w:lang w:val="en-US" w:eastAsia="zh-CN"/>
              </w:rPr>
              <w:t>乙醇</w:t>
            </w:r>
            <w:r>
              <w:rPr>
                <w:rFonts w:hint="default" w:ascii="Times New Roman" w:hAnsi="Times New Roman" w:cs="Times New Roman"/>
                <w:bCs/>
                <w:color w:val="auto"/>
                <w:sz w:val="21"/>
                <w:szCs w:val="21"/>
              </w:rPr>
              <w:t>等的容器破损导致物料</w:t>
            </w:r>
            <w:r>
              <w:rPr>
                <w:rFonts w:hint="eastAsia" w:cs="Times New Roman"/>
                <w:bCs/>
                <w:color w:val="auto"/>
                <w:sz w:val="21"/>
                <w:szCs w:val="21"/>
                <w:lang w:eastAsia="zh-CN"/>
              </w:rPr>
              <w:t>泄漏</w:t>
            </w:r>
            <w:r>
              <w:rPr>
                <w:rFonts w:hint="default" w:ascii="Times New Roman" w:hAnsi="Times New Roman" w:cs="Times New Roman"/>
                <w:bCs/>
                <w:color w:val="auto"/>
                <w:sz w:val="21"/>
                <w:szCs w:val="21"/>
              </w:rPr>
              <w:t>进入厂区内雨水管道，通过雨水冲刷和下渗影响土壤、地表水和地下水环境；②项目</w:t>
            </w:r>
            <w:r>
              <w:rPr>
                <w:rFonts w:hint="eastAsia" w:cs="Times New Roman"/>
                <w:color w:val="auto"/>
                <w:kern w:val="2"/>
                <w:sz w:val="21"/>
                <w:szCs w:val="21"/>
                <w:lang w:val="en-US" w:eastAsia="zh-CN" w:bidi="ar-SA"/>
              </w:rPr>
              <w:t>胶水</w:t>
            </w:r>
            <w:r>
              <w:rPr>
                <w:rFonts w:hint="default" w:ascii="Times New Roman" w:hAnsi="Times New Roman" w:cs="Times New Roman"/>
                <w:bCs/>
                <w:color w:val="auto"/>
                <w:sz w:val="21"/>
                <w:szCs w:val="21"/>
              </w:rPr>
              <w:t>、</w:t>
            </w:r>
            <w:r>
              <w:rPr>
                <w:rFonts w:hint="eastAsia" w:cs="Times New Roman"/>
                <w:color w:val="auto"/>
                <w:kern w:val="2"/>
                <w:sz w:val="21"/>
                <w:szCs w:val="21"/>
                <w:lang w:val="en-US" w:eastAsia="zh-CN" w:bidi="ar-SA"/>
              </w:rPr>
              <w:t>水性油墨</w:t>
            </w:r>
            <w:r>
              <w:rPr>
                <w:rFonts w:hint="default" w:ascii="Times New Roman" w:hAnsi="Times New Roman" w:cs="Times New Roman"/>
                <w:bCs/>
                <w:color w:val="auto"/>
                <w:sz w:val="21"/>
                <w:szCs w:val="21"/>
                <w:lang w:eastAsia="zh-CN"/>
              </w:rPr>
              <w:t>、</w:t>
            </w:r>
            <w:r>
              <w:rPr>
                <w:rFonts w:hint="eastAsia" w:cs="Times New Roman"/>
                <w:color w:val="auto"/>
                <w:sz w:val="21"/>
                <w:szCs w:val="21"/>
                <w:lang w:val="en-US" w:eastAsia="zh-CN"/>
              </w:rPr>
              <w:t>乙醇</w:t>
            </w:r>
            <w:r>
              <w:rPr>
                <w:rFonts w:hint="eastAsia" w:cs="Times New Roman"/>
                <w:bCs/>
                <w:color w:val="auto"/>
                <w:sz w:val="21"/>
                <w:szCs w:val="21"/>
                <w:lang w:eastAsia="zh-CN"/>
              </w:rPr>
              <w:t>可燃或易</w:t>
            </w:r>
            <w:r>
              <w:rPr>
                <w:rFonts w:hint="default" w:ascii="Times New Roman" w:hAnsi="Times New Roman" w:cs="Times New Roman"/>
                <w:bCs/>
                <w:color w:val="auto"/>
                <w:sz w:val="21"/>
                <w:szCs w:val="21"/>
                <w:lang w:val="en-US" w:eastAsia="zh-CN"/>
              </w:rPr>
              <w:t>燃</w:t>
            </w:r>
            <w:r>
              <w:rPr>
                <w:rFonts w:hint="default" w:ascii="Times New Roman" w:hAnsi="Times New Roman" w:cs="Times New Roman"/>
                <w:bCs/>
                <w:color w:val="auto"/>
                <w:sz w:val="21"/>
                <w:szCs w:val="21"/>
              </w:rPr>
              <w:t>，遇明火可能发生火灾爆炸事故，次生</w:t>
            </w:r>
            <w:r>
              <w:rPr>
                <w:rFonts w:hint="eastAsia" w:cs="Times New Roman"/>
                <w:bCs/>
                <w:color w:val="auto"/>
                <w:sz w:val="21"/>
                <w:szCs w:val="21"/>
                <w:lang w:eastAsia="zh-CN"/>
              </w:rPr>
              <w:t>的</w:t>
            </w:r>
            <w:r>
              <w:rPr>
                <w:rFonts w:hint="eastAsia" w:cs="Times New Roman"/>
                <w:bCs/>
                <w:color w:val="auto"/>
                <w:sz w:val="21"/>
                <w:szCs w:val="21"/>
                <w:lang w:val="en-US" w:eastAsia="zh-CN"/>
              </w:rPr>
              <w:t>CO、氨气等污染物会污染周边大气</w:t>
            </w:r>
            <w:r>
              <w:rPr>
                <w:rFonts w:hint="default" w:ascii="Times New Roman" w:hAnsi="Times New Roman" w:cs="Times New Roman"/>
                <w:bCs/>
                <w:color w:val="auto"/>
                <w:sz w:val="21"/>
                <w:szCs w:val="21"/>
              </w:rPr>
              <w:t>环境。</w:t>
            </w:r>
          </w:p>
          <w:p w14:paraId="54EBC1E5">
            <w:pPr>
              <w:snapToGrid w:val="0"/>
              <w:spacing w:line="500" w:lineRule="exact"/>
              <w:ind w:firstLine="420" w:firstLineChars="200"/>
              <w:rPr>
                <w:rFonts w:hint="default" w:ascii="Times New Roman" w:hAnsi="Times New Roman" w:cs="Times New Roman"/>
                <w:bCs/>
                <w:color w:val="auto"/>
                <w:sz w:val="21"/>
                <w:szCs w:val="21"/>
              </w:rPr>
            </w:pPr>
            <w:r>
              <w:rPr>
                <w:rFonts w:hint="eastAsia" w:cs="Times New Roman"/>
                <w:bCs/>
                <w:color w:val="auto"/>
                <w:sz w:val="21"/>
                <w:szCs w:val="21"/>
                <w:lang w:val="en-US" w:eastAsia="zh-CN"/>
              </w:rPr>
              <w:t>2、</w:t>
            </w:r>
            <w:r>
              <w:rPr>
                <w:rFonts w:hint="default" w:ascii="Times New Roman" w:hAnsi="Times New Roman" w:cs="Times New Roman"/>
                <w:bCs/>
                <w:color w:val="auto"/>
                <w:sz w:val="21"/>
                <w:szCs w:val="21"/>
              </w:rPr>
              <w:t>环境风险防范及应急管理要求</w:t>
            </w:r>
          </w:p>
          <w:p w14:paraId="26FA8A6E">
            <w:pPr>
              <w:snapToGrid w:val="0"/>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1）</w:t>
            </w:r>
            <w:r>
              <w:rPr>
                <w:rFonts w:hint="default" w:ascii="Times New Roman" w:hAnsi="Times New Roman" w:cs="Times New Roman"/>
                <w:bCs/>
                <w:color w:val="auto"/>
                <w:sz w:val="21"/>
                <w:szCs w:val="21"/>
              </w:rPr>
              <w:t>管理、储存、使用、运输中的防范措施</w:t>
            </w:r>
          </w:p>
          <w:p w14:paraId="79DE8D47">
            <w:pPr>
              <w:snapToGrid w:val="0"/>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加强对液态物料和危险废物的管理；制定相应的安全操作规程，要求操作人员严格按操作规程作业；对相关作业人员定期进行安全培训教育；对作业场所定期进行安全检查。液态物料和危险废物在厂区内转运时，通道、出入口和通向消防设施的道路保持畅通，运输人员应配置必要且质量合格的防护器材。</w:t>
            </w:r>
          </w:p>
          <w:p w14:paraId="77B0FE8E">
            <w:pPr>
              <w:snapToGrid w:val="0"/>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2）</w:t>
            </w:r>
            <w:r>
              <w:rPr>
                <w:rFonts w:hint="default" w:ascii="Times New Roman" w:hAnsi="Times New Roman" w:cs="Times New Roman"/>
                <w:bCs/>
                <w:color w:val="auto"/>
                <w:sz w:val="21"/>
                <w:szCs w:val="21"/>
              </w:rPr>
              <w:t>存放区风险防范措施</w:t>
            </w:r>
          </w:p>
          <w:p w14:paraId="09275743">
            <w:pPr>
              <w:snapToGrid w:val="0"/>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化学品</w:t>
            </w:r>
            <w:r>
              <w:rPr>
                <w:rFonts w:hint="default" w:ascii="Times New Roman" w:hAnsi="Times New Roman" w:cs="Times New Roman"/>
                <w:bCs/>
                <w:color w:val="auto"/>
                <w:sz w:val="21"/>
                <w:szCs w:val="21"/>
              </w:rPr>
              <w:t>必须设置于阴凉、通风的库房，库房必须防渗、防漏、防雨；仓库、危废仓库内应设置一个收集桶，当泄漏事故发生时，可及时将泄漏的物料或废料收集至桶内暂存，最终作为危险废物处理；仓库、危废仓库应配备吸附剂等材料，防止发生事故时能对事故进行应急处理。</w:t>
            </w:r>
          </w:p>
          <w:p w14:paraId="4777552B">
            <w:pPr>
              <w:snapToGrid w:val="0"/>
              <w:spacing w:line="500" w:lineRule="exact"/>
              <w:ind w:firstLine="420" w:firstLineChars="200"/>
              <w:rPr>
                <w:rFonts w:hint="default" w:ascii="Times New Roman" w:hAnsi="Times New Roman" w:cs="Times New Roman"/>
                <w:bCs/>
                <w:color w:val="auto"/>
                <w:sz w:val="21"/>
                <w:szCs w:val="21"/>
              </w:rPr>
            </w:pPr>
            <w:r>
              <w:rPr>
                <w:rFonts w:hint="eastAsia" w:cs="Times New Roman"/>
                <w:bCs/>
                <w:color w:val="auto"/>
                <w:sz w:val="21"/>
                <w:szCs w:val="21"/>
                <w:lang w:val="en-US" w:eastAsia="zh-CN"/>
              </w:rPr>
              <w:t>3</w:t>
            </w:r>
            <w:r>
              <w:rPr>
                <w:rFonts w:hint="default" w:ascii="Times New Roman" w:hAnsi="Times New Roman" w:cs="Times New Roman"/>
                <w:bCs/>
                <w:color w:val="auto"/>
                <w:sz w:val="21"/>
                <w:szCs w:val="21"/>
                <w:lang w:val="en-US" w:eastAsia="zh-CN"/>
              </w:rPr>
              <w:t>）</w:t>
            </w:r>
            <w:r>
              <w:rPr>
                <w:rFonts w:hint="default" w:ascii="Times New Roman" w:hAnsi="Times New Roman" w:cs="Times New Roman"/>
                <w:bCs/>
                <w:color w:val="auto"/>
                <w:sz w:val="21"/>
                <w:szCs w:val="21"/>
              </w:rPr>
              <w:t>事故应急对策措施</w:t>
            </w:r>
          </w:p>
          <w:p w14:paraId="0189EB57">
            <w:pPr>
              <w:snapToGrid w:val="0"/>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泄漏</w:t>
            </w:r>
            <w:r>
              <w:rPr>
                <w:rFonts w:hint="eastAsia" w:cs="Times New Roman"/>
                <w:bCs/>
                <w:color w:val="auto"/>
                <w:sz w:val="21"/>
                <w:szCs w:val="21"/>
                <w:lang w:val="en-US" w:eastAsia="zh-CN"/>
              </w:rPr>
              <w:t>事故</w:t>
            </w:r>
            <w:r>
              <w:rPr>
                <w:rFonts w:hint="default" w:ascii="Times New Roman" w:hAnsi="Times New Roman" w:cs="Times New Roman"/>
                <w:bCs/>
                <w:color w:val="auto"/>
                <w:sz w:val="21"/>
                <w:szCs w:val="21"/>
              </w:rPr>
              <w:t>：尽可能采用不产生冲击、静电火花的工具进行泄漏物的回收，将泄漏物收集在密闭容器内，用</w:t>
            </w:r>
            <w:r>
              <w:rPr>
                <w:rFonts w:hint="eastAsia" w:cs="Times New Roman"/>
                <w:bCs/>
                <w:color w:val="auto"/>
                <w:sz w:val="21"/>
                <w:szCs w:val="21"/>
                <w:lang w:val="en-US" w:eastAsia="zh-CN"/>
              </w:rPr>
              <w:t>沙土</w:t>
            </w:r>
            <w:r>
              <w:rPr>
                <w:rFonts w:hint="default" w:ascii="Times New Roman" w:hAnsi="Times New Roman" w:cs="Times New Roman"/>
                <w:bCs/>
                <w:color w:val="auto"/>
                <w:sz w:val="21"/>
                <w:szCs w:val="21"/>
              </w:rPr>
              <w:t>、活性炭或</w:t>
            </w:r>
            <w:r>
              <w:rPr>
                <w:rFonts w:hint="eastAsia" w:cs="Times New Roman"/>
                <w:bCs/>
                <w:color w:val="auto"/>
                <w:sz w:val="21"/>
                <w:szCs w:val="21"/>
                <w:lang w:val="en-US" w:eastAsia="zh-CN"/>
              </w:rPr>
              <w:t>其他</w:t>
            </w:r>
            <w:r>
              <w:rPr>
                <w:rFonts w:hint="default" w:ascii="Times New Roman" w:hAnsi="Times New Roman" w:cs="Times New Roman"/>
                <w:bCs/>
                <w:color w:val="auto"/>
                <w:sz w:val="21"/>
                <w:szCs w:val="21"/>
              </w:rPr>
              <w:t>惰性材料吸收</w:t>
            </w:r>
            <w:r>
              <w:rPr>
                <w:rFonts w:hint="eastAsia" w:ascii="Times New Roman" w:hAnsi="Times New Roman" w:cs="Times New Roman"/>
                <w:bCs/>
                <w:color w:val="auto"/>
                <w:sz w:val="21"/>
                <w:szCs w:val="21"/>
                <w:lang w:val="en-US" w:eastAsia="zh-CN"/>
              </w:rPr>
              <w:t>残液</w:t>
            </w:r>
            <w:r>
              <w:rPr>
                <w:rFonts w:hint="default" w:ascii="Times New Roman" w:hAnsi="Times New Roman" w:cs="Times New Roman"/>
                <w:bCs/>
                <w:color w:val="auto"/>
                <w:sz w:val="21"/>
                <w:szCs w:val="21"/>
              </w:rPr>
              <w:t>，也可以用不燃性分散剂制成的乳液刷洗。</w:t>
            </w:r>
          </w:p>
          <w:p w14:paraId="4299DCCF">
            <w:pPr>
              <w:snapToGrid w:val="0"/>
              <w:spacing w:line="500" w:lineRule="exact"/>
              <w:ind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4）火灾爆炸事故风险防范措施</w:t>
            </w:r>
          </w:p>
          <w:p w14:paraId="40688DF9">
            <w:pPr>
              <w:snapToGrid w:val="0"/>
              <w:spacing w:line="500" w:lineRule="exact"/>
              <w:ind w:firstLine="420" w:firstLineChars="200"/>
              <w:rPr>
                <w:rFonts w:hint="default" w:ascii="Times New Roman" w:hAnsi="Times New Roman" w:eastAsia="宋体" w:cs="Times New Roman"/>
                <w:bCs/>
                <w:color w:val="auto"/>
                <w:sz w:val="21"/>
                <w:szCs w:val="21"/>
              </w:rPr>
            </w:pPr>
            <w:r>
              <w:rPr>
                <w:rFonts w:hint="default" w:ascii="Times New Roman" w:hAnsi="Times New Roman" w:cs="Times New Roman"/>
                <w:bCs/>
                <w:color w:val="auto"/>
                <w:sz w:val="21"/>
                <w:szCs w:val="21"/>
              </w:rPr>
              <w:t>①</w:t>
            </w:r>
            <w:r>
              <w:rPr>
                <w:rFonts w:hint="default" w:ascii="Times New Roman" w:hAnsi="Times New Roman" w:eastAsia="宋体" w:cs="Times New Roman"/>
                <w:bCs/>
                <w:color w:val="auto"/>
                <w:sz w:val="21"/>
                <w:szCs w:val="21"/>
                <w:lang w:val="en-US" w:eastAsia="zh-CN"/>
              </w:rPr>
              <w:t>定期对储运设备进行安全检测，检测内容、时间、人员应有记录保存。安全检测应根据设备的安全性、危险性设定检测频次。</w:t>
            </w:r>
          </w:p>
          <w:p w14:paraId="38DF499B">
            <w:pPr>
              <w:snapToGrid w:val="0"/>
              <w:spacing w:line="500" w:lineRule="exact"/>
              <w:ind w:firstLine="420" w:firstLineChars="200"/>
              <w:rPr>
                <w:rFonts w:hint="default" w:ascii="Times New Roman" w:hAnsi="Times New Roman" w:eastAsia="宋体" w:cs="Times New Roman"/>
                <w:bCs/>
                <w:color w:val="auto"/>
                <w:sz w:val="21"/>
                <w:szCs w:val="21"/>
              </w:rPr>
            </w:pPr>
            <w:r>
              <w:rPr>
                <w:rFonts w:hint="default" w:ascii="Times New Roman" w:hAnsi="Times New Roman" w:cs="Times New Roman"/>
                <w:bCs/>
                <w:color w:val="auto"/>
                <w:sz w:val="21"/>
                <w:szCs w:val="21"/>
              </w:rPr>
              <w:t>②</w:t>
            </w:r>
            <w:r>
              <w:rPr>
                <w:rFonts w:hint="default" w:ascii="Times New Roman" w:hAnsi="Times New Roman" w:eastAsia="宋体" w:cs="Times New Roman"/>
                <w:bCs/>
                <w:color w:val="auto"/>
                <w:sz w:val="21"/>
                <w:szCs w:val="21"/>
                <w:lang w:val="en-US" w:eastAsia="zh-CN"/>
              </w:rPr>
              <w:t>在管道以及其他设备上，设置永久性接地装置；在危险操作时，操作人员应使用抗静电工作帽和具有导电性的作业鞋；有防雷装置，特别防止雷击。</w:t>
            </w:r>
          </w:p>
          <w:p w14:paraId="3791B4DA">
            <w:pPr>
              <w:snapToGrid w:val="0"/>
              <w:spacing w:line="500" w:lineRule="exact"/>
              <w:ind w:firstLine="420" w:firstLineChars="20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rPr>
              <w:t>③</w:t>
            </w:r>
            <w:r>
              <w:rPr>
                <w:rFonts w:hint="default" w:ascii="Times New Roman" w:hAnsi="Times New Roman" w:eastAsia="宋体" w:cs="Times New Roman"/>
                <w:bCs/>
                <w:color w:val="auto"/>
                <w:sz w:val="21"/>
                <w:szCs w:val="21"/>
                <w:lang w:val="en-US" w:eastAsia="zh-CN"/>
              </w:rPr>
              <w:t>应加强火源的管理，严禁烟火带入，对设备需进行维修焊接，应经安全部门确认、准许，并有记录。</w:t>
            </w:r>
          </w:p>
          <w:p w14:paraId="722A4BC4">
            <w:pPr>
              <w:keepNext w:val="0"/>
              <w:keepLines w:val="0"/>
              <w:pageBreakBefore w:val="0"/>
              <w:widowControl w:val="0"/>
              <w:kinsoku/>
              <w:wordWrap/>
              <w:overflowPunct/>
              <w:topLinePunct w:val="0"/>
              <w:bidi w:val="0"/>
              <w:snapToGrid w:val="0"/>
              <w:spacing w:line="500" w:lineRule="exact"/>
              <w:ind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④要有完善的安全消防措施。各重点部位建议设置灭火器，并且对其作定期检查。</w:t>
            </w:r>
          </w:p>
          <w:p w14:paraId="796BD9D6">
            <w:pPr>
              <w:keepNext w:val="0"/>
              <w:keepLines w:val="0"/>
              <w:pageBreakBefore w:val="0"/>
              <w:widowControl w:val="0"/>
              <w:kinsoku/>
              <w:wordWrap/>
              <w:overflowPunct/>
              <w:topLinePunct w:val="0"/>
              <w:bidi w:val="0"/>
              <w:snapToGrid w:val="0"/>
              <w:spacing w:line="500" w:lineRule="exact"/>
              <w:ind w:firstLine="420" w:firstLineChars="200"/>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5）</w:t>
            </w:r>
            <w:r>
              <w:rPr>
                <w:rFonts w:hint="eastAsia" w:ascii="Times New Roman" w:hAnsi="Times New Roman" w:eastAsia="宋体" w:cs="Times New Roman"/>
                <w:bCs/>
                <w:color w:val="auto"/>
                <w:sz w:val="21"/>
                <w:szCs w:val="21"/>
                <w:lang w:val="en-US" w:eastAsia="zh-CN"/>
              </w:rPr>
              <w:t>废气</w:t>
            </w:r>
            <w:r>
              <w:rPr>
                <w:rFonts w:hint="eastAsia" w:cs="Times New Roman"/>
                <w:bCs/>
                <w:color w:val="auto"/>
                <w:sz w:val="21"/>
                <w:szCs w:val="21"/>
                <w:lang w:val="en-US" w:eastAsia="zh-CN"/>
              </w:rPr>
              <w:t>处理设施</w:t>
            </w:r>
            <w:r>
              <w:rPr>
                <w:rFonts w:hint="eastAsia" w:ascii="Times New Roman" w:hAnsi="Times New Roman" w:eastAsia="宋体" w:cs="Times New Roman"/>
                <w:bCs/>
                <w:color w:val="auto"/>
                <w:sz w:val="21"/>
                <w:szCs w:val="21"/>
                <w:lang w:val="en-US" w:eastAsia="zh-CN"/>
              </w:rPr>
              <w:t>风险防范措施</w:t>
            </w:r>
          </w:p>
          <w:p w14:paraId="210C5058">
            <w:pPr>
              <w:keepNext w:val="0"/>
              <w:keepLines w:val="0"/>
              <w:pageBreakBefore w:val="0"/>
              <w:widowControl w:val="0"/>
              <w:kinsoku/>
              <w:wordWrap/>
              <w:overflowPunct/>
              <w:topLinePunct w:val="0"/>
              <w:bidi w:val="0"/>
              <w:snapToGrid w:val="0"/>
              <w:spacing w:line="500" w:lineRule="exact"/>
              <w:ind w:firstLine="420" w:firstLineChars="200"/>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加强“</w:t>
            </w:r>
            <w:r>
              <w:rPr>
                <w:rFonts w:hint="eastAsia" w:cs="Times New Roman"/>
                <w:bCs/>
                <w:color w:val="auto"/>
                <w:sz w:val="21"/>
                <w:szCs w:val="21"/>
                <w:lang w:val="en-US" w:eastAsia="zh-CN"/>
              </w:rPr>
              <w:t>活性炭吸附</w:t>
            </w:r>
            <w:r>
              <w:rPr>
                <w:rFonts w:hint="eastAsia" w:ascii="Times New Roman" w:hAnsi="Times New Roman" w:eastAsia="宋体" w:cs="Times New Roman"/>
                <w:bCs/>
                <w:color w:val="auto"/>
                <w:sz w:val="21"/>
                <w:szCs w:val="21"/>
                <w:lang w:val="en-US" w:eastAsia="zh-CN"/>
              </w:rPr>
              <w:t>”装置运行维护管理，做到治理设施较生产设备“先启后停”，在治理设施达到正常运行条件后方可启动生产设备，在生产设备停止、残留废气收集处理完毕后，方可停运治理设施，防止易燃废气的</w:t>
            </w:r>
            <w:r>
              <w:rPr>
                <w:rFonts w:hint="eastAsia" w:cs="Times New Roman"/>
                <w:bCs/>
                <w:color w:val="auto"/>
                <w:sz w:val="21"/>
                <w:szCs w:val="21"/>
                <w:lang w:val="en-US" w:eastAsia="zh-CN"/>
              </w:rPr>
              <w:t>积聚</w:t>
            </w:r>
            <w:r>
              <w:rPr>
                <w:rFonts w:hint="eastAsia" w:ascii="Times New Roman" w:hAnsi="Times New Roman" w:eastAsia="宋体" w:cs="Times New Roman"/>
                <w:bCs/>
                <w:color w:val="auto"/>
                <w:sz w:val="21"/>
                <w:szCs w:val="21"/>
                <w:lang w:val="en-US" w:eastAsia="zh-CN"/>
              </w:rPr>
              <w:t>；及时清理、更换</w:t>
            </w:r>
            <w:r>
              <w:rPr>
                <w:rFonts w:hint="eastAsia" w:cs="Times New Roman"/>
                <w:bCs/>
                <w:color w:val="auto"/>
                <w:sz w:val="21"/>
                <w:szCs w:val="21"/>
                <w:lang w:val="en-US" w:eastAsia="zh-CN"/>
              </w:rPr>
              <w:t>活性炭</w:t>
            </w:r>
            <w:r>
              <w:rPr>
                <w:rFonts w:hint="eastAsia" w:ascii="Times New Roman" w:hAnsi="Times New Roman" w:eastAsia="宋体" w:cs="Times New Roman"/>
                <w:bCs/>
                <w:color w:val="auto"/>
                <w:sz w:val="21"/>
                <w:szCs w:val="21"/>
                <w:lang w:val="en-US" w:eastAsia="zh-CN"/>
              </w:rPr>
              <w:t>等治理设施耗材，确保设施能够稳定高效运行。</w:t>
            </w:r>
          </w:p>
          <w:p w14:paraId="0C5F0E35">
            <w:pPr>
              <w:keepNext w:val="0"/>
              <w:keepLines w:val="0"/>
              <w:pageBreakBefore w:val="0"/>
              <w:widowControl w:val="0"/>
              <w:numPr>
                <w:ilvl w:val="0"/>
                <w:numId w:val="8"/>
              </w:numPr>
              <w:kinsoku/>
              <w:wordWrap/>
              <w:overflowPunct/>
              <w:topLinePunct w:val="0"/>
              <w:bidi w:val="0"/>
              <w:adjustRightInd w:val="0"/>
              <w:snapToGrid w:val="0"/>
              <w:spacing w:line="500" w:lineRule="exact"/>
              <w:ind w:firstLine="420" w:firstLineChars="200"/>
              <w:rPr>
                <w:rFonts w:hint="eastAsia" w:ascii="Cambria Math" w:hAnsi="Cambria Math" w:cs="Times New Roman"/>
                <w:color w:val="auto"/>
                <w:kern w:val="2"/>
                <w:sz w:val="21"/>
                <w:szCs w:val="21"/>
                <w:lang w:val="en-US" w:eastAsia="zh-CN" w:bidi="ar-SA"/>
              </w:rPr>
            </w:pPr>
            <w:r>
              <w:rPr>
                <w:rFonts w:hint="eastAsia" w:ascii="Cambria Math" w:hAnsi="Cambria Math" w:cs="Times New Roman"/>
                <w:color w:val="auto"/>
                <w:kern w:val="2"/>
                <w:sz w:val="21"/>
                <w:szCs w:val="21"/>
                <w:lang w:val="en-US" w:eastAsia="zh-CN" w:bidi="ar-SA"/>
              </w:rPr>
              <w:t>事故应急池设置</w:t>
            </w:r>
          </w:p>
          <w:p w14:paraId="6D78E72A">
            <w:pPr>
              <w:keepNext w:val="0"/>
              <w:keepLines w:val="0"/>
              <w:pageBreakBefore w:val="0"/>
              <w:widowControl w:val="0"/>
              <w:numPr>
                <w:ilvl w:val="0"/>
                <w:numId w:val="0"/>
              </w:numPr>
              <w:kinsoku/>
              <w:wordWrap/>
              <w:overflowPunct/>
              <w:topLinePunct w:val="0"/>
              <w:bidi w:val="0"/>
              <w:adjustRightInd w:val="0"/>
              <w:snapToGrid w:val="0"/>
              <w:spacing w:line="500" w:lineRule="exact"/>
              <w:ind w:firstLine="420" w:firstLineChars="200"/>
              <w:rPr>
                <w:color w:val="auto"/>
                <w:sz w:val="21"/>
                <w:szCs w:val="21"/>
              </w:rPr>
            </w:pPr>
            <w:r>
              <w:rPr>
                <w:rFonts w:hint="eastAsia"/>
                <w:color w:val="auto"/>
                <w:sz w:val="21"/>
                <w:szCs w:val="21"/>
                <w:lang w:eastAsia="zh-CN"/>
              </w:rPr>
              <w:t>企业需</w:t>
            </w:r>
            <w:r>
              <w:rPr>
                <w:rFonts w:hint="eastAsia"/>
                <w:color w:val="auto"/>
                <w:sz w:val="21"/>
                <w:szCs w:val="21"/>
              </w:rPr>
              <w:t>委托专业单位建设事故应急池，</w:t>
            </w:r>
            <w:r>
              <w:rPr>
                <w:color w:val="auto"/>
                <w:sz w:val="21"/>
                <w:szCs w:val="21"/>
              </w:rPr>
              <w:t>事故应急水池容量按下式计算：</w:t>
            </w:r>
          </w:p>
          <w:p w14:paraId="4C62EAEC">
            <w:pPr>
              <w:keepNext w:val="0"/>
              <w:keepLines w:val="0"/>
              <w:pageBreakBefore w:val="0"/>
              <w:widowControl w:val="0"/>
              <w:kinsoku/>
              <w:wordWrap/>
              <w:overflowPunct/>
              <w:topLinePunct w:val="0"/>
              <w:bidi w:val="0"/>
              <w:adjustRightInd w:val="0"/>
              <w:snapToGrid w:val="0"/>
              <w:spacing w:line="500" w:lineRule="exact"/>
              <w:ind w:firstLine="420" w:firstLineChars="200"/>
              <w:rPr>
                <w:color w:val="auto"/>
                <w:sz w:val="21"/>
                <w:szCs w:val="21"/>
              </w:rPr>
            </w:pPr>
            <w:r>
              <w:rPr>
                <w:color w:val="auto"/>
                <w:sz w:val="21"/>
                <w:szCs w:val="21"/>
              </w:rPr>
              <w:t>V</w:t>
            </w:r>
            <w:r>
              <w:rPr>
                <w:color w:val="auto"/>
                <w:sz w:val="21"/>
                <w:szCs w:val="21"/>
                <w:vertAlign w:val="subscript"/>
              </w:rPr>
              <w:t>a</w:t>
            </w:r>
            <w:r>
              <w:rPr>
                <w:color w:val="auto"/>
                <w:sz w:val="21"/>
                <w:szCs w:val="21"/>
              </w:rPr>
              <w:t>=(V</w:t>
            </w:r>
            <w:r>
              <w:rPr>
                <w:color w:val="auto"/>
                <w:sz w:val="21"/>
                <w:szCs w:val="21"/>
                <w:vertAlign w:val="subscript"/>
              </w:rPr>
              <w:t>1</w:t>
            </w:r>
            <w:r>
              <w:rPr>
                <w:color w:val="auto"/>
                <w:sz w:val="21"/>
                <w:szCs w:val="21"/>
              </w:rPr>
              <w:t>+V</w:t>
            </w:r>
            <w:r>
              <w:rPr>
                <w:color w:val="auto"/>
                <w:sz w:val="21"/>
                <w:szCs w:val="21"/>
                <w:vertAlign w:val="subscript"/>
              </w:rPr>
              <w:t>2</w:t>
            </w:r>
            <w:r>
              <w:rPr>
                <w:color w:val="auto"/>
                <w:sz w:val="21"/>
                <w:szCs w:val="21"/>
              </w:rPr>
              <w:t>-V</w:t>
            </w:r>
            <w:r>
              <w:rPr>
                <w:color w:val="auto"/>
                <w:sz w:val="21"/>
                <w:szCs w:val="21"/>
                <w:vertAlign w:val="subscript"/>
              </w:rPr>
              <w:t>3</w:t>
            </w:r>
            <w:r>
              <w:rPr>
                <w:color w:val="auto"/>
                <w:sz w:val="21"/>
                <w:szCs w:val="21"/>
              </w:rPr>
              <w:t>)</w:t>
            </w:r>
            <w:r>
              <w:rPr>
                <w:color w:val="auto"/>
                <w:sz w:val="21"/>
                <w:szCs w:val="21"/>
                <w:vertAlign w:val="subscript"/>
              </w:rPr>
              <w:t>max</w:t>
            </w:r>
            <w:r>
              <w:rPr>
                <w:color w:val="auto"/>
                <w:sz w:val="21"/>
                <w:szCs w:val="21"/>
              </w:rPr>
              <w:t>+V</w:t>
            </w:r>
            <w:r>
              <w:rPr>
                <w:color w:val="auto"/>
                <w:sz w:val="21"/>
                <w:szCs w:val="21"/>
                <w:vertAlign w:val="subscript"/>
              </w:rPr>
              <w:t>4</w:t>
            </w:r>
            <w:r>
              <w:rPr>
                <w:color w:val="auto"/>
                <w:sz w:val="21"/>
                <w:szCs w:val="21"/>
              </w:rPr>
              <w:t>+V</w:t>
            </w:r>
            <w:r>
              <w:rPr>
                <w:color w:val="auto"/>
                <w:sz w:val="21"/>
                <w:szCs w:val="21"/>
                <w:vertAlign w:val="subscript"/>
              </w:rPr>
              <w:t>5</w:t>
            </w:r>
          </w:p>
          <w:p w14:paraId="4E6F87DF">
            <w:pPr>
              <w:keepNext w:val="0"/>
              <w:keepLines w:val="0"/>
              <w:pageBreakBefore w:val="0"/>
              <w:widowControl w:val="0"/>
              <w:kinsoku/>
              <w:wordWrap/>
              <w:overflowPunct/>
              <w:topLinePunct w:val="0"/>
              <w:bidi w:val="0"/>
              <w:adjustRightInd w:val="0"/>
              <w:snapToGrid w:val="0"/>
              <w:spacing w:line="500" w:lineRule="exact"/>
              <w:ind w:firstLine="420" w:firstLineChars="200"/>
              <w:rPr>
                <w:color w:val="auto"/>
                <w:sz w:val="21"/>
                <w:szCs w:val="21"/>
              </w:rPr>
            </w:pPr>
            <w:r>
              <w:rPr>
                <w:color w:val="auto"/>
                <w:sz w:val="21"/>
                <w:szCs w:val="21"/>
              </w:rPr>
              <w:t>[注：(V</w:t>
            </w:r>
            <w:r>
              <w:rPr>
                <w:color w:val="auto"/>
                <w:sz w:val="21"/>
                <w:szCs w:val="21"/>
                <w:vertAlign w:val="subscript"/>
              </w:rPr>
              <w:t>1</w:t>
            </w:r>
            <w:r>
              <w:rPr>
                <w:color w:val="auto"/>
                <w:sz w:val="21"/>
                <w:szCs w:val="21"/>
              </w:rPr>
              <w:t>+V</w:t>
            </w:r>
            <w:r>
              <w:rPr>
                <w:color w:val="auto"/>
                <w:sz w:val="21"/>
                <w:szCs w:val="21"/>
                <w:vertAlign w:val="subscript"/>
              </w:rPr>
              <w:t>2</w:t>
            </w:r>
            <w:r>
              <w:rPr>
                <w:color w:val="auto"/>
                <w:sz w:val="21"/>
                <w:szCs w:val="21"/>
              </w:rPr>
              <w:t>-V</w:t>
            </w:r>
            <w:r>
              <w:rPr>
                <w:color w:val="auto"/>
                <w:sz w:val="21"/>
                <w:szCs w:val="21"/>
                <w:vertAlign w:val="subscript"/>
              </w:rPr>
              <w:t>3</w:t>
            </w:r>
            <w:r>
              <w:rPr>
                <w:color w:val="auto"/>
                <w:sz w:val="21"/>
                <w:szCs w:val="21"/>
              </w:rPr>
              <w:t>)</w:t>
            </w:r>
            <w:r>
              <w:rPr>
                <w:color w:val="auto"/>
                <w:sz w:val="21"/>
                <w:szCs w:val="21"/>
                <w:vertAlign w:val="subscript"/>
              </w:rPr>
              <w:t>max</w:t>
            </w:r>
            <w:r>
              <w:rPr>
                <w:color w:val="auto"/>
                <w:sz w:val="21"/>
                <w:szCs w:val="21"/>
              </w:rPr>
              <w:t>是指对收集系统范围内不同罐组或装置分别计算V</w:t>
            </w:r>
            <w:r>
              <w:rPr>
                <w:color w:val="auto"/>
                <w:sz w:val="21"/>
                <w:szCs w:val="21"/>
                <w:vertAlign w:val="subscript"/>
              </w:rPr>
              <w:t>1</w:t>
            </w:r>
            <w:r>
              <w:rPr>
                <w:color w:val="auto"/>
                <w:sz w:val="21"/>
                <w:szCs w:val="21"/>
              </w:rPr>
              <w:t>+V</w:t>
            </w:r>
            <w:r>
              <w:rPr>
                <w:color w:val="auto"/>
                <w:sz w:val="21"/>
                <w:szCs w:val="21"/>
                <w:vertAlign w:val="subscript"/>
              </w:rPr>
              <w:t>2</w:t>
            </w:r>
            <w:r>
              <w:rPr>
                <w:color w:val="auto"/>
                <w:sz w:val="21"/>
                <w:szCs w:val="21"/>
              </w:rPr>
              <w:t>-V</w:t>
            </w:r>
            <w:r>
              <w:rPr>
                <w:color w:val="auto"/>
                <w:sz w:val="21"/>
                <w:szCs w:val="21"/>
                <w:vertAlign w:val="subscript"/>
              </w:rPr>
              <w:t>3</w:t>
            </w:r>
            <w:r>
              <w:rPr>
                <w:color w:val="auto"/>
                <w:sz w:val="21"/>
                <w:szCs w:val="21"/>
              </w:rPr>
              <w:t>，取其中最大值。]</w:t>
            </w:r>
          </w:p>
          <w:p w14:paraId="3C3293AF">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20" w:firstLineChars="200"/>
              <w:rPr>
                <w:color w:val="auto"/>
                <w:sz w:val="21"/>
                <w:szCs w:val="21"/>
              </w:rPr>
            </w:pPr>
            <w:r>
              <w:rPr>
                <w:color w:val="auto"/>
                <w:sz w:val="21"/>
                <w:szCs w:val="21"/>
              </w:rPr>
              <w:t>Va：事故应急池容积，m</w:t>
            </w:r>
            <w:r>
              <w:rPr>
                <w:color w:val="auto"/>
                <w:sz w:val="21"/>
                <w:szCs w:val="21"/>
                <w:vertAlign w:val="superscript"/>
              </w:rPr>
              <w:t>3</w:t>
            </w:r>
            <w:r>
              <w:rPr>
                <w:color w:val="auto"/>
                <w:sz w:val="21"/>
                <w:szCs w:val="21"/>
              </w:rPr>
              <w:t>；</w:t>
            </w:r>
          </w:p>
          <w:p w14:paraId="19985847">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20" w:firstLineChars="200"/>
              <w:rPr>
                <w:color w:val="auto"/>
                <w:sz w:val="21"/>
                <w:szCs w:val="21"/>
              </w:rPr>
            </w:pPr>
            <w:r>
              <w:rPr>
                <w:color w:val="auto"/>
                <w:sz w:val="21"/>
                <w:szCs w:val="21"/>
              </w:rPr>
              <w:t>V</w:t>
            </w:r>
            <w:r>
              <w:rPr>
                <w:color w:val="auto"/>
                <w:sz w:val="21"/>
                <w:szCs w:val="21"/>
                <w:vertAlign w:val="subscript"/>
              </w:rPr>
              <w:t>1</w:t>
            </w:r>
            <w:r>
              <w:rPr>
                <w:color w:val="auto"/>
                <w:sz w:val="21"/>
                <w:szCs w:val="21"/>
              </w:rPr>
              <w:t>：事故一个罐或一个装置物料量，m</w:t>
            </w:r>
            <w:r>
              <w:rPr>
                <w:color w:val="auto"/>
                <w:sz w:val="21"/>
                <w:szCs w:val="21"/>
                <w:vertAlign w:val="superscript"/>
              </w:rPr>
              <w:t>3</w:t>
            </w:r>
            <w:r>
              <w:rPr>
                <w:color w:val="auto"/>
                <w:sz w:val="21"/>
                <w:szCs w:val="21"/>
              </w:rPr>
              <w:t>；</w:t>
            </w:r>
          </w:p>
          <w:p w14:paraId="4E6BD10E">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20" w:firstLineChars="200"/>
              <w:rPr>
                <w:color w:val="auto"/>
                <w:sz w:val="21"/>
                <w:szCs w:val="21"/>
              </w:rPr>
            </w:pPr>
            <w:r>
              <w:rPr>
                <w:color w:val="auto"/>
                <w:sz w:val="21"/>
                <w:szCs w:val="21"/>
              </w:rPr>
              <w:t>V</w:t>
            </w:r>
            <w:r>
              <w:rPr>
                <w:color w:val="auto"/>
                <w:sz w:val="21"/>
                <w:szCs w:val="21"/>
                <w:vertAlign w:val="subscript"/>
              </w:rPr>
              <w:t>2</w:t>
            </w:r>
            <w:r>
              <w:rPr>
                <w:color w:val="auto"/>
                <w:sz w:val="21"/>
                <w:szCs w:val="21"/>
              </w:rPr>
              <w:t>：事故状态下最大消防水量，m</w:t>
            </w:r>
            <w:r>
              <w:rPr>
                <w:color w:val="auto"/>
                <w:sz w:val="21"/>
                <w:szCs w:val="21"/>
                <w:vertAlign w:val="superscript"/>
              </w:rPr>
              <w:t>3</w:t>
            </w:r>
            <w:r>
              <w:rPr>
                <w:color w:val="auto"/>
                <w:sz w:val="21"/>
                <w:szCs w:val="21"/>
              </w:rPr>
              <w:t>；</w:t>
            </w:r>
          </w:p>
          <w:p w14:paraId="0EF76FAD">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20" w:firstLineChars="200"/>
              <w:rPr>
                <w:color w:val="auto"/>
                <w:sz w:val="21"/>
                <w:szCs w:val="21"/>
              </w:rPr>
            </w:pPr>
            <w:r>
              <w:rPr>
                <w:color w:val="auto"/>
                <w:sz w:val="21"/>
                <w:szCs w:val="21"/>
              </w:rPr>
              <w:t>V</w:t>
            </w:r>
            <w:r>
              <w:rPr>
                <w:color w:val="auto"/>
                <w:sz w:val="21"/>
                <w:szCs w:val="21"/>
                <w:vertAlign w:val="subscript"/>
              </w:rPr>
              <w:t>3</w:t>
            </w:r>
            <w:r>
              <w:rPr>
                <w:color w:val="auto"/>
                <w:sz w:val="21"/>
                <w:szCs w:val="21"/>
              </w:rPr>
              <w:t>：事故时可以转输到</w:t>
            </w:r>
            <w:r>
              <w:rPr>
                <w:rFonts w:hint="eastAsia"/>
                <w:color w:val="auto"/>
                <w:sz w:val="21"/>
                <w:szCs w:val="21"/>
                <w:lang w:eastAsia="zh-CN"/>
              </w:rPr>
              <w:t>其他</w:t>
            </w:r>
            <w:r>
              <w:rPr>
                <w:color w:val="auto"/>
                <w:sz w:val="21"/>
                <w:szCs w:val="21"/>
              </w:rPr>
              <w:t>储存或处理设施的物料量，m</w:t>
            </w:r>
            <w:r>
              <w:rPr>
                <w:color w:val="auto"/>
                <w:sz w:val="21"/>
                <w:szCs w:val="21"/>
                <w:vertAlign w:val="superscript"/>
              </w:rPr>
              <w:t>3</w:t>
            </w:r>
            <w:r>
              <w:rPr>
                <w:color w:val="auto"/>
                <w:sz w:val="21"/>
                <w:szCs w:val="21"/>
              </w:rPr>
              <w:t>；</w:t>
            </w:r>
          </w:p>
          <w:p w14:paraId="661F6B53">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20" w:firstLineChars="200"/>
              <w:rPr>
                <w:color w:val="auto"/>
                <w:sz w:val="21"/>
                <w:szCs w:val="21"/>
              </w:rPr>
            </w:pPr>
            <w:r>
              <w:rPr>
                <w:color w:val="auto"/>
                <w:sz w:val="21"/>
                <w:szCs w:val="21"/>
              </w:rPr>
              <w:t>V</w:t>
            </w:r>
            <w:r>
              <w:rPr>
                <w:color w:val="auto"/>
                <w:sz w:val="21"/>
                <w:szCs w:val="21"/>
                <w:vertAlign w:val="subscript"/>
              </w:rPr>
              <w:t>4</w:t>
            </w:r>
            <w:r>
              <w:rPr>
                <w:color w:val="auto"/>
                <w:sz w:val="21"/>
                <w:szCs w:val="21"/>
              </w:rPr>
              <w:t>：发生事故时必须进入该收集系统的生产废水量，m</w:t>
            </w:r>
            <w:r>
              <w:rPr>
                <w:color w:val="auto"/>
                <w:sz w:val="21"/>
                <w:szCs w:val="21"/>
                <w:vertAlign w:val="superscript"/>
              </w:rPr>
              <w:t>3</w:t>
            </w:r>
            <w:r>
              <w:rPr>
                <w:color w:val="auto"/>
                <w:sz w:val="21"/>
                <w:szCs w:val="21"/>
              </w:rPr>
              <w:t>；</w:t>
            </w:r>
          </w:p>
          <w:p w14:paraId="2AC94560">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20" w:firstLineChars="200"/>
              <w:rPr>
                <w:color w:val="auto"/>
                <w:sz w:val="21"/>
                <w:szCs w:val="21"/>
              </w:rPr>
            </w:pPr>
            <w:r>
              <w:rPr>
                <w:color w:val="auto"/>
                <w:sz w:val="21"/>
                <w:szCs w:val="21"/>
              </w:rPr>
              <w:t>V</w:t>
            </w:r>
            <w:r>
              <w:rPr>
                <w:color w:val="auto"/>
                <w:sz w:val="21"/>
                <w:szCs w:val="21"/>
                <w:vertAlign w:val="subscript"/>
              </w:rPr>
              <w:t>5</w:t>
            </w:r>
            <w:r>
              <w:rPr>
                <w:color w:val="auto"/>
                <w:sz w:val="21"/>
                <w:szCs w:val="21"/>
              </w:rPr>
              <w:t>：发生事故时可能进入该收集系统的降雨量，m</w:t>
            </w:r>
            <w:r>
              <w:rPr>
                <w:color w:val="auto"/>
                <w:sz w:val="21"/>
                <w:szCs w:val="21"/>
                <w:vertAlign w:val="superscript"/>
              </w:rPr>
              <w:t>3</w:t>
            </w:r>
            <w:r>
              <w:rPr>
                <w:color w:val="auto"/>
                <w:sz w:val="21"/>
                <w:szCs w:val="21"/>
              </w:rPr>
              <w:t>；</w:t>
            </w:r>
          </w:p>
          <w:p w14:paraId="5F139E65">
            <w:pPr>
              <w:keepNext w:val="0"/>
              <w:keepLines w:val="0"/>
              <w:pageBreakBefore w:val="0"/>
              <w:widowControl w:val="0"/>
              <w:kinsoku/>
              <w:wordWrap/>
              <w:overflowPunct/>
              <w:topLinePunct w:val="0"/>
              <w:bidi w:val="0"/>
              <w:adjustRightInd w:val="0"/>
              <w:snapToGrid w:val="0"/>
              <w:spacing w:line="500" w:lineRule="exact"/>
              <w:ind w:firstLine="460" w:firstLineChars="200"/>
              <w:rPr>
                <w:color w:val="auto"/>
                <w:spacing w:val="10"/>
                <w:sz w:val="21"/>
                <w:szCs w:val="21"/>
              </w:rPr>
            </w:pPr>
            <w:r>
              <w:rPr>
                <w:color w:val="auto"/>
                <w:spacing w:val="10"/>
                <w:sz w:val="21"/>
                <w:szCs w:val="21"/>
              </w:rPr>
              <w:t>V</w:t>
            </w:r>
            <w:r>
              <w:rPr>
                <w:color w:val="auto"/>
                <w:spacing w:val="10"/>
                <w:sz w:val="21"/>
                <w:szCs w:val="21"/>
                <w:vertAlign w:val="subscript"/>
              </w:rPr>
              <w:t>1</w:t>
            </w:r>
            <w:r>
              <w:rPr>
                <w:color w:val="auto"/>
                <w:sz w:val="21"/>
                <w:szCs w:val="21"/>
              </w:rPr>
              <w:t>：</w:t>
            </w:r>
            <w:r>
              <w:rPr>
                <w:rFonts w:hint="eastAsia"/>
                <w:color w:val="auto"/>
                <w:sz w:val="21"/>
                <w:szCs w:val="21"/>
              </w:rPr>
              <w:t>项目液态物料最大包装规格为</w:t>
            </w:r>
            <w:r>
              <w:rPr>
                <w:rFonts w:hint="eastAsia"/>
                <w:color w:val="auto"/>
                <w:sz w:val="21"/>
                <w:szCs w:val="21"/>
                <w:lang w:val="en-US" w:eastAsia="zh-CN"/>
              </w:rPr>
              <w:t>0.02</w:t>
            </w:r>
            <w:r>
              <w:rPr>
                <w:color w:val="auto"/>
                <w:spacing w:val="10"/>
                <w:sz w:val="21"/>
                <w:szCs w:val="21"/>
              </w:rPr>
              <w:t>m</w:t>
            </w:r>
            <w:r>
              <w:rPr>
                <w:color w:val="auto"/>
                <w:spacing w:val="10"/>
                <w:sz w:val="21"/>
                <w:szCs w:val="21"/>
                <w:vertAlign w:val="superscript"/>
              </w:rPr>
              <w:t>3</w:t>
            </w:r>
            <w:r>
              <w:rPr>
                <w:rFonts w:hint="eastAsia"/>
                <w:color w:val="auto"/>
                <w:sz w:val="21"/>
                <w:szCs w:val="21"/>
              </w:rPr>
              <w:t>，则</w:t>
            </w:r>
            <w:r>
              <w:rPr>
                <w:color w:val="auto"/>
                <w:spacing w:val="10"/>
                <w:sz w:val="21"/>
                <w:szCs w:val="21"/>
              </w:rPr>
              <w:t>V</w:t>
            </w:r>
            <w:r>
              <w:rPr>
                <w:color w:val="auto"/>
                <w:spacing w:val="10"/>
                <w:sz w:val="21"/>
                <w:szCs w:val="21"/>
                <w:vertAlign w:val="subscript"/>
              </w:rPr>
              <w:t>1</w:t>
            </w:r>
            <w:r>
              <w:rPr>
                <w:color w:val="auto"/>
                <w:spacing w:val="10"/>
                <w:sz w:val="21"/>
                <w:szCs w:val="21"/>
              </w:rPr>
              <w:t>=</w:t>
            </w:r>
            <w:r>
              <w:rPr>
                <w:rFonts w:hint="eastAsia"/>
                <w:color w:val="auto"/>
                <w:spacing w:val="10"/>
                <w:sz w:val="21"/>
                <w:szCs w:val="21"/>
                <w:lang w:val="en-US" w:eastAsia="zh-CN"/>
              </w:rPr>
              <w:t>0.02</w:t>
            </w:r>
            <w:r>
              <w:rPr>
                <w:color w:val="auto"/>
                <w:spacing w:val="10"/>
                <w:sz w:val="21"/>
                <w:szCs w:val="21"/>
              </w:rPr>
              <w:t>m</w:t>
            </w:r>
            <w:r>
              <w:rPr>
                <w:color w:val="auto"/>
                <w:spacing w:val="10"/>
                <w:sz w:val="21"/>
                <w:szCs w:val="21"/>
                <w:vertAlign w:val="superscript"/>
              </w:rPr>
              <w:t>3</w:t>
            </w:r>
            <w:r>
              <w:rPr>
                <w:color w:val="auto"/>
                <w:spacing w:val="10"/>
                <w:sz w:val="21"/>
                <w:szCs w:val="21"/>
              </w:rPr>
              <w:t>。</w:t>
            </w:r>
          </w:p>
          <w:p w14:paraId="4A0C151A">
            <w:pPr>
              <w:keepNext w:val="0"/>
              <w:keepLines w:val="0"/>
              <w:pageBreakBefore w:val="0"/>
              <w:widowControl w:val="0"/>
              <w:kinsoku/>
              <w:wordWrap/>
              <w:overflowPunct/>
              <w:topLinePunct w:val="0"/>
              <w:bidi w:val="0"/>
              <w:adjustRightInd w:val="0"/>
              <w:snapToGrid w:val="0"/>
              <w:spacing w:line="500" w:lineRule="exact"/>
              <w:ind w:firstLine="420" w:firstLineChars="200"/>
              <w:rPr>
                <w:color w:val="auto"/>
                <w:sz w:val="21"/>
                <w:szCs w:val="21"/>
              </w:rPr>
            </w:pPr>
            <w:r>
              <w:rPr>
                <w:color w:val="auto"/>
                <w:sz w:val="21"/>
                <w:szCs w:val="21"/>
              </w:rPr>
              <w:t>V</w:t>
            </w:r>
            <w:r>
              <w:rPr>
                <w:color w:val="auto"/>
                <w:sz w:val="21"/>
                <w:szCs w:val="21"/>
                <w:vertAlign w:val="subscript"/>
              </w:rPr>
              <w:t>2</w:t>
            </w:r>
            <w:r>
              <w:rPr>
                <w:color w:val="auto"/>
                <w:sz w:val="21"/>
                <w:szCs w:val="21"/>
              </w:rPr>
              <w:t>：</w:t>
            </w:r>
            <w:r>
              <w:rPr>
                <w:color w:val="auto"/>
                <w:spacing w:val="10"/>
                <w:sz w:val="21"/>
                <w:szCs w:val="21"/>
              </w:rPr>
              <w:t>根据《建筑设计防火规范》(GB50016-2014)（2018年修订），在进行城镇、居住区、企事业单位规划和建筑设计时，必须同时设计消防给水系统，消防用水可由给水管网、天然水源或消防水池供给。则发生一次火灾时厂房室外消防用水量为：1</w:t>
            </w:r>
            <w:r>
              <w:rPr>
                <w:rFonts w:hint="eastAsia"/>
                <w:color w:val="auto"/>
                <w:spacing w:val="10"/>
                <w:sz w:val="21"/>
                <w:szCs w:val="21"/>
                <w:lang w:val="en-US" w:eastAsia="zh-CN"/>
              </w:rPr>
              <w:t>0</w:t>
            </w:r>
            <w:r>
              <w:rPr>
                <w:color w:val="auto"/>
                <w:spacing w:val="10"/>
                <w:sz w:val="21"/>
                <w:szCs w:val="21"/>
              </w:rPr>
              <w:t>×3600×10</w:t>
            </w:r>
            <w:r>
              <w:rPr>
                <w:color w:val="auto"/>
                <w:spacing w:val="10"/>
                <w:sz w:val="21"/>
                <w:szCs w:val="21"/>
                <w:vertAlign w:val="superscript"/>
              </w:rPr>
              <w:t>-3</w:t>
            </w:r>
            <w:r>
              <w:rPr>
                <w:color w:val="auto"/>
                <w:spacing w:val="10"/>
                <w:sz w:val="21"/>
                <w:szCs w:val="21"/>
              </w:rPr>
              <w:t>×</w:t>
            </w:r>
            <w:r>
              <w:rPr>
                <w:rFonts w:hint="eastAsia"/>
                <w:color w:val="auto"/>
                <w:spacing w:val="10"/>
                <w:sz w:val="21"/>
                <w:szCs w:val="21"/>
              </w:rPr>
              <w:t>2</w:t>
            </w:r>
            <w:r>
              <w:rPr>
                <w:color w:val="auto"/>
                <w:spacing w:val="10"/>
                <w:sz w:val="21"/>
                <w:szCs w:val="21"/>
              </w:rPr>
              <w:t>=</w:t>
            </w:r>
            <w:r>
              <w:rPr>
                <w:rFonts w:hint="eastAsia"/>
                <w:color w:val="auto"/>
                <w:spacing w:val="10"/>
                <w:sz w:val="21"/>
                <w:szCs w:val="21"/>
                <w:lang w:val="en-US" w:eastAsia="zh-CN"/>
              </w:rPr>
              <w:t>72</w:t>
            </w:r>
            <w:r>
              <w:rPr>
                <w:color w:val="auto"/>
                <w:spacing w:val="10"/>
                <w:sz w:val="21"/>
                <w:szCs w:val="21"/>
              </w:rPr>
              <w:t>m</w:t>
            </w:r>
            <w:r>
              <w:rPr>
                <w:color w:val="auto"/>
                <w:spacing w:val="10"/>
                <w:sz w:val="21"/>
                <w:szCs w:val="21"/>
                <w:vertAlign w:val="superscript"/>
              </w:rPr>
              <w:t>3</w:t>
            </w:r>
          </w:p>
          <w:p w14:paraId="740103E9">
            <w:pPr>
              <w:keepNext w:val="0"/>
              <w:keepLines w:val="0"/>
              <w:pageBreakBefore w:val="0"/>
              <w:widowControl w:val="0"/>
              <w:kinsoku/>
              <w:wordWrap/>
              <w:overflowPunct/>
              <w:topLinePunct w:val="0"/>
              <w:bidi w:val="0"/>
              <w:adjustRightInd w:val="0"/>
              <w:snapToGrid w:val="0"/>
              <w:spacing w:line="500" w:lineRule="exact"/>
              <w:ind w:firstLine="420" w:firstLineChars="200"/>
              <w:rPr>
                <w:rFonts w:hint="eastAsia" w:eastAsia="宋体"/>
                <w:color w:val="auto"/>
                <w:sz w:val="21"/>
                <w:szCs w:val="21"/>
                <w:lang w:eastAsia="zh-CN"/>
              </w:rPr>
            </w:pPr>
            <w:r>
              <w:rPr>
                <w:color w:val="auto"/>
                <w:sz w:val="21"/>
                <w:szCs w:val="21"/>
              </w:rPr>
              <w:t>V</w:t>
            </w:r>
            <w:r>
              <w:rPr>
                <w:color w:val="auto"/>
                <w:sz w:val="21"/>
                <w:szCs w:val="21"/>
                <w:vertAlign w:val="subscript"/>
              </w:rPr>
              <w:t>3</w:t>
            </w:r>
            <w:r>
              <w:rPr>
                <w:color w:val="auto"/>
                <w:sz w:val="21"/>
                <w:szCs w:val="21"/>
              </w:rPr>
              <w:t>：公司</w:t>
            </w:r>
            <w:r>
              <w:rPr>
                <w:rFonts w:hint="eastAsia"/>
                <w:color w:val="auto"/>
                <w:sz w:val="21"/>
                <w:szCs w:val="21"/>
              </w:rPr>
              <w:t>所在</w:t>
            </w:r>
            <w:r>
              <w:rPr>
                <w:rFonts w:hint="eastAsia"/>
                <w:color w:val="auto"/>
                <w:sz w:val="21"/>
                <w:szCs w:val="21"/>
                <w:lang w:eastAsia="zh-CN"/>
              </w:rPr>
              <w:t>的</w:t>
            </w:r>
            <w:r>
              <w:rPr>
                <w:rFonts w:hint="eastAsia"/>
                <w:color w:val="auto"/>
                <w:sz w:val="21"/>
                <w:szCs w:val="21"/>
                <w:lang w:val="en-US" w:eastAsia="zh-CN"/>
              </w:rPr>
              <w:t>厂</w:t>
            </w:r>
            <w:r>
              <w:rPr>
                <w:rFonts w:hint="eastAsia"/>
                <w:color w:val="auto"/>
                <w:sz w:val="21"/>
                <w:szCs w:val="21"/>
                <w:lang w:eastAsia="zh-CN"/>
              </w:rPr>
              <w:t>区</w:t>
            </w:r>
            <w:r>
              <w:rPr>
                <w:color w:val="auto"/>
                <w:sz w:val="21"/>
                <w:szCs w:val="21"/>
              </w:rPr>
              <w:t>雨水管网总长度约为</w:t>
            </w:r>
            <w:r>
              <w:rPr>
                <w:rFonts w:hint="eastAsia"/>
                <w:color w:val="auto"/>
                <w:sz w:val="21"/>
                <w:szCs w:val="21"/>
                <w:lang w:val="en-US" w:eastAsia="zh-CN"/>
              </w:rPr>
              <w:t>57</w:t>
            </w:r>
            <w:r>
              <w:rPr>
                <w:color w:val="auto"/>
                <w:sz w:val="21"/>
                <w:szCs w:val="21"/>
              </w:rPr>
              <w:t>0m，</w:t>
            </w:r>
            <w:r>
              <w:rPr>
                <w:rFonts w:hint="eastAsia"/>
                <w:color w:val="auto"/>
                <w:sz w:val="21"/>
                <w:szCs w:val="21"/>
                <w:lang w:val="en-US" w:eastAsia="zh-CN"/>
              </w:rPr>
              <w:t>其中</w:t>
            </w:r>
            <w:r>
              <w:rPr>
                <w:color w:val="auto"/>
                <w:sz w:val="21"/>
                <w:szCs w:val="21"/>
              </w:rPr>
              <w:t>管内径为0.</w:t>
            </w:r>
            <w:r>
              <w:rPr>
                <w:rFonts w:hint="eastAsia"/>
                <w:color w:val="auto"/>
                <w:sz w:val="21"/>
                <w:szCs w:val="21"/>
                <w:lang w:val="en-US" w:eastAsia="zh-CN"/>
              </w:rPr>
              <w:t>4</w:t>
            </w:r>
            <w:r>
              <w:rPr>
                <w:color w:val="auto"/>
                <w:sz w:val="21"/>
                <w:szCs w:val="21"/>
              </w:rPr>
              <w:t>m</w:t>
            </w:r>
            <w:r>
              <w:rPr>
                <w:rFonts w:hint="eastAsia"/>
                <w:color w:val="auto"/>
                <w:sz w:val="21"/>
                <w:szCs w:val="21"/>
                <w:lang w:val="en-US" w:eastAsia="zh-CN"/>
              </w:rPr>
              <w:t>的雨水管网约300m</w:t>
            </w:r>
            <w:r>
              <w:rPr>
                <w:color w:val="auto"/>
                <w:sz w:val="21"/>
                <w:szCs w:val="21"/>
              </w:rPr>
              <w:t>，管内径为0.</w:t>
            </w:r>
            <w:r>
              <w:rPr>
                <w:rFonts w:hint="eastAsia"/>
                <w:color w:val="auto"/>
                <w:sz w:val="21"/>
                <w:szCs w:val="21"/>
                <w:lang w:val="en-US" w:eastAsia="zh-CN"/>
              </w:rPr>
              <w:t>5</w:t>
            </w:r>
            <w:r>
              <w:rPr>
                <w:color w:val="auto"/>
                <w:sz w:val="21"/>
                <w:szCs w:val="21"/>
              </w:rPr>
              <w:t>m</w:t>
            </w:r>
            <w:r>
              <w:rPr>
                <w:rFonts w:hint="eastAsia"/>
                <w:color w:val="auto"/>
                <w:sz w:val="21"/>
                <w:szCs w:val="21"/>
                <w:lang w:val="en-US" w:eastAsia="zh-CN"/>
              </w:rPr>
              <w:t>的雨水管网约120m，</w:t>
            </w:r>
            <w:r>
              <w:rPr>
                <w:color w:val="auto"/>
                <w:sz w:val="21"/>
                <w:szCs w:val="21"/>
              </w:rPr>
              <w:t>管内径为0.</w:t>
            </w:r>
            <w:r>
              <w:rPr>
                <w:rFonts w:hint="eastAsia"/>
                <w:color w:val="auto"/>
                <w:sz w:val="21"/>
                <w:szCs w:val="21"/>
                <w:lang w:val="en-US" w:eastAsia="zh-CN"/>
              </w:rPr>
              <w:t>6</w:t>
            </w:r>
            <w:r>
              <w:rPr>
                <w:color w:val="auto"/>
                <w:sz w:val="21"/>
                <w:szCs w:val="21"/>
              </w:rPr>
              <w:t>m</w:t>
            </w:r>
            <w:r>
              <w:rPr>
                <w:rFonts w:hint="eastAsia"/>
                <w:color w:val="auto"/>
                <w:sz w:val="21"/>
                <w:szCs w:val="21"/>
                <w:lang w:val="en-US" w:eastAsia="zh-CN"/>
              </w:rPr>
              <w:t>的雨水管网约50m，</w:t>
            </w:r>
            <w:r>
              <w:rPr>
                <w:color w:val="auto"/>
                <w:sz w:val="21"/>
                <w:szCs w:val="21"/>
              </w:rPr>
              <w:t>则雨水管网总容积约为</w:t>
            </w:r>
            <w:r>
              <w:rPr>
                <w:rFonts w:hint="eastAsia"/>
                <w:color w:val="auto"/>
                <w:sz w:val="21"/>
                <w:szCs w:val="21"/>
                <w:lang w:val="en-US" w:eastAsia="zh-CN"/>
              </w:rPr>
              <w:t>75.4</w:t>
            </w:r>
            <w:r>
              <w:rPr>
                <w:color w:val="auto"/>
                <w:sz w:val="21"/>
                <w:szCs w:val="21"/>
              </w:rPr>
              <w:t>m</w:t>
            </w:r>
            <w:r>
              <w:rPr>
                <w:color w:val="auto"/>
                <w:sz w:val="21"/>
                <w:szCs w:val="21"/>
                <w:vertAlign w:val="superscript"/>
              </w:rPr>
              <w:t>3</w:t>
            </w:r>
            <w:r>
              <w:rPr>
                <w:color w:val="auto"/>
                <w:sz w:val="21"/>
                <w:szCs w:val="21"/>
              </w:rPr>
              <w:t>，事故时可容纳消防尾水量为</w:t>
            </w:r>
            <w:r>
              <w:rPr>
                <w:rFonts w:hint="eastAsia"/>
                <w:color w:val="auto"/>
                <w:sz w:val="21"/>
                <w:szCs w:val="21"/>
                <w:lang w:val="en-US" w:eastAsia="zh-CN"/>
              </w:rPr>
              <w:t>60.3</w:t>
            </w:r>
            <w:r>
              <w:rPr>
                <w:color w:val="auto"/>
                <w:sz w:val="21"/>
                <w:szCs w:val="21"/>
              </w:rPr>
              <w:t>m</w:t>
            </w:r>
            <w:r>
              <w:rPr>
                <w:color w:val="auto"/>
                <w:sz w:val="21"/>
                <w:szCs w:val="21"/>
                <w:vertAlign w:val="superscript"/>
              </w:rPr>
              <w:t>3</w:t>
            </w:r>
            <w:r>
              <w:rPr>
                <w:color w:val="auto"/>
                <w:sz w:val="21"/>
                <w:szCs w:val="21"/>
              </w:rPr>
              <w:t>（以雨水管网总容积的</w:t>
            </w:r>
            <w:r>
              <w:rPr>
                <w:rFonts w:hint="eastAsia"/>
                <w:color w:val="auto"/>
                <w:sz w:val="21"/>
                <w:szCs w:val="21"/>
                <w:lang w:val="en-US" w:eastAsia="zh-CN"/>
              </w:rPr>
              <w:t>8</w:t>
            </w:r>
            <w:r>
              <w:rPr>
                <w:color w:val="auto"/>
                <w:sz w:val="21"/>
                <w:szCs w:val="21"/>
              </w:rPr>
              <w:t>0%计），则V</w:t>
            </w:r>
            <w:r>
              <w:rPr>
                <w:color w:val="auto"/>
                <w:sz w:val="21"/>
                <w:szCs w:val="21"/>
                <w:vertAlign w:val="subscript"/>
              </w:rPr>
              <w:t>3</w:t>
            </w:r>
            <w:r>
              <w:rPr>
                <w:color w:val="auto"/>
                <w:sz w:val="21"/>
                <w:szCs w:val="21"/>
              </w:rPr>
              <w:t>＝</w:t>
            </w:r>
            <w:r>
              <w:rPr>
                <w:rFonts w:hint="eastAsia"/>
                <w:color w:val="auto"/>
                <w:sz w:val="21"/>
                <w:szCs w:val="21"/>
                <w:lang w:val="en-US" w:eastAsia="zh-CN"/>
              </w:rPr>
              <w:t>60.3</w:t>
            </w:r>
            <w:r>
              <w:rPr>
                <w:color w:val="auto"/>
                <w:sz w:val="21"/>
                <w:szCs w:val="21"/>
              </w:rPr>
              <w:t>m</w:t>
            </w:r>
            <w:r>
              <w:rPr>
                <w:color w:val="auto"/>
                <w:sz w:val="21"/>
                <w:szCs w:val="21"/>
                <w:vertAlign w:val="superscript"/>
              </w:rPr>
              <w:t>3</w:t>
            </w:r>
            <w:r>
              <w:rPr>
                <w:color w:val="auto"/>
                <w:sz w:val="21"/>
                <w:szCs w:val="21"/>
              </w:rPr>
              <w:t>；</w:t>
            </w:r>
          </w:p>
          <w:p w14:paraId="7F4AC87B">
            <w:pPr>
              <w:keepNext w:val="0"/>
              <w:keepLines w:val="0"/>
              <w:pageBreakBefore w:val="0"/>
              <w:widowControl w:val="0"/>
              <w:kinsoku/>
              <w:wordWrap/>
              <w:overflowPunct/>
              <w:topLinePunct w:val="0"/>
              <w:bidi w:val="0"/>
              <w:adjustRightInd w:val="0"/>
              <w:snapToGrid w:val="0"/>
              <w:spacing w:line="500" w:lineRule="exact"/>
              <w:ind w:firstLine="420" w:firstLineChars="200"/>
              <w:rPr>
                <w:color w:val="auto"/>
                <w:sz w:val="21"/>
                <w:szCs w:val="21"/>
              </w:rPr>
            </w:pPr>
            <w:r>
              <w:rPr>
                <w:color w:val="auto"/>
                <w:sz w:val="21"/>
                <w:szCs w:val="21"/>
              </w:rPr>
              <w:t>V</w:t>
            </w:r>
            <w:r>
              <w:rPr>
                <w:color w:val="auto"/>
                <w:sz w:val="21"/>
                <w:szCs w:val="21"/>
                <w:vertAlign w:val="subscript"/>
              </w:rPr>
              <w:t>4</w:t>
            </w:r>
            <w:r>
              <w:rPr>
                <w:color w:val="auto"/>
                <w:sz w:val="21"/>
                <w:szCs w:val="21"/>
              </w:rPr>
              <w:t>：</w:t>
            </w:r>
            <w:r>
              <w:rPr>
                <w:color w:val="auto"/>
                <w:sz w:val="21"/>
                <w:szCs w:val="21"/>
                <w:highlight w:val="none"/>
              </w:rPr>
              <w:t>发生事故时必须进入该收集系统的生产废水量</w:t>
            </w:r>
            <w:r>
              <w:rPr>
                <w:rFonts w:hint="eastAsia"/>
                <w:color w:val="auto"/>
                <w:sz w:val="21"/>
                <w:szCs w:val="21"/>
                <w:highlight w:val="none"/>
                <w:lang w:val="en-US" w:eastAsia="zh-CN"/>
              </w:rPr>
              <w:t>，</w:t>
            </w:r>
            <w:r>
              <w:rPr>
                <w:rFonts w:ascii="Times New Roman" w:hAnsi="Times New Roman" w:eastAsia="宋体" w:cs="Times New Roman"/>
                <w:color w:val="auto"/>
                <w:spacing w:val="10"/>
                <w:sz w:val="21"/>
                <w:szCs w:val="21"/>
                <w:highlight w:val="none"/>
              </w:rPr>
              <w:t>则V</w:t>
            </w:r>
            <w:r>
              <w:rPr>
                <w:rFonts w:hint="eastAsia" w:ascii="Times New Roman" w:hAnsi="Times New Roman" w:eastAsia="宋体" w:cs="Times New Roman"/>
                <w:color w:val="auto"/>
                <w:spacing w:val="10"/>
                <w:sz w:val="21"/>
                <w:szCs w:val="21"/>
                <w:highlight w:val="none"/>
                <w:vertAlign w:val="subscript"/>
                <w:lang w:val="en-US" w:eastAsia="zh-CN"/>
              </w:rPr>
              <w:t>4</w:t>
            </w:r>
            <w:r>
              <w:rPr>
                <w:rFonts w:ascii="Times New Roman" w:hAnsi="Times New Roman" w:eastAsia="宋体" w:cs="Times New Roman"/>
                <w:color w:val="auto"/>
                <w:spacing w:val="10"/>
                <w:sz w:val="21"/>
                <w:szCs w:val="21"/>
                <w:highlight w:val="none"/>
              </w:rPr>
              <w:t>＝</w:t>
            </w:r>
            <w:r>
              <w:rPr>
                <w:rFonts w:hint="eastAsia"/>
                <w:color w:val="auto"/>
                <w:sz w:val="21"/>
                <w:szCs w:val="21"/>
                <w:highlight w:val="none"/>
                <w:lang w:val="en-US" w:eastAsia="zh-CN"/>
              </w:rPr>
              <w:t>0</w:t>
            </w:r>
            <w:r>
              <w:rPr>
                <w:color w:val="auto"/>
                <w:sz w:val="21"/>
                <w:szCs w:val="21"/>
                <w:highlight w:val="none"/>
              </w:rPr>
              <w:t>m</w:t>
            </w:r>
            <w:r>
              <w:rPr>
                <w:color w:val="auto"/>
                <w:sz w:val="21"/>
                <w:szCs w:val="21"/>
                <w:highlight w:val="none"/>
                <w:vertAlign w:val="superscript"/>
              </w:rPr>
              <w:t>3</w:t>
            </w:r>
            <w:r>
              <w:rPr>
                <w:color w:val="auto"/>
                <w:sz w:val="21"/>
                <w:szCs w:val="21"/>
              </w:rPr>
              <w:t>；</w:t>
            </w:r>
          </w:p>
          <w:p w14:paraId="73E87754">
            <w:pPr>
              <w:keepNext w:val="0"/>
              <w:keepLines w:val="0"/>
              <w:pageBreakBefore w:val="0"/>
              <w:widowControl w:val="0"/>
              <w:kinsoku/>
              <w:wordWrap/>
              <w:overflowPunct/>
              <w:topLinePunct w:val="0"/>
              <w:bidi w:val="0"/>
              <w:adjustRightInd w:val="0"/>
              <w:snapToGrid w:val="0"/>
              <w:spacing w:line="500" w:lineRule="exact"/>
              <w:ind w:firstLine="420" w:firstLineChars="200"/>
              <w:rPr>
                <w:color w:val="auto"/>
                <w:sz w:val="21"/>
                <w:szCs w:val="21"/>
              </w:rPr>
            </w:pPr>
            <w:r>
              <w:rPr>
                <w:color w:val="auto"/>
                <w:sz w:val="21"/>
                <w:szCs w:val="21"/>
              </w:rPr>
              <w:t>V</w:t>
            </w:r>
            <w:r>
              <w:rPr>
                <w:color w:val="auto"/>
                <w:sz w:val="21"/>
                <w:szCs w:val="21"/>
                <w:vertAlign w:val="subscript"/>
              </w:rPr>
              <w:t>5</w:t>
            </w:r>
            <w:r>
              <w:rPr>
                <w:color w:val="auto"/>
                <w:sz w:val="21"/>
                <w:szCs w:val="21"/>
              </w:rPr>
              <w:t>：发生事故时可能进入该收集系统的降雨量，发生事故时可能进入该收集系统的降雨量，V</w:t>
            </w:r>
            <w:r>
              <w:rPr>
                <w:color w:val="auto"/>
                <w:sz w:val="21"/>
                <w:szCs w:val="21"/>
                <w:vertAlign w:val="subscript"/>
              </w:rPr>
              <w:t>5</w:t>
            </w:r>
            <w:r>
              <w:rPr>
                <w:color w:val="auto"/>
                <w:sz w:val="21"/>
                <w:szCs w:val="21"/>
              </w:rPr>
              <w:t>=10qF；</w:t>
            </w:r>
          </w:p>
          <w:p w14:paraId="4A91CFCC">
            <w:pPr>
              <w:keepNext w:val="0"/>
              <w:keepLines w:val="0"/>
              <w:pageBreakBefore w:val="0"/>
              <w:widowControl w:val="0"/>
              <w:kinsoku/>
              <w:wordWrap/>
              <w:overflowPunct/>
              <w:topLinePunct w:val="0"/>
              <w:bidi w:val="0"/>
              <w:adjustRightInd w:val="0"/>
              <w:snapToGrid w:val="0"/>
              <w:spacing w:line="500" w:lineRule="exact"/>
              <w:ind w:firstLine="420" w:firstLineChars="200"/>
              <w:rPr>
                <w:color w:val="auto"/>
                <w:sz w:val="21"/>
                <w:szCs w:val="21"/>
              </w:rPr>
            </w:pPr>
            <w:r>
              <w:rPr>
                <w:color w:val="auto"/>
                <w:sz w:val="21"/>
                <w:szCs w:val="21"/>
              </w:rPr>
              <w:t>q：降雨强度，mm；按平均日降雨量；</w:t>
            </w:r>
          </w:p>
          <w:p w14:paraId="27CF7D21">
            <w:pPr>
              <w:keepNext w:val="0"/>
              <w:keepLines w:val="0"/>
              <w:pageBreakBefore w:val="0"/>
              <w:widowControl w:val="0"/>
              <w:kinsoku/>
              <w:wordWrap/>
              <w:overflowPunct/>
              <w:topLinePunct w:val="0"/>
              <w:bidi w:val="0"/>
              <w:adjustRightInd w:val="0"/>
              <w:snapToGrid w:val="0"/>
              <w:spacing w:line="500" w:lineRule="exact"/>
              <w:ind w:firstLine="420" w:firstLineChars="200"/>
              <w:rPr>
                <w:color w:val="auto"/>
                <w:sz w:val="21"/>
                <w:szCs w:val="21"/>
              </w:rPr>
            </w:pPr>
            <w:r>
              <w:rPr>
                <w:color w:val="auto"/>
                <w:sz w:val="21"/>
                <w:szCs w:val="21"/>
              </w:rPr>
              <w:t>q=q</w:t>
            </w:r>
            <w:r>
              <w:rPr>
                <w:color w:val="auto"/>
                <w:sz w:val="21"/>
                <w:szCs w:val="21"/>
                <w:vertAlign w:val="subscript"/>
              </w:rPr>
              <w:t>a</w:t>
            </w:r>
            <w:r>
              <w:rPr>
                <w:color w:val="auto"/>
                <w:sz w:val="21"/>
                <w:szCs w:val="21"/>
              </w:rPr>
              <w:t>/n</w:t>
            </w:r>
          </w:p>
          <w:p w14:paraId="29A8B71E">
            <w:pPr>
              <w:keepNext w:val="0"/>
              <w:keepLines w:val="0"/>
              <w:pageBreakBefore w:val="0"/>
              <w:widowControl w:val="0"/>
              <w:kinsoku/>
              <w:wordWrap/>
              <w:overflowPunct/>
              <w:topLinePunct w:val="0"/>
              <w:bidi w:val="0"/>
              <w:adjustRightInd w:val="0"/>
              <w:snapToGrid w:val="0"/>
              <w:spacing w:line="500" w:lineRule="exact"/>
              <w:ind w:firstLine="420" w:firstLineChars="200"/>
              <w:rPr>
                <w:color w:val="auto"/>
                <w:sz w:val="21"/>
                <w:szCs w:val="21"/>
              </w:rPr>
            </w:pPr>
            <w:r>
              <w:rPr>
                <w:color w:val="auto"/>
                <w:sz w:val="21"/>
                <w:szCs w:val="21"/>
              </w:rPr>
              <w:t>q</w:t>
            </w:r>
            <w:r>
              <w:rPr>
                <w:color w:val="auto"/>
                <w:sz w:val="21"/>
                <w:szCs w:val="21"/>
                <w:vertAlign w:val="subscript"/>
              </w:rPr>
              <w:t>a</w:t>
            </w:r>
            <w:r>
              <w:rPr>
                <w:color w:val="auto"/>
                <w:sz w:val="21"/>
                <w:szCs w:val="21"/>
              </w:rPr>
              <w:t>：年平均降雨量，取1074mm；</w:t>
            </w:r>
          </w:p>
          <w:p w14:paraId="4D7C7320">
            <w:pPr>
              <w:keepNext w:val="0"/>
              <w:keepLines w:val="0"/>
              <w:pageBreakBefore w:val="0"/>
              <w:widowControl w:val="0"/>
              <w:kinsoku/>
              <w:wordWrap/>
              <w:overflowPunct/>
              <w:topLinePunct w:val="0"/>
              <w:bidi w:val="0"/>
              <w:adjustRightInd w:val="0"/>
              <w:snapToGrid w:val="0"/>
              <w:spacing w:line="500" w:lineRule="exact"/>
              <w:ind w:firstLine="420" w:firstLineChars="200"/>
              <w:rPr>
                <w:color w:val="auto"/>
                <w:sz w:val="21"/>
                <w:szCs w:val="21"/>
              </w:rPr>
            </w:pPr>
            <w:r>
              <w:rPr>
                <w:color w:val="auto"/>
                <w:sz w:val="21"/>
                <w:szCs w:val="21"/>
              </w:rPr>
              <w:t>n：年平均降雨日数，取126天；</w:t>
            </w:r>
          </w:p>
          <w:p w14:paraId="1B3DC257">
            <w:pPr>
              <w:keepNext w:val="0"/>
              <w:keepLines w:val="0"/>
              <w:pageBreakBefore w:val="0"/>
              <w:widowControl w:val="0"/>
              <w:kinsoku/>
              <w:wordWrap/>
              <w:overflowPunct/>
              <w:topLinePunct w:val="0"/>
              <w:bidi w:val="0"/>
              <w:adjustRightInd w:val="0"/>
              <w:snapToGrid w:val="0"/>
              <w:spacing w:line="500" w:lineRule="exact"/>
              <w:ind w:firstLine="420" w:firstLineChars="200"/>
              <w:rPr>
                <w:color w:val="auto"/>
                <w:sz w:val="21"/>
                <w:szCs w:val="21"/>
              </w:rPr>
            </w:pPr>
            <w:r>
              <w:rPr>
                <w:color w:val="auto"/>
                <w:sz w:val="21"/>
                <w:szCs w:val="21"/>
              </w:rPr>
              <w:t>F：必须进入事故废水收集系统的雨水汇水面积ha，</w:t>
            </w:r>
            <w:r>
              <w:rPr>
                <w:rFonts w:hint="eastAsia"/>
                <w:color w:val="auto"/>
                <w:sz w:val="21"/>
                <w:szCs w:val="21"/>
                <w:lang w:eastAsia="zh-CN"/>
              </w:rPr>
              <w:t>项目占地面积约</w:t>
            </w:r>
            <w:r>
              <w:rPr>
                <w:rFonts w:hint="eastAsia" w:cs="Times New Roman"/>
                <w:color w:val="auto"/>
                <w:sz w:val="21"/>
                <w:szCs w:val="21"/>
                <w:lang w:val="en-US" w:eastAsia="zh-CN"/>
              </w:rPr>
              <w:t>2181.44</w:t>
            </w:r>
            <w:r>
              <w:rPr>
                <w:rFonts w:hint="eastAsia"/>
                <w:color w:val="auto"/>
                <w:sz w:val="21"/>
                <w:szCs w:val="21"/>
                <w:lang w:val="en-US" w:eastAsia="zh-CN"/>
              </w:rPr>
              <w:t>m</w:t>
            </w:r>
            <w:r>
              <w:rPr>
                <w:rFonts w:hint="eastAsia"/>
                <w:color w:val="auto"/>
                <w:sz w:val="21"/>
                <w:szCs w:val="21"/>
                <w:vertAlign w:val="superscript"/>
                <w:lang w:val="en-US" w:eastAsia="zh-CN"/>
              </w:rPr>
              <w:t>2</w:t>
            </w:r>
            <w:r>
              <w:rPr>
                <w:rFonts w:hint="eastAsia"/>
                <w:color w:val="auto"/>
                <w:sz w:val="21"/>
                <w:szCs w:val="21"/>
                <w:lang w:val="en-US" w:eastAsia="zh-CN"/>
              </w:rPr>
              <w:t>，故取0.22</w:t>
            </w:r>
            <w:r>
              <w:rPr>
                <w:color w:val="auto"/>
                <w:sz w:val="21"/>
                <w:szCs w:val="21"/>
              </w:rPr>
              <w:t>ha；</w:t>
            </w:r>
          </w:p>
          <w:p w14:paraId="17F982D0">
            <w:pPr>
              <w:keepNext w:val="0"/>
              <w:keepLines w:val="0"/>
              <w:pageBreakBefore w:val="0"/>
              <w:widowControl w:val="0"/>
              <w:kinsoku/>
              <w:wordWrap/>
              <w:overflowPunct/>
              <w:topLinePunct w:val="0"/>
              <w:bidi w:val="0"/>
              <w:adjustRightInd w:val="0"/>
              <w:snapToGrid w:val="0"/>
              <w:spacing w:line="500" w:lineRule="exact"/>
              <w:ind w:firstLine="420" w:firstLineChars="200"/>
              <w:rPr>
                <w:color w:val="auto"/>
                <w:sz w:val="21"/>
                <w:szCs w:val="21"/>
              </w:rPr>
            </w:pPr>
            <w:r>
              <w:rPr>
                <w:color w:val="auto"/>
                <w:sz w:val="21"/>
                <w:szCs w:val="21"/>
              </w:rPr>
              <w:t>由此计算V</w:t>
            </w:r>
            <w:r>
              <w:rPr>
                <w:color w:val="auto"/>
                <w:sz w:val="21"/>
                <w:szCs w:val="21"/>
                <w:vertAlign w:val="subscript"/>
              </w:rPr>
              <w:t>5</w:t>
            </w:r>
            <w:r>
              <w:rPr>
                <w:color w:val="auto"/>
                <w:sz w:val="21"/>
                <w:szCs w:val="21"/>
              </w:rPr>
              <w:t>为</w:t>
            </w:r>
            <w:r>
              <w:rPr>
                <w:rFonts w:hint="eastAsia"/>
                <w:color w:val="auto"/>
                <w:sz w:val="21"/>
                <w:szCs w:val="21"/>
                <w:lang w:val="en-US" w:eastAsia="zh-CN"/>
              </w:rPr>
              <w:t>18.8</w:t>
            </w:r>
            <w:r>
              <w:rPr>
                <w:color w:val="auto"/>
                <w:sz w:val="21"/>
                <w:szCs w:val="21"/>
              </w:rPr>
              <w:t>m</w:t>
            </w:r>
            <w:r>
              <w:rPr>
                <w:color w:val="auto"/>
                <w:sz w:val="21"/>
                <w:szCs w:val="21"/>
                <w:vertAlign w:val="superscript"/>
              </w:rPr>
              <w:t>3</w:t>
            </w:r>
            <w:r>
              <w:rPr>
                <w:color w:val="auto"/>
                <w:sz w:val="21"/>
                <w:szCs w:val="21"/>
              </w:rPr>
              <w:t>。</w:t>
            </w:r>
          </w:p>
          <w:p w14:paraId="16B02A67">
            <w:pPr>
              <w:pStyle w:val="2"/>
              <w:keepNext w:val="0"/>
              <w:keepLines w:val="0"/>
              <w:pageBreakBefore w:val="0"/>
              <w:widowControl w:val="0"/>
              <w:kinsoku/>
              <w:wordWrap/>
              <w:overflowPunct/>
              <w:topLinePunct w:val="0"/>
              <w:bidi w:val="0"/>
              <w:adjustRightInd w:val="0"/>
              <w:spacing w:before="0" w:after="0" w:line="500" w:lineRule="exact"/>
              <w:ind w:right="0" w:firstLine="420" w:firstLineChars="200"/>
              <w:rPr>
                <w:b/>
                <w:color w:val="auto"/>
                <w:sz w:val="21"/>
                <w:szCs w:val="21"/>
              </w:rPr>
            </w:pPr>
            <w:r>
              <w:rPr>
                <w:color w:val="auto"/>
                <w:sz w:val="21"/>
                <w:szCs w:val="21"/>
              </w:rPr>
              <w:t>V</w:t>
            </w:r>
            <w:r>
              <w:rPr>
                <w:color w:val="auto"/>
                <w:sz w:val="21"/>
                <w:szCs w:val="21"/>
                <w:vertAlign w:val="subscript"/>
              </w:rPr>
              <w:t>a</w:t>
            </w:r>
            <w:r>
              <w:rPr>
                <w:color w:val="auto"/>
                <w:sz w:val="21"/>
                <w:szCs w:val="21"/>
              </w:rPr>
              <w:t>=</w:t>
            </w:r>
            <w:r>
              <w:rPr>
                <w:rFonts w:hint="eastAsia" w:eastAsia="仿宋_GB2312" w:cs="Times New Roman"/>
                <w:color w:val="auto"/>
                <w:sz w:val="21"/>
                <w:szCs w:val="21"/>
                <w:lang w:val="en-US" w:eastAsia="zh-CN"/>
              </w:rPr>
              <w:t>0.02</w:t>
            </w:r>
            <w:r>
              <w:rPr>
                <w:rFonts w:hint="default" w:ascii="Times New Roman" w:hAnsi="Times New Roman" w:eastAsia="仿宋_GB2312" w:cs="Times New Roman"/>
                <w:color w:val="auto"/>
                <w:sz w:val="21"/>
                <w:szCs w:val="21"/>
              </w:rPr>
              <w:t>+</w:t>
            </w:r>
            <w:r>
              <w:rPr>
                <w:rFonts w:hint="eastAsia" w:eastAsia="仿宋_GB2312" w:cs="Times New Roman"/>
                <w:color w:val="auto"/>
                <w:sz w:val="21"/>
                <w:szCs w:val="21"/>
                <w:lang w:val="en-US" w:eastAsia="zh-CN"/>
              </w:rPr>
              <w:t>72</w:t>
            </w:r>
            <w:r>
              <w:rPr>
                <w:rFonts w:hint="default" w:ascii="Times New Roman" w:hAnsi="Times New Roman" w:eastAsia="仿宋_GB2312" w:cs="Times New Roman"/>
                <w:color w:val="auto"/>
                <w:sz w:val="21"/>
                <w:szCs w:val="21"/>
              </w:rPr>
              <w:t>-</w:t>
            </w:r>
            <w:r>
              <w:rPr>
                <w:rFonts w:hint="eastAsia"/>
                <w:color w:val="auto"/>
                <w:sz w:val="21"/>
                <w:szCs w:val="21"/>
                <w:lang w:val="en-US" w:eastAsia="zh-CN"/>
              </w:rPr>
              <w:t>60.3</w:t>
            </w:r>
            <w:r>
              <w:rPr>
                <w:rFonts w:hint="default" w:ascii="Times New Roman" w:hAnsi="Times New Roman" w:eastAsia="仿宋_GB2312" w:cs="Times New Roman"/>
                <w:color w:val="auto"/>
                <w:sz w:val="21"/>
                <w:szCs w:val="21"/>
              </w:rPr>
              <w:t>+0+</w:t>
            </w:r>
            <w:r>
              <w:rPr>
                <w:rFonts w:hint="eastAsia"/>
                <w:color w:val="auto"/>
                <w:sz w:val="21"/>
                <w:szCs w:val="21"/>
                <w:lang w:val="en-US" w:eastAsia="zh-CN"/>
              </w:rPr>
              <w:t>18.8</w:t>
            </w:r>
            <w:r>
              <w:rPr>
                <w:rFonts w:hint="default" w:ascii="Times New Roman" w:hAnsi="Times New Roman" w:eastAsia="仿宋_GB2312" w:cs="Times New Roman"/>
                <w:color w:val="auto"/>
                <w:sz w:val="21"/>
                <w:szCs w:val="21"/>
              </w:rPr>
              <w:t>=</w:t>
            </w:r>
            <w:r>
              <w:rPr>
                <w:rFonts w:hint="eastAsia" w:eastAsia="仿宋_GB2312" w:cs="Times New Roman"/>
                <w:color w:val="auto"/>
                <w:sz w:val="21"/>
                <w:szCs w:val="21"/>
                <w:lang w:val="en-US" w:eastAsia="zh-CN"/>
              </w:rPr>
              <w:t>30.52</w:t>
            </w:r>
            <w:r>
              <w:rPr>
                <w:color w:val="auto"/>
                <w:sz w:val="21"/>
                <w:szCs w:val="21"/>
              </w:rPr>
              <w:t>m</w:t>
            </w:r>
            <w:r>
              <w:rPr>
                <w:color w:val="auto"/>
                <w:sz w:val="21"/>
                <w:szCs w:val="21"/>
                <w:vertAlign w:val="superscript"/>
              </w:rPr>
              <w:t>3</w:t>
            </w:r>
          </w:p>
          <w:p w14:paraId="61615133">
            <w:pPr>
              <w:keepNext w:val="0"/>
              <w:keepLines w:val="0"/>
              <w:pageBreakBefore w:val="0"/>
              <w:widowControl w:val="0"/>
              <w:kinsoku/>
              <w:wordWrap/>
              <w:overflowPunct/>
              <w:topLinePunct w:val="0"/>
              <w:bidi w:val="0"/>
              <w:adjustRightInd w:val="0"/>
              <w:snapToGrid w:val="0"/>
              <w:spacing w:line="500" w:lineRule="exact"/>
              <w:ind w:firstLine="482"/>
              <w:rPr>
                <w:rFonts w:hint="eastAsia" w:ascii="Times New Roman" w:hAnsi="Times New Roman" w:cs="Times New Roman"/>
                <w:color w:val="auto"/>
                <w:sz w:val="21"/>
                <w:szCs w:val="21"/>
              </w:rPr>
            </w:pPr>
            <w:r>
              <w:rPr>
                <w:color w:val="auto"/>
                <w:sz w:val="21"/>
                <w:szCs w:val="21"/>
              </w:rPr>
              <w:t>公司</w:t>
            </w:r>
            <w:r>
              <w:rPr>
                <w:rFonts w:hint="eastAsia"/>
                <w:color w:val="auto"/>
                <w:sz w:val="21"/>
                <w:szCs w:val="21"/>
                <w:lang w:val="en-US" w:eastAsia="zh-CN"/>
              </w:rPr>
              <w:t>拟新建一座35m</w:t>
            </w:r>
            <w:r>
              <w:rPr>
                <w:color w:val="auto"/>
                <w:sz w:val="21"/>
                <w:szCs w:val="21"/>
                <w:vertAlign w:val="superscript"/>
              </w:rPr>
              <w:t>3</w:t>
            </w:r>
            <w:r>
              <w:rPr>
                <w:rFonts w:hint="eastAsia"/>
                <w:color w:val="auto"/>
                <w:sz w:val="21"/>
                <w:szCs w:val="21"/>
                <w:lang w:val="en-US" w:eastAsia="zh-CN"/>
              </w:rPr>
              <w:t>的事故应急池，</w:t>
            </w:r>
            <w:r>
              <w:rPr>
                <w:rFonts w:hint="eastAsia" w:ascii="Times New Roman" w:hAnsi="Times New Roman" w:cs="Times New Roman"/>
                <w:color w:val="auto"/>
                <w:sz w:val="21"/>
                <w:szCs w:val="21"/>
              </w:rPr>
              <w:t>同时</w:t>
            </w:r>
            <w:r>
              <w:rPr>
                <w:rFonts w:hint="eastAsia" w:cs="Times New Roman"/>
                <w:color w:val="auto"/>
                <w:sz w:val="21"/>
                <w:szCs w:val="21"/>
                <w:lang w:eastAsia="zh-CN"/>
              </w:rPr>
              <w:t>厂</w:t>
            </w:r>
            <w:r>
              <w:rPr>
                <w:rFonts w:hint="eastAsia" w:ascii="Times New Roman" w:hAnsi="Times New Roman" w:cs="Times New Roman"/>
                <w:color w:val="auto"/>
                <w:sz w:val="21"/>
                <w:szCs w:val="21"/>
                <w:lang w:eastAsia="zh-CN"/>
              </w:rPr>
              <w:t>区</w:t>
            </w:r>
            <w:r>
              <w:rPr>
                <w:rFonts w:hint="eastAsia" w:ascii="Times New Roman" w:hAnsi="Times New Roman" w:cs="Times New Roman"/>
                <w:color w:val="auto"/>
                <w:sz w:val="21"/>
                <w:szCs w:val="21"/>
              </w:rPr>
              <w:t>雨水排放口</w:t>
            </w:r>
            <w:r>
              <w:rPr>
                <w:rFonts w:hint="eastAsia" w:cs="Times New Roman"/>
                <w:color w:val="auto"/>
                <w:sz w:val="21"/>
                <w:szCs w:val="21"/>
                <w:lang w:eastAsia="zh-CN"/>
              </w:rPr>
              <w:t>需</w:t>
            </w:r>
            <w:r>
              <w:rPr>
                <w:rFonts w:hint="eastAsia" w:ascii="Times New Roman" w:hAnsi="Times New Roman" w:cs="Times New Roman"/>
                <w:color w:val="auto"/>
                <w:sz w:val="21"/>
                <w:szCs w:val="21"/>
              </w:rPr>
              <w:t>安装截流阀，确保事故时的消防废水、泄漏废液不排入外环境。</w:t>
            </w:r>
          </w:p>
          <w:p w14:paraId="5158E2CE">
            <w:pPr>
              <w:keepNext w:val="0"/>
              <w:keepLines w:val="0"/>
              <w:pageBreakBefore w:val="0"/>
              <w:widowControl w:val="0"/>
              <w:numPr>
                <w:ilvl w:val="0"/>
                <w:numId w:val="0"/>
              </w:numPr>
              <w:kinsoku/>
              <w:wordWrap/>
              <w:overflowPunct/>
              <w:topLinePunct w:val="0"/>
              <w:bidi w:val="0"/>
              <w:adjustRightInd w:val="0"/>
              <w:snapToGrid w:val="0"/>
              <w:spacing w:line="500" w:lineRule="exact"/>
              <w:ind w:firstLine="420" w:firstLineChars="20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7）企</w:t>
            </w:r>
            <w:r>
              <w:rPr>
                <w:rFonts w:hint="eastAsia" w:ascii="Times New Roman" w:hAnsi="Times New Roman" w:eastAsia="宋体" w:cs="Times New Roman"/>
                <w:color w:val="auto"/>
                <w:sz w:val="21"/>
                <w:szCs w:val="21"/>
                <w:lang w:val="en-US" w:eastAsia="zh-CN"/>
              </w:rPr>
              <w:t>业</w:t>
            </w:r>
            <w:r>
              <w:rPr>
                <w:rFonts w:hint="eastAsia" w:ascii="Times New Roman" w:hAnsi="Times New Roman" w:eastAsia="宋体" w:cs="Times New Roman"/>
                <w:color w:val="auto"/>
                <w:sz w:val="21"/>
                <w:szCs w:val="21"/>
              </w:rPr>
              <w:t>环境风险三级防范</w:t>
            </w:r>
            <w:r>
              <w:rPr>
                <w:rFonts w:hint="eastAsia" w:ascii="Times New Roman" w:hAnsi="Times New Roman" w:eastAsia="宋体" w:cs="Times New Roman"/>
                <w:color w:val="auto"/>
                <w:sz w:val="21"/>
                <w:szCs w:val="21"/>
                <w:lang w:eastAsia="zh-CN"/>
              </w:rPr>
              <w:t>措施</w:t>
            </w:r>
          </w:p>
          <w:p w14:paraId="7D3A5697">
            <w:pPr>
              <w:pStyle w:val="102"/>
              <w:keepNext w:val="0"/>
              <w:keepLines w:val="0"/>
              <w:pageBreakBefore w:val="0"/>
              <w:widowControl w:val="0"/>
              <w:tabs>
                <w:tab w:val="left" w:pos="840"/>
              </w:tabs>
              <w:kinsoku/>
              <w:wordWrap/>
              <w:overflowPunct/>
              <w:topLinePunct w:val="0"/>
              <w:bidi w:val="0"/>
              <w:snapToGrid/>
              <w:spacing w:line="500" w:lineRule="exact"/>
              <w:ind w:firstLine="420" w:firstLineChars="200"/>
              <w:rPr>
                <w:rFonts w:hint="default" w:ascii="Times New Roman" w:hAnsi="Times New Roman" w:eastAsia="宋体" w:cs="Times New Roman"/>
                <w:snapToGrid/>
                <w:color w:val="auto"/>
                <w:spacing w:val="0"/>
                <w:kern w:val="2"/>
                <w:sz w:val="21"/>
                <w:szCs w:val="21"/>
                <w:lang w:val="en-US" w:eastAsia="zh-CN" w:bidi="ar-SA"/>
              </w:rPr>
            </w:pPr>
            <w:r>
              <w:rPr>
                <w:rFonts w:hint="default" w:ascii="Times New Roman" w:hAnsi="Times New Roman" w:eastAsia="宋体" w:cs="Times New Roman"/>
                <w:snapToGrid/>
                <w:color w:val="auto"/>
                <w:spacing w:val="0"/>
                <w:kern w:val="2"/>
                <w:sz w:val="21"/>
                <w:szCs w:val="21"/>
                <w:lang w:val="en-US" w:eastAsia="zh-CN" w:bidi="ar-SA"/>
              </w:rPr>
              <w:t>一级防控措施：利用</w:t>
            </w:r>
            <w:r>
              <w:rPr>
                <w:rFonts w:hint="eastAsia" w:ascii="Times New Roman" w:hAnsi="Times New Roman" w:eastAsia="宋体" w:cs="Times New Roman"/>
                <w:snapToGrid/>
                <w:color w:val="auto"/>
                <w:spacing w:val="0"/>
                <w:kern w:val="2"/>
                <w:sz w:val="21"/>
                <w:szCs w:val="21"/>
                <w:lang w:val="en-US" w:eastAsia="zh-CN" w:bidi="ar-SA"/>
              </w:rPr>
              <w:t>车间</w:t>
            </w:r>
            <w:r>
              <w:rPr>
                <w:rFonts w:hint="default" w:ascii="Times New Roman" w:hAnsi="Times New Roman" w:eastAsia="宋体" w:cs="Times New Roman"/>
                <w:snapToGrid/>
                <w:color w:val="auto"/>
                <w:spacing w:val="0"/>
                <w:kern w:val="2"/>
                <w:sz w:val="21"/>
                <w:szCs w:val="21"/>
                <w:lang w:val="en-US" w:eastAsia="zh-CN" w:bidi="ar-SA"/>
              </w:rPr>
              <w:t>存储区</w:t>
            </w:r>
            <w:r>
              <w:rPr>
                <w:rFonts w:hint="eastAsia" w:ascii="Times New Roman" w:hAnsi="Times New Roman" w:cs="Times New Roman"/>
                <w:snapToGrid/>
                <w:color w:val="auto"/>
                <w:spacing w:val="0"/>
                <w:kern w:val="2"/>
                <w:sz w:val="21"/>
                <w:szCs w:val="21"/>
                <w:lang w:val="en-US" w:eastAsia="zh-CN" w:bidi="ar-SA"/>
              </w:rPr>
              <w:t>、危废仓库</w:t>
            </w:r>
            <w:r>
              <w:rPr>
                <w:rFonts w:hint="default" w:ascii="Times New Roman" w:hAnsi="Times New Roman" w:eastAsia="宋体" w:cs="Times New Roman"/>
                <w:snapToGrid/>
                <w:color w:val="auto"/>
                <w:spacing w:val="0"/>
                <w:kern w:val="2"/>
                <w:sz w:val="21"/>
                <w:szCs w:val="21"/>
                <w:lang w:val="en-US" w:eastAsia="zh-CN" w:bidi="ar-SA"/>
              </w:rPr>
              <w:t>收集装置作为一级防控措施，主要防控泄漏</w:t>
            </w:r>
            <w:r>
              <w:rPr>
                <w:rFonts w:hint="eastAsia" w:ascii="Times New Roman" w:hAnsi="Times New Roman" w:eastAsia="宋体" w:cs="Times New Roman"/>
                <w:snapToGrid/>
                <w:color w:val="auto"/>
                <w:spacing w:val="0"/>
                <w:kern w:val="2"/>
                <w:sz w:val="21"/>
                <w:szCs w:val="21"/>
                <w:lang w:val="en-US" w:eastAsia="zh-CN" w:bidi="ar-SA"/>
              </w:rPr>
              <w:t>少量</w:t>
            </w:r>
            <w:r>
              <w:rPr>
                <w:rFonts w:hint="default" w:ascii="Times New Roman" w:hAnsi="Times New Roman" w:eastAsia="宋体" w:cs="Times New Roman"/>
                <w:snapToGrid/>
                <w:color w:val="auto"/>
                <w:spacing w:val="0"/>
                <w:kern w:val="2"/>
                <w:sz w:val="21"/>
                <w:szCs w:val="21"/>
                <w:lang w:val="en-US" w:eastAsia="zh-CN" w:bidi="ar-SA"/>
              </w:rPr>
              <w:t>物料。二级防控措施：</w:t>
            </w:r>
            <w:r>
              <w:rPr>
                <w:rFonts w:hint="eastAsia" w:ascii="Times New Roman" w:hAnsi="Times New Roman" w:eastAsia="宋体" w:cs="Times New Roman"/>
                <w:snapToGrid/>
                <w:color w:val="auto"/>
                <w:spacing w:val="0"/>
                <w:kern w:val="2"/>
                <w:sz w:val="21"/>
                <w:szCs w:val="21"/>
                <w:lang w:val="en-US" w:eastAsia="zh-CN" w:bidi="ar-SA"/>
              </w:rPr>
              <w:t>利用</w:t>
            </w:r>
            <w:r>
              <w:rPr>
                <w:rFonts w:hint="eastAsia"/>
                <w:color w:val="auto"/>
                <w:sz w:val="21"/>
                <w:szCs w:val="21"/>
                <w:lang w:val="en-US" w:eastAsia="zh-CN"/>
              </w:rPr>
              <w:t>事故应急池</w:t>
            </w:r>
            <w:r>
              <w:rPr>
                <w:rFonts w:hint="default" w:ascii="Times New Roman" w:hAnsi="Times New Roman" w:eastAsia="宋体" w:cs="Times New Roman"/>
                <w:snapToGrid/>
                <w:color w:val="auto"/>
                <w:spacing w:val="0"/>
                <w:kern w:val="2"/>
                <w:sz w:val="21"/>
                <w:szCs w:val="21"/>
                <w:lang w:val="en-US" w:eastAsia="zh-CN" w:bidi="ar-SA"/>
              </w:rPr>
              <w:t>作为二级防控措施，用于事故状态下储存泄漏物料、事故废水。三级防控措施：当厂区二级防控系统</w:t>
            </w:r>
            <w:r>
              <w:rPr>
                <w:rFonts w:hint="eastAsia" w:ascii="Times New Roman" w:hAnsi="Times New Roman" w:cs="Times New Roman"/>
                <w:snapToGrid/>
                <w:color w:val="auto"/>
                <w:spacing w:val="0"/>
                <w:kern w:val="2"/>
                <w:sz w:val="21"/>
                <w:szCs w:val="21"/>
                <w:lang w:val="en-US" w:eastAsia="zh-CN" w:bidi="ar-SA"/>
              </w:rPr>
              <w:t>无法满足防控需求</w:t>
            </w:r>
            <w:r>
              <w:rPr>
                <w:rFonts w:hint="default" w:ascii="Times New Roman" w:hAnsi="Times New Roman" w:eastAsia="宋体" w:cs="Times New Roman"/>
                <w:snapToGrid/>
                <w:color w:val="auto"/>
                <w:spacing w:val="0"/>
                <w:kern w:val="2"/>
                <w:sz w:val="21"/>
                <w:szCs w:val="21"/>
                <w:lang w:val="en-US" w:eastAsia="zh-CN" w:bidi="ar-SA"/>
              </w:rPr>
              <w:t>时，</w:t>
            </w:r>
            <w:r>
              <w:rPr>
                <w:rFonts w:hint="eastAsia" w:ascii="Times New Roman" w:hAnsi="Times New Roman" w:cs="Times New Roman"/>
                <w:snapToGrid/>
                <w:color w:val="auto"/>
                <w:spacing w:val="0"/>
                <w:kern w:val="2"/>
                <w:sz w:val="21"/>
                <w:szCs w:val="21"/>
                <w:lang w:val="en-US" w:eastAsia="zh-CN" w:bidi="ar-SA"/>
              </w:rPr>
              <w:t>企业需立即汇报金坛生态环境局、金坛区水利局、金坛区航道管理处等上级管理部门，由上级管理部门</w:t>
            </w:r>
            <w:r>
              <w:rPr>
                <w:rFonts w:hint="default" w:ascii="Times New Roman" w:hAnsi="Times New Roman" w:eastAsia="宋体" w:cs="Times New Roman"/>
                <w:snapToGrid/>
                <w:color w:val="auto"/>
                <w:spacing w:val="0"/>
                <w:kern w:val="2"/>
                <w:sz w:val="21"/>
                <w:szCs w:val="21"/>
                <w:lang w:val="en-US" w:eastAsia="zh-CN" w:bidi="ar-SA"/>
              </w:rPr>
              <w:t>在厂区附近的</w:t>
            </w:r>
            <w:r>
              <w:rPr>
                <w:rFonts w:hint="eastAsia" w:ascii="Times New Roman" w:hAnsi="Times New Roman" w:eastAsia="宋体" w:cs="Times New Roman"/>
                <w:snapToGrid/>
                <w:color w:val="auto"/>
                <w:spacing w:val="0"/>
                <w:kern w:val="2"/>
                <w:sz w:val="21"/>
                <w:szCs w:val="21"/>
                <w:lang w:val="en-US" w:eastAsia="zh-CN" w:bidi="ar-SA"/>
              </w:rPr>
              <w:t>市政</w:t>
            </w:r>
            <w:r>
              <w:rPr>
                <w:rFonts w:hint="default" w:ascii="Times New Roman" w:hAnsi="Times New Roman" w:eastAsia="宋体" w:cs="Times New Roman"/>
                <w:snapToGrid/>
                <w:color w:val="auto"/>
                <w:spacing w:val="0"/>
                <w:kern w:val="2"/>
                <w:sz w:val="21"/>
                <w:szCs w:val="21"/>
                <w:lang w:val="en-US" w:eastAsia="zh-CN" w:bidi="ar-SA"/>
              </w:rPr>
              <w:t>雨水管网</w:t>
            </w:r>
            <w:r>
              <w:rPr>
                <w:rFonts w:hint="eastAsia" w:ascii="Times New Roman" w:hAnsi="Times New Roman" w:cs="Times New Roman"/>
                <w:snapToGrid/>
                <w:color w:val="auto"/>
                <w:spacing w:val="0"/>
                <w:kern w:val="2"/>
                <w:sz w:val="21"/>
                <w:szCs w:val="21"/>
                <w:lang w:val="en-US" w:eastAsia="zh-CN" w:bidi="ar-SA"/>
              </w:rPr>
              <w:t>及附近河道</w:t>
            </w:r>
            <w:r>
              <w:rPr>
                <w:rFonts w:hint="default" w:ascii="Times New Roman" w:hAnsi="Times New Roman" w:eastAsia="宋体" w:cs="Times New Roman"/>
                <w:snapToGrid/>
                <w:color w:val="auto"/>
                <w:spacing w:val="0"/>
                <w:kern w:val="2"/>
                <w:sz w:val="21"/>
                <w:szCs w:val="21"/>
                <w:lang w:val="en-US" w:eastAsia="zh-CN" w:bidi="ar-SA"/>
              </w:rPr>
              <w:t>上游、下游方向</w:t>
            </w:r>
            <w:r>
              <w:rPr>
                <w:rFonts w:hint="eastAsia" w:ascii="Times New Roman" w:hAnsi="Times New Roman" w:cs="Times New Roman"/>
                <w:snapToGrid/>
                <w:color w:val="auto"/>
                <w:spacing w:val="0"/>
                <w:kern w:val="2"/>
                <w:sz w:val="21"/>
                <w:szCs w:val="21"/>
                <w:lang w:val="en-US" w:eastAsia="zh-CN" w:bidi="ar-SA"/>
              </w:rPr>
              <w:t>设置拦截措施</w:t>
            </w:r>
            <w:r>
              <w:rPr>
                <w:rFonts w:hint="default" w:ascii="Times New Roman" w:hAnsi="Times New Roman" w:eastAsia="宋体" w:cs="Times New Roman"/>
                <w:snapToGrid/>
                <w:color w:val="auto"/>
                <w:spacing w:val="0"/>
                <w:kern w:val="2"/>
                <w:sz w:val="21"/>
                <w:szCs w:val="21"/>
                <w:lang w:val="en-US" w:eastAsia="zh-CN" w:bidi="ar-SA"/>
              </w:rPr>
              <w:t>，防止事故废水进一步污染下游水环境</w:t>
            </w:r>
            <w:r>
              <w:rPr>
                <w:rFonts w:hint="eastAsia" w:ascii="Times New Roman" w:hAnsi="Times New Roman" w:eastAsia="宋体" w:cs="Times New Roman"/>
                <w:snapToGrid/>
                <w:color w:val="auto"/>
                <w:spacing w:val="0"/>
                <w:kern w:val="2"/>
                <w:sz w:val="21"/>
                <w:szCs w:val="21"/>
                <w:lang w:val="en-US" w:eastAsia="zh-CN" w:bidi="ar-SA"/>
              </w:rPr>
              <w:t>。</w:t>
            </w:r>
          </w:p>
          <w:p w14:paraId="6259796A">
            <w:pPr>
              <w:keepNext w:val="0"/>
              <w:keepLines w:val="0"/>
              <w:pageBreakBefore w:val="0"/>
              <w:widowControl w:val="0"/>
              <w:kinsoku/>
              <w:wordWrap/>
              <w:overflowPunct/>
              <w:topLinePunct w:val="0"/>
              <w:bidi w:val="0"/>
              <w:adjustRightInd w:val="0"/>
              <w:snapToGrid w:val="0"/>
              <w:spacing w:line="500" w:lineRule="exact"/>
              <w:ind w:firstLine="482"/>
              <w:rPr>
                <w:rFonts w:hint="eastAsia" w:ascii="Times New Roman" w:hAnsi="Times New Roman" w:cs="Times New Roman"/>
                <w:color w:val="auto"/>
                <w:sz w:val="21"/>
                <w:szCs w:val="21"/>
              </w:rPr>
            </w:pPr>
            <w:r>
              <w:rPr>
                <w:rFonts w:hint="eastAsia" w:cs="Times New Roman"/>
                <w:color w:val="auto"/>
                <w:sz w:val="21"/>
                <w:szCs w:val="21"/>
                <w:lang w:val="en-US" w:eastAsia="zh-CN"/>
              </w:rPr>
              <w:t>6</w:t>
            </w:r>
            <w:r>
              <w:rPr>
                <w:rFonts w:hint="eastAsia" w:ascii="Times New Roman" w:hAnsi="Times New Roman" w:cs="Times New Roman"/>
                <w:color w:val="auto"/>
                <w:sz w:val="21"/>
                <w:szCs w:val="21"/>
              </w:rPr>
              <w:t>）与常州市金坛区应急管理局的联动</w:t>
            </w:r>
          </w:p>
          <w:p w14:paraId="2DF3678C">
            <w:pPr>
              <w:keepNext w:val="0"/>
              <w:keepLines w:val="0"/>
              <w:pageBreakBefore w:val="0"/>
              <w:widowControl w:val="0"/>
              <w:kinsoku/>
              <w:wordWrap/>
              <w:overflowPunct/>
              <w:topLinePunct w:val="0"/>
              <w:bidi w:val="0"/>
              <w:adjustRightInd w:val="0"/>
              <w:snapToGrid w:val="0"/>
              <w:spacing w:line="500" w:lineRule="exact"/>
              <w:ind w:firstLine="482"/>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根据《省生态环境厅关于做好安全生产专项整治工作实施方案》(苏环办</w:t>
            </w:r>
            <w:r>
              <w:rPr>
                <w:rFonts w:hint="eastAsia" w:cs="Times New Roman"/>
                <w:color w:val="auto"/>
                <w:sz w:val="21"/>
                <w:szCs w:val="21"/>
                <w:lang w:eastAsia="zh-CN"/>
              </w:rPr>
              <w:t>〔2020〕16号</w:t>
            </w:r>
            <w:r>
              <w:rPr>
                <w:rFonts w:hint="eastAsia" w:ascii="Times New Roman" w:hAnsi="Times New Roman" w:eastAsia="宋体" w:cs="Times New Roman"/>
                <w:color w:val="auto"/>
                <w:sz w:val="21"/>
                <w:szCs w:val="21"/>
              </w:rPr>
              <w:t>)、《关于做好生态环境和应急管理部门联动工作的意见》（苏环办</w:t>
            </w:r>
            <w:r>
              <w:rPr>
                <w:rFonts w:hint="eastAsia" w:cs="Times New Roman"/>
                <w:color w:val="auto"/>
                <w:sz w:val="21"/>
                <w:szCs w:val="21"/>
                <w:lang w:eastAsia="zh-CN"/>
              </w:rPr>
              <w:t>〔2020〕101号</w:t>
            </w:r>
            <w:r>
              <w:rPr>
                <w:rFonts w:hint="eastAsia" w:ascii="Times New Roman" w:hAnsi="Times New Roman" w:eastAsia="宋体" w:cs="Times New Roman"/>
                <w:color w:val="auto"/>
                <w:sz w:val="21"/>
                <w:szCs w:val="21"/>
              </w:rPr>
              <w:t>）相关要求，项目建成后需开展大气、固废等污染防治措施安全论证并获得常州市金坛区应急管理局的许可。</w:t>
            </w:r>
          </w:p>
          <w:p w14:paraId="519B58C5">
            <w:pPr>
              <w:keepNext w:val="0"/>
              <w:keepLines w:val="0"/>
              <w:pageBreakBefore w:val="0"/>
              <w:widowControl w:val="0"/>
              <w:kinsoku/>
              <w:wordWrap/>
              <w:overflowPunct/>
              <w:topLinePunct w:val="0"/>
              <w:bidi w:val="0"/>
              <w:snapToGrid w:val="0"/>
              <w:spacing w:line="500" w:lineRule="exact"/>
              <w:ind w:firstLine="420" w:firstLineChars="200"/>
              <w:rPr>
                <w:rFonts w:hint="default" w:ascii="Times New Roman" w:hAnsi="Times New Roman" w:cs="Times New Roman"/>
                <w:bCs/>
                <w:color w:val="auto"/>
                <w:sz w:val="21"/>
                <w:szCs w:val="21"/>
              </w:rPr>
            </w:pPr>
            <w:r>
              <w:rPr>
                <w:rFonts w:hint="eastAsia" w:cs="Times New Roman"/>
                <w:bCs/>
                <w:color w:val="auto"/>
                <w:sz w:val="21"/>
                <w:szCs w:val="21"/>
                <w:lang w:val="en-US" w:eastAsia="zh-CN"/>
              </w:rPr>
              <w:t>3、</w:t>
            </w:r>
            <w:r>
              <w:rPr>
                <w:rFonts w:hint="default" w:ascii="Times New Roman" w:hAnsi="Times New Roman" w:cs="Times New Roman"/>
                <w:bCs/>
                <w:color w:val="auto"/>
                <w:sz w:val="21"/>
                <w:szCs w:val="21"/>
              </w:rPr>
              <w:t>突发环境事件应急预案风险应急计划</w:t>
            </w:r>
          </w:p>
          <w:p w14:paraId="07DBE62E">
            <w:pPr>
              <w:keepNext w:val="0"/>
              <w:keepLines w:val="0"/>
              <w:pageBreakBefore w:val="0"/>
              <w:widowControl w:val="0"/>
              <w:kinsoku/>
              <w:wordWrap/>
              <w:overflowPunct/>
              <w:topLinePunct w:val="0"/>
              <w:bidi w:val="0"/>
              <w:adjustRightInd w:val="0"/>
              <w:snapToGrid w:val="0"/>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企业可委托有资质单位编制突发环境事件应急预案，并按规定报县级以上生态环境主管部门备案。</w:t>
            </w:r>
          </w:p>
          <w:p w14:paraId="3FBE2A63">
            <w:pPr>
              <w:keepNext w:val="0"/>
              <w:keepLines w:val="0"/>
              <w:pageBreakBefore w:val="0"/>
              <w:widowControl w:val="0"/>
              <w:kinsoku/>
              <w:wordWrap/>
              <w:overflowPunct/>
              <w:topLinePunct w:val="0"/>
              <w:bidi w:val="0"/>
              <w:adjustRightInd w:val="0"/>
              <w:snapToGrid w:val="0"/>
              <w:spacing w:line="500" w:lineRule="exact"/>
              <w:rPr>
                <w:rFonts w:hint="default" w:ascii="Times New Roman" w:hAnsi="Times New Roman" w:cs="Times New Roman"/>
                <w:b/>
                <w:bCs/>
                <w:color w:val="auto"/>
                <w:sz w:val="21"/>
                <w:szCs w:val="21"/>
              </w:rPr>
            </w:pPr>
            <w:r>
              <w:rPr>
                <w:rFonts w:hint="eastAsia" w:cs="Times New Roman"/>
                <w:b/>
                <w:bCs/>
                <w:color w:val="auto"/>
                <w:sz w:val="21"/>
                <w:szCs w:val="21"/>
                <w:lang w:eastAsia="zh-CN"/>
              </w:rPr>
              <w:t>八</w:t>
            </w:r>
            <w:r>
              <w:rPr>
                <w:rFonts w:hint="default" w:ascii="Times New Roman" w:hAnsi="Times New Roman" w:cs="Times New Roman"/>
                <w:b/>
                <w:bCs/>
                <w:color w:val="auto"/>
                <w:sz w:val="21"/>
                <w:szCs w:val="21"/>
              </w:rPr>
              <w:t>、电磁辐射</w:t>
            </w:r>
          </w:p>
          <w:p w14:paraId="343826DF">
            <w:pPr>
              <w:keepNext w:val="0"/>
              <w:keepLines w:val="0"/>
              <w:pageBreakBefore w:val="0"/>
              <w:widowControl w:val="0"/>
              <w:kinsoku/>
              <w:wordWrap/>
              <w:overflowPunct/>
              <w:topLinePunct w:val="0"/>
              <w:bidi w:val="0"/>
              <w:adjustRightInd w:val="0"/>
              <w:snapToGrid w:val="0"/>
              <w:spacing w:line="500" w:lineRule="exact"/>
              <w:ind w:firstLine="420" w:firstLineChars="200"/>
              <w:rPr>
                <w:rFonts w:hint="default" w:ascii="Times New Roman" w:hAnsi="Times New Roman" w:eastAsia="黑体" w:cs="Times New Roman"/>
                <w:snapToGrid w:val="0"/>
                <w:color w:val="auto"/>
                <w:sz w:val="21"/>
                <w:szCs w:val="21"/>
                <w:vertAlign w:val="baseline"/>
              </w:rPr>
            </w:pPr>
            <w:r>
              <w:rPr>
                <w:rFonts w:hint="default" w:ascii="Times New Roman" w:hAnsi="Times New Roman" w:cs="Times New Roman"/>
                <w:bCs/>
                <w:color w:val="auto"/>
                <w:sz w:val="21"/>
                <w:szCs w:val="21"/>
              </w:rPr>
              <w:t>本项目不涉及</w:t>
            </w:r>
            <w:r>
              <w:rPr>
                <w:rFonts w:hint="default" w:ascii="Times New Roman" w:hAnsi="Times New Roman" w:eastAsia="宋体" w:cs="Times New Roman"/>
                <w:bCs/>
                <w:color w:val="auto"/>
                <w:sz w:val="21"/>
                <w:szCs w:val="21"/>
              </w:rPr>
              <w:t>电磁辐射</w:t>
            </w:r>
            <w:r>
              <w:rPr>
                <w:rFonts w:hint="default" w:ascii="Times New Roman" w:hAnsi="Times New Roman" w:cs="Times New Roman"/>
                <w:bCs/>
                <w:color w:val="auto"/>
                <w:sz w:val="21"/>
                <w:szCs w:val="21"/>
              </w:rPr>
              <w:t>。</w:t>
            </w:r>
          </w:p>
        </w:tc>
      </w:tr>
    </w:tbl>
    <w:p w14:paraId="1D8CCA02">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rPr>
        <w:sectPr>
          <w:headerReference r:id="rId11" w:type="default"/>
          <w:pgSz w:w="11906" w:h="16838"/>
          <w:pgMar w:top="1417" w:right="1417" w:bottom="1417" w:left="1417" w:header="851" w:footer="1134" w:gutter="0"/>
          <w:pgBorders>
            <w:top w:val="none" w:sz="0" w:space="0"/>
            <w:left w:val="none" w:sz="0" w:space="0"/>
            <w:bottom w:val="none" w:sz="0" w:space="0"/>
            <w:right w:val="none" w:sz="0" w:space="0"/>
          </w:pgBorders>
          <w:pgNumType w:fmt="decimal"/>
          <w:cols w:space="720" w:num="1"/>
          <w:docGrid w:linePitch="312" w:charSpace="0"/>
        </w:sectPr>
      </w:pPr>
    </w:p>
    <w:p w14:paraId="2FE462A3">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rPr>
      </w:pPr>
      <w:bookmarkStart w:id="15" w:name="_Toc9753"/>
      <w:r>
        <w:rPr>
          <w:rFonts w:hint="default" w:ascii="Times New Roman" w:hAnsi="Times New Roman" w:eastAsia="黑体" w:cs="Times New Roman"/>
          <w:snapToGrid w:val="0"/>
          <w:color w:val="auto"/>
          <w:sz w:val="30"/>
          <w:szCs w:val="30"/>
        </w:rPr>
        <w:t>五、</w:t>
      </w:r>
      <w:bookmarkStart w:id="16" w:name="_Hlk54167917"/>
      <w:r>
        <w:rPr>
          <w:rFonts w:hint="default" w:ascii="Times New Roman" w:hAnsi="Times New Roman" w:eastAsia="黑体" w:cs="Times New Roman"/>
          <w:snapToGrid w:val="0"/>
          <w:color w:val="auto"/>
          <w:sz w:val="30"/>
          <w:szCs w:val="30"/>
        </w:rPr>
        <w:t>环境保护措施监督检查清单</w:t>
      </w:r>
      <w:bookmarkEnd w:id="13"/>
      <w:bookmarkEnd w:id="15"/>
      <w:bookmarkEnd w:id="16"/>
    </w:p>
    <w:tbl>
      <w:tblPr>
        <w:tblStyle w:val="3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287"/>
        <w:gridCol w:w="1200"/>
        <w:gridCol w:w="1554"/>
        <w:gridCol w:w="2007"/>
        <w:gridCol w:w="3079"/>
      </w:tblGrid>
      <w:tr w14:paraId="38AC16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tcBorders>
              <w:tl2br w:val="single" w:color="auto" w:sz="4" w:space="0"/>
            </w:tcBorders>
            <w:noWrap w:val="0"/>
            <w:vAlign w:val="center"/>
          </w:tcPr>
          <w:p w14:paraId="2FC3469E">
            <w:pPr>
              <w:adjustRightInd w:val="0"/>
              <w:snapToGrid w:val="0"/>
              <w:spacing w:line="240" w:lineRule="auto"/>
              <w:ind w:firstLine="211" w:firstLineChars="100"/>
              <w:jc w:val="both"/>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内容</w:t>
            </w:r>
          </w:p>
          <w:p w14:paraId="43E721C7">
            <w:pPr>
              <w:adjustRightInd w:val="0"/>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1200" w:type="dxa"/>
            <w:noWrap w:val="0"/>
            <w:vAlign w:val="center"/>
          </w:tcPr>
          <w:p w14:paraId="6BFA05AF">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排放口</w:t>
            </w:r>
            <w:r>
              <w:rPr>
                <w:rFonts w:hint="eastAsia" w:ascii="宋体" w:hAnsi="宋体" w:eastAsia="宋体" w:cs="宋体"/>
                <w:b/>
                <w:bCs/>
                <w:color w:val="auto"/>
                <w:sz w:val="21"/>
                <w:szCs w:val="21"/>
                <w:highlight w:val="none"/>
              </w:rPr>
              <w:t>(</w:t>
            </w:r>
            <w:r>
              <w:rPr>
                <w:rFonts w:hint="default" w:ascii="Times New Roman" w:hAnsi="Times New Roman" w:eastAsia="宋体" w:cs="Times New Roman"/>
                <w:b/>
                <w:bCs/>
                <w:color w:val="auto"/>
                <w:sz w:val="21"/>
                <w:szCs w:val="21"/>
                <w:highlight w:val="none"/>
              </w:rPr>
              <w:t>编号、名称</w:t>
            </w:r>
            <w:r>
              <w:rPr>
                <w:rFonts w:hint="eastAsia" w:ascii="宋体" w:hAnsi="宋体" w:eastAsia="宋体" w:cs="宋体"/>
                <w:b/>
                <w:bCs/>
                <w:color w:val="auto"/>
                <w:sz w:val="21"/>
                <w:szCs w:val="21"/>
                <w:highlight w:val="none"/>
              </w:rPr>
              <w:t>)</w:t>
            </w:r>
            <w:r>
              <w:rPr>
                <w:rFonts w:hint="default" w:ascii="Times New Roman" w:hAnsi="Times New Roman" w:eastAsia="宋体" w:cs="Times New Roman"/>
                <w:b/>
                <w:bCs/>
                <w:color w:val="auto"/>
                <w:sz w:val="21"/>
                <w:szCs w:val="21"/>
                <w:highlight w:val="none"/>
              </w:rPr>
              <w:t>/污染源</w:t>
            </w:r>
          </w:p>
        </w:tc>
        <w:tc>
          <w:tcPr>
            <w:tcW w:w="1554" w:type="dxa"/>
            <w:noWrap w:val="0"/>
            <w:vAlign w:val="center"/>
          </w:tcPr>
          <w:p w14:paraId="77100DBD">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2007" w:type="dxa"/>
            <w:noWrap w:val="0"/>
            <w:vAlign w:val="center"/>
          </w:tcPr>
          <w:p w14:paraId="35E368FE">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环境保护措施</w:t>
            </w:r>
          </w:p>
        </w:tc>
        <w:tc>
          <w:tcPr>
            <w:tcW w:w="3079" w:type="dxa"/>
            <w:noWrap w:val="0"/>
            <w:vAlign w:val="center"/>
          </w:tcPr>
          <w:p w14:paraId="443E0F76">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r>
      <w:tr w14:paraId="7E8E3F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vMerge w:val="restart"/>
            <w:noWrap w:val="0"/>
            <w:vAlign w:val="center"/>
          </w:tcPr>
          <w:p w14:paraId="536BA9F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1200" w:type="dxa"/>
            <w:noWrap w:val="0"/>
            <w:vAlign w:val="center"/>
          </w:tcPr>
          <w:p w14:paraId="4589112C">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DA001</w:t>
            </w:r>
          </w:p>
        </w:tc>
        <w:tc>
          <w:tcPr>
            <w:tcW w:w="1554" w:type="dxa"/>
            <w:tcBorders>
              <w:bottom w:val="single" w:color="auto" w:sz="4" w:space="0"/>
            </w:tcBorders>
            <w:noWrap w:val="0"/>
            <w:vAlign w:val="center"/>
          </w:tcPr>
          <w:p w14:paraId="3F382D0C">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非甲烷总烃</w:t>
            </w:r>
          </w:p>
        </w:tc>
        <w:tc>
          <w:tcPr>
            <w:tcW w:w="2007" w:type="dxa"/>
            <w:noWrap w:val="0"/>
            <w:vAlign w:val="center"/>
          </w:tcPr>
          <w:p w14:paraId="3C73990A">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eastAsia"/>
                <w:bCs/>
                <w:color w:val="auto"/>
                <w:szCs w:val="21"/>
                <w:highlight w:val="none"/>
              </w:rPr>
              <w:t>1套</w:t>
            </w:r>
            <w:r>
              <w:rPr>
                <w:bCs/>
                <w:color w:val="auto"/>
                <w:szCs w:val="21"/>
                <w:highlight w:val="none"/>
              </w:rPr>
              <w:t>二级活性炭吸附装置</w:t>
            </w:r>
            <w:r>
              <w:rPr>
                <w:rFonts w:hint="eastAsia"/>
                <w:bCs/>
                <w:color w:val="auto"/>
                <w:szCs w:val="21"/>
                <w:highlight w:val="none"/>
                <w:lang w:eastAsia="zh-CN"/>
              </w:rPr>
              <w:t>（</w:t>
            </w:r>
            <w:r>
              <w:rPr>
                <w:rFonts w:hint="eastAsia"/>
                <w:bCs/>
                <w:color w:val="auto"/>
                <w:szCs w:val="21"/>
                <w:highlight w:val="none"/>
                <w:lang w:val="en-US" w:eastAsia="zh-CN"/>
              </w:rPr>
              <w:t>TA001</w:t>
            </w:r>
            <w:r>
              <w:rPr>
                <w:rFonts w:hint="eastAsia"/>
                <w:bCs/>
                <w:color w:val="auto"/>
                <w:szCs w:val="21"/>
                <w:highlight w:val="none"/>
                <w:lang w:eastAsia="zh-CN"/>
              </w:rPr>
              <w:t>）</w:t>
            </w:r>
            <w:r>
              <w:rPr>
                <w:bCs/>
                <w:color w:val="auto"/>
                <w:szCs w:val="21"/>
                <w:highlight w:val="none"/>
              </w:rPr>
              <w:t>+</w:t>
            </w:r>
            <w:r>
              <w:rPr>
                <w:rFonts w:hint="eastAsia"/>
                <w:bCs/>
                <w:color w:val="auto"/>
                <w:szCs w:val="21"/>
                <w:highlight w:val="none"/>
                <w:lang w:val="en-US" w:eastAsia="zh-CN"/>
              </w:rPr>
              <w:t>15</w:t>
            </w:r>
            <w:r>
              <w:rPr>
                <w:bCs/>
                <w:color w:val="auto"/>
                <w:szCs w:val="21"/>
                <w:highlight w:val="none"/>
              </w:rPr>
              <w:t>m排气筒，设计风量</w:t>
            </w:r>
            <w:r>
              <w:rPr>
                <w:rFonts w:hint="eastAsia"/>
                <w:bCs/>
                <w:color w:val="auto"/>
                <w:szCs w:val="21"/>
                <w:highlight w:val="none"/>
                <w:lang w:val="en-US" w:eastAsia="zh-CN"/>
              </w:rPr>
              <w:t>12000</w:t>
            </w:r>
            <w:r>
              <w:rPr>
                <w:bCs/>
                <w:color w:val="auto"/>
                <w:szCs w:val="21"/>
                <w:highlight w:val="none"/>
              </w:rPr>
              <w:t>m</w:t>
            </w:r>
            <w:r>
              <w:rPr>
                <w:bCs/>
                <w:color w:val="auto"/>
                <w:szCs w:val="21"/>
                <w:highlight w:val="none"/>
                <w:vertAlign w:val="superscript"/>
              </w:rPr>
              <w:t>3</w:t>
            </w:r>
            <w:r>
              <w:rPr>
                <w:bCs/>
                <w:color w:val="auto"/>
                <w:szCs w:val="21"/>
                <w:highlight w:val="none"/>
              </w:rPr>
              <w:t>/h</w:t>
            </w:r>
          </w:p>
        </w:tc>
        <w:tc>
          <w:tcPr>
            <w:tcW w:w="3079" w:type="dxa"/>
            <w:noWrap w:val="0"/>
            <w:vAlign w:val="center"/>
          </w:tcPr>
          <w:p w14:paraId="0222FF6C">
            <w:pPr>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color w:val="auto"/>
                <w:szCs w:val="21"/>
              </w:rPr>
              <w:t>《印刷工业大气污染物排放标准》（DB32／4438-2022）</w:t>
            </w:r>
            <w:r>
              <w:rPr>
                <w:rFonts w:hint="eastAsia" w:eastAsia="宋体"/>
                <w:color w:val="auto"/>
                <w:sz w:val="21"/>
                <w:szCs w:val="21"/>
                <w:highlight w:val="none"/>
                <w:lang w:val="en-US" w:eastAsia="zh-CN"/>
              </w:rPr>
              <w:t>表</w:t>
            </w:r>
            <w:r>
              <w:rPr>
                <w:rFonts w:hint="eastAsia"/>
                <w:color w:val="auto"/>
                <w:sz w:val="21"/>
                <w:szCs w:val="21"/>
                <w:highlight w:val="none"/>
                <w:lang w:val="en-US" w:eastAsia="zh-CN"/>
              </w:rPr>
              <w:t>1</w:t>
            </w:r>
            <w:r>
              <w:rPr>
                <w:color w:val="auto"/>
                <w:sz w:val="21"/>
                <w:szCs w:val="21"/>
                <w:highlight w:val="none"/>
              </w:rPr>
              <w:t>中标准</w:t>
            </w:r>
          </w:p>
        </w:tc>
      </w:tr>
      <w:tr w14:paraId="3C810D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vMerge w:val="continue"/>
            <w:noWrap w:val="0"/>
            <w:vAlign w:val="center"/>
          </w:tcPr>
          <w:p w14:paraId="1606545F">
            <w:pPr>
              <w:adjustRightInd w:val="0"/>
              <w:snapToGrid w:val="0"/>
              <w:jc w:val="center"/>
              <w:rPr>
                <w:rFonts w:hint="default" w:ascii="Times New Roman" w:hAnsi="Times New Roman" w:eastAsia="宋体" w:cs="Times New Roman"/>
                <w:color w:val="auto"/>
                <w:sz w:val="21"/>
                <w:szCs w:val="21"/>
                <w:highlight w:val="none"/>
              </w:rPr>
            </w:pPr>
          </w:p>
        </w:tc>
        <w:tc>
          <w:tcPr>
            <w:tcW w:w="1200" w:type="dxa"/>
            <w:noWrap w:val="0"/>
            <w:vAlign w:val="center"/>
          </w:tcPr>
          <w:p w14:paraId="311F02C4">
            <w:pPr>
              <w:adjustRightInd w:val="0"/>
              <w:snapToGrid w:val="0"/>
              <w:spacing w:line="240" w:lineRule="auto"/>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厂界</w:t>
            </w:r>
          </w:p>
        </w:tc>
        <w:tc>
          <w:tcPr>
            <w:tcW w:w="1554" w:type="dxa"/>
            <w:tcBorders>
              <w:bottom w:val="single" w:color="auto" w:sz="4" w:space="0"/>
            </w:tcBorders>
            <w:noWrap w:val="0"/>
            <w:vAlign w:val="center"/>
          </w:tcPr>
          <w:p w14:paraId="58506332">
            <w:pPr>
              <w:adjustRightInd w:val="0"/>
              <w:snapToGrid w:val="0"/>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lang w:val="en-US" w:eastAsia="zh-CN"/>
              </w:rPr>
              <w:t>非甲烷总烃</w:t>
            </w:r>
          </w:p>
        </w:tc>
        <w:tc>
          <w:tcPr>
            <w:tcW w:w="2007" w:type="dxa"/>
            <w:noWrap w:val="0"/>
            <w:vAlign w:val="center"/>
          </w:tcPr>
          <w:p w14:paraId="0CF93493">
            <w:pPr>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加强车间通风</w:t>
            </w:r>
          </w:p>
        </w:tc>
        <w:tc>
          <w:tcPr>
            <w:tcW w:w="3079" w:type="dxa"/>
            <w:noWrap w:val="0"/>
            <w:vAlign w:val="center"/>
          </w:tcPr>
          <w:p w14:paraId="4ABC4E76">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bidi="ar"/>
              </w:rPr>
            </w:pPr>
            <w:r>
              <w:rPr>
                <w:rFonts w:hint="eastAsia"/>
                <w:color w:val="auto"/>
                <w:kern w:val="0"/>
                <w:sz w:val="21"/>
                <w:szCs w:val="21"/>
                <w:highlight w:val="none"/>
                <w:lang w:val="en-US" w:eastAsia="zh-CN"/>
              </w:rPr>
              <w:t>厂界无组织</w:t>
            </w:r>
            <w:r>
              <w:rPr>
                <w:color w:val="auto"/>
                <w:kern w:val="0"/>
                <w:sz w:val="21"/>
                <w:szCs w:val="21"/>
                <w:highlight w:val="none"/>
              </w:rPr>
              <w:t>排放</w:t>
            </w:r>
            <w:r>
              <w:rPr>
                <w:rFonts w:hint="eastAsia"/>
                <w:color w:val="auto"/>
                <w:kern w:val="0"/>
                <w:sz w:val="21"/>
                <w:szCs w:val="21"/>
                <w:highlight w:val="none"/>
                <w:lang w:val="en-US" w:eastAsia="zh-CN"/>
              </w:rPr>
              <w:t>的非甲烷总烃</w:t>
            </w:r>
            <w:r>
              <w:rPr>
                <w:color w:val="auto"/>
                <w:kern w:val="0"/>
                <w:sz w:val="21"/>
                <w:szCs w:val="21"/>
                <w:highlight w:val="none"/>
              </w:rPr>
              <w:t>执行《大气污染物综合排放标准》（DB32/4041-2021）</w:t>
            </w:r>
            <w:r>
              <w:rPr>
                <w:rFonts w:hint="eastAsia" w:eastAsia="宋体"/>
                <w:color w:val="auto"/>
                <w:sz w:val="21"/>
                <w:szCs w:val="21"/>
                <w:highlight w:val="none"/>
                <w:lang w:val="en-US" w:eastAsia="zh-CN"/>
              </w:rPr>
              <w:t>表</w:t>
            </w:r>
            <w:r>
              <w:rPr>
                <w:rFonts w:hint="eastAsia"/>
                <w:color w:val="auto"/>
                <w:sz w:val="21"/>
                <w:szCs w:val="21"/>
                <w:highlight w:val="none"/>
                <w:lang w:val="en-US" w:eastAsia="zh-CN"/>
              </w:rPr>
              <w:t>3</w:t>
            </w:r>
            <w:r>
              <w:rPr>
                <w:color w:val="auto"/>
                <w:sz w:val="21"/>
                <w:szCs w:val="21"/>
                <w:highlight w:val="none"/>
              </w:rPr>
              <w:t>中标准</w:t>
            </w:r>
            <w:r>
              <w:rPr>
                <w:rFonts w:hint="eastAsia"/>
                <w:color w:val="auto"/>
                <w:kern w:val="0"/>
                <w:sz w:val="21"/>
                <w:szCs w:val="21"/>
                <w:highlight w:val="none"/>
                <w:lang w:eastAsia="zh-CN"/>
              </w:rPr>
              <w:t>；</w:t>
            </w:r>
            <w:r>
              <w:rPr>
                <w:color w:val="auto"/>
                <w:kern w:val="0"/>
                <w:sz w:val="21"/>
                <w:szCs w:val="21"/>
                <w:highlight w:val="none"/>
              </w:rPr>
              <w:t>厂区内</w:t>
            </w:r>
            <w:r>
              <w:rPr>
                <w:rFonts w:hint="eastAsia"/>
                <w:color w:val="auto"/>
                <w:kern w:val="0"/>
                <w:sz w:val="21"/>
                <w:szCs w:val="21"/>
                <w:highlight w:val="none"/>
                <w:lang w:val="en-US" w:eastAsia="zh-CN"/>
              </w:rPr>
              <w:t>非甲烷总烃</w:t>
            </w:r>
            <w:r>
              <w:rPr>
                <w:color w:val="auto"/>
                <w:kern w:val="0"/>
                <w:sz w:val="21"/>
                <w:szCs w:val="21"/>
                <w:highlight w:val="none"/>
              </w:rPr>
              <w:t>无组织排放执行</w:t>
            </w:r>
            <w:r>
              <w:rPr>
                <w:color w:val="auto"/>
                <w:szCs w:val="21"/>
              </w:rPr>
              <w:t>《印刷工业大气污染物排放标准》（DB32／4438-2022）</w:t>
            </w:r>
            <w:r>
              <w:rPr>
                <w:color w:val="auto"/>
                <w:kern w:val="0"/>
                <w:sz w:val="21"/>
                <w:szCs w:val="21"/>
                <w:highlight w:val="none"/>
              </w:rPr>
              <w:t>中表</w:t>
            </w:r>
            <w:r>
              <w:rPr>
                <w:rFonts w:hint="eastAsia"/>
                <w:color w:val="auto"/>
                <w:kern w:val="0"/>
                <w:sz w:val="21"/>
                <w:szCs w:val="21"/>
                <w:highlight w:val="none"/>
                <w:lang w:val="en-US" w:eastAsia="zh-CN"/>
              </w:rPr>
              <w:t>3</w:t>
            </w:r>
            <w:r>
              <w:rPr>
                <w:color w:val="auto"/>
                <w:kern w:val="0"/>
                <w:sz w:val="21"/>
                <w:szCs w:val="21"/>
                <w:highlight w:val="none"/>
              </w:rPr>
              <w:t>中标准限值</w:t>
            </w:r>
          </w:p>
        </w:tc>
      </w:tr>
      <w:tr w14:paraId="0B0DFF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vMerge w:val="restart"/>
            <w:noWrap w:val="0"/>
            <w:vAlign w:val="center"/>
          </w:tcPr>
          <w:p w14:paraId="7EE38AD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w:t>
            </w:r>
          </w:p>
        </w:tc>
        <w:tc>
          <w:tcPr>
            <w:tcW w:w="1200" w:type="dxa"/>
            <w:vMerge w:val="restart"/>
            <w:noWrap w:val="0"/>
            <w:vAlign w:val="center"/>
          </w:tcPr>
          <w:p w14:paraId="36AC79AF">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生活污水</w:t>
            </w:r>
          </w:p>
        </w:tc>
        <w:tc>
          <w:tcPr>
            <w:tcW w:w="1554" w:type="dxa"/>
            <w:noWrap w:val="0"/>
            <w:vAlign w:val="center"/>
          </w:tcPr>
          <w:p w14:paraId="75D114A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2007" w:type="dxa"/>
            <w:vMerge w:val="restart"/>
            <w:noWrap w:val="0"/>
            <w:vAlign w:val="center"/>
          </w:tcPr>
          <w:p w14:paraId="09F0184D">
            <w:pPr>
              <w:pStyle w:val="99"/>
              <w:adjustRightInd w:val="0"/>
              <w:snapToGrid w:val="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接管至</w:t>
            </w:r>
            <w:r>
              <w:rPr>
                <w:rFonts w:hint="eastAsia" w:eastAsia="宋体" w:cs="Times New Roman"/>
                <w:color w:val="auto"/>
                <w:sz w:val="21"/>
                <w:szCs w:val="21"/>
                <w:highlight w:val="none"/>
                <w:lang w:val="en-US" w:eastAsia="zh-CN"/>
              </w:rPr>
              <w:t>常州市金坛区溪城污水处理有限公司</w:t>
            </w:r>
          </w:p>
        </w:tc>
        <w:tc>
          <w:tcPr>
            <w:tcW w:w="3079" w:type="dxa"/>
            <w:vMerge w:val="restart"/>
            <w:noWrap w:val="0"/>
            <w:vAlign w:val="center"/>
          </w:tcPr>
          <w:p w14:paraId="7D1B351F">
            <w:pPr>
              <w:pStyle w:val="99"/>
              <w:adjustRightInd w:val="0"/>
              <w:snapToGrid w:val="0"/>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eastAsia="zh-CN"/>
              </w:rPr>
              <w:t>常州市金坛区溪城污水处理有限公司</w:t>
            </w:r>
            <w:r>
              <w:rPr>
                <w:rFonts w:hint="default" w:ascii="Times New Roman" w:hAnsi="Times New Roman" w:eastAsia="宋体" w:cs="Times New Roman"/>
                <w:color w:val="auto"/>
                <w:sz w:val="21"/>
                <w:szCs w:val="21"/>
                <w:highlight w:val="none"/>
              </w:rPr>
              <w:t>接管限值要求</w:t>
            </w:r>
          </w:p>
        </w:tc>
      </w:tr>
      <w:tr w14:paraId="541AFF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vMerge w:val="continue"/>
            <w:noWrap w:val="0"/>
            <w:vAlign w:val="center"/>
          </w:tcPr>
          <w:p w14:paraId="4BF89020">
            <w:pPr>
              <w:adjustRightInd w:val="0"/>
              <w:snapToGrid w:val="0"/>
              <w:jc w:val="center"/>
              <w:rPr>
                <w:rFonts w:hint="default" w:ascii="Times New Roman" w:hAnsi="Times New Roman" w:eastAsia="宋体" w:cs="Times New Roman"/>
                <w:color w:val="auto"/>
                <w:sz w:val="21"/>
                <w:szCs w:val="21"/>
                <w:highlight w:val="none"/>
              </w:rPr>
            </w:pPr>
          </w:p>
        </w:tc>
        <w:tc>
          <w:tcPr>
            <w:tcW w:w="1200" w:type="dxa"/>
            <w:vMerge w:val="continue"/>
            <w:noWrap w:val="0"/>
            <w:vAlign w:val="center"/>
          </w:tcPr>
          <w:p w14:paraId="6AB173FB">
            <w:pPr>
              <w:adjustRightInd w:val="0"/>
              <w:snapToGrid w:val="0"/>
              <w:jc w:val="center"/>
              <w:rPr>
                <w:rFonts w:hint="default" w:ascii="Times New Roman" w:hAnsi="Times New Roman" w:eastAsia="宋体" w:cs="Times New Roman"/>
                <w:color w:val="auto"/>
                <w:sz w:val="21"/>
                <w:szCs w:val="21"/>
                <w:highlight w:val="none"/>
              </w:rPr>
            </w:pPr>
          </w:p>
        </w:tc>
        <w:tc>
          <w:tcPr>
            <w:tcW w:w="1554" w:type="dxa"/>
            <w:noWrap w:val="0"/>
            <w:vAlign w:val="center"/>
          </w:tcPr>
          <w:p w14:paraId="1B439140">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SS</w:t>
            </w:r>
          </w:p>
        </w:tc>
        <w:tc>
          <w:tcPr>
            <w:tcW w:w="2007" w:type="dxa"/>
            <w:vMerge w:val="continue"/>
            <w:noWrap w:val="0"/>
            <w:vAlign w:val="center"/>
          </w:tcPr>
          <w:p w14:paraId="22CE5D0D">
            <w:pPr>
              <w:adjustRightInd w:val="0"/>
              <w:snapToGrid w:val="0"/>
              <w:jc w:val="center"/>
              <w:rPr>
                <w:rFonts w:hint="default" w:ascii="Times New Roman" w:hAnsi="Times New Roman" w:eastAsia="宋体" w:cs="Times New Roman"/>
                <w:color w:val="auto"/>
                <w:sz w:val="21"/>
                <w:szCs w:val="21"/>
                <w:highlight w:val="none"/>
              </w:rPr>
            </w:pPr>
          </w:p>
        </w:tc>
        <w:tc>
          <w:tcPr>
            <w:tcW w:w="3079" w:type="dxa"/>
            <w:vMerge w:val="continue"/>
            <w:noWrap w:val="0"/>
            <w:vAlign w:val="center"/>
          </w:tcPr>
          <w:p w14:paraId="1F595778">
            <w:pPr>
              <w:adjustRightInd w:val="0"/>
              <w:snapToGrid w:val="0"/>
              <w:jc w:val="center"/>
              <w:rPr>
                <w:rFonts w:hint="default" w:ascii="Times New Roman" w:hAnsi="Times New Roman" w:eastAsia="宋体" w:cs="Times New Roman"/>
                <w:color w:val="auto"/>
                <w:sz w:val="21"/>
                <w:szCs w:val="21"/>
                <w:highlight w:val="none"/>
              </w:rPr>
            </w:pPr>
          </w:p>
        </w:tc>
      </w:tr>
      <w:tr w14:paraId="42C082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vMerge w:val="continue"/>
            <w:noWrap w:val="0"/>
            <w:vAlign w:val="center"/>
          </w:tcPr>
          <w:p w14:paraId="7AD2856B">
            <w:pPr>
              <w:adjustRightInd w:val="0"/>
              <w:snapToGrid w:val="0"/>
              <w:jc w:val="center"/>
              <w:rPr>
                <w:rFonts w:hint="default" w:ascii="Times New Roman" w:hAnsi="Times New Roman" w:eastAsia="宋体" w:cs="Times New Roman"/>
                <w:color w:val="auto"/>
                <w:sz w:val="21"/>
                <w:szCs w:val="21"/>
                <w:highlight w:val="none"/>
              </w:rPr>
            </w:pPr>
          </w:p>
        </w:tc>
        <w:tc>
          <w:tcPr>
            <w:tcW w:w="1200" w:type="dxa"/>
            <w:vMerge w:val="continue"/>
            <w:noWrap w:val="0"/>
            <w:vAlign w:val="center"/>
          </w:tcPr>
          <w:p w14:paraId="39871E83">
            <w:pPr>
              <w:adjustRightInd w:val="0"/>
              <w:snapToGrid w:val="0"/>
              <w:jc w:val="center"/>
              <w:rPr>
                <w:rFonts w:hint="default" w:ascii="Times New Roman" w:hAnsi="Times New Roman" w:eastAsia="宋体" w:cs="Times New Roman"/>
                <w:color w:val="auto"/>
                <w:sz w:val="21"/>
                <w:szCs w:val="21"/>
                <w:highlight w:val="none"/>
              </w:rPr>
            </w:pPr>
          </w:p>
        </w:tc>
        <w:tc>
          <w:tcPr>
            <w:tcW w:w="1554" w:type="dxa"/>
            <w:noWrap w:val="0"/>
            <w:vAlign w:val="center"/>
          </w:tcPr>
          <w:p w14:paraId="4545C26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氨氮</w:t>
            </w:r>
          </w:p>
        </w:tc>
        <w:tc>
          <w:tcPr>
            <w:tcW w:w="2007" w:type="dxa"/>
            <w:vMerge w:val="continue"/>
            <w:noWrap w:val="0"/>
            <w:vAlign w:val="center"/>
          </w:tcPr>
          <w:p w14:paraId="2E888E58">
            <w:pPr>
              <w:adjustRightInd w:val="0"/>
              <w:snapToGrid w:val="0"/>
              <w:jc w:val="center"/>
              <w:rPr>
                <w:rFonts w:hint="default" w:ascii="Times New Roman" w:hAnsi="Times New Roman" w:eastAsia="宋体" w:cs="Times New Roman"/>
                <w:color w:val="auto"/>
                <w:sz w:val="21"/>
                <w:szCs w:val="21"/>
                <w:highlight w:val="none"/>
              </w:rPr>
            </w:pPr>
          </w:p>
        </w:tc>
        <w:tc>
          <w:tcPr>
            <w:tcW w:w="3079" w:type="dxa"/>
            <w:vMerge w:val="continue"/>
            <w:noWrap w:val="0"/>
            <w:vAlign w:val="center"/>
          </w:tcPr>
          <w:p w14:paraId="45F48C1D">
            <w:pPr>
              <w:adjustRightInd w:val="0"/>
              <w:snapToGrid w:val="0"/>
              <w:jc w:val="center"/>
              <w:rPr>
                <w:rFonts w:hint="default" w:ascii="Times New Roman" w:hAnsi="Times New Roman" w:eastAsia="宋体" w:cs="Times New Roman"/>
                <w:color w:val="auto"/>
                <w:sz w:val="21"/>
                <w:szCs w:val="21"/>
                <w:highlight w:val="none"/>
              </w:rPr>
            </w:pPr>
          </w:p>
        </w:tc>
      </w:tr>
      <w:tr w14:paraId="4BEB29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vMerge w:val="continue"/>
            <w:noWrap w:val="0"/>
            <w:vAlign w:val="center"/>
          </w:tcPr>
          <w:p w14:paraId="4A2C061B">
            <w:pPr>
              <w:adjustRightInd w:val="0"/>
              <w:snapToGrid w:val="0"/>
              <w:jc w:val="center"/>
              <w:rPr>
                <w:rFonts w:hint="default" w:ascii="Times New Roman" w:hAnsi="Times New Roman" w:eastAsia="宋体" w:cs="Times New Roman"/>
                <w:color w:val="auto"/>
                <w:sz w:val="21"/>
                <w:szCs w:val="21"/>
                <w:highlight w:val="none"/>
              </w:rPr>
            </w:pPr>
          </w:p>
        </w:tc>
        <w:tc>
          <w:tcPr>
            <w:tcW w:w="1200" w:type="dxa"/>
            <w:vMerge w:val="continue"/>
            <w:noWrap w:val="0"/>
            <w:vAlign w:val="center"/>
          </w:tcPr>
          <w:p w14:paraId="258CEB6A">
            <w:pPr>
              <w:adjustRightInd w:val="0"/>
              <w:snapToGrid w:val="0"/>
              <w:jc w:val="center"/>
              <w:rPr>
                <w:rFonts w:hint="default" w:ascii="Times New Roman" w:hAnsi="Times New Roman" w:eastAsia="宋体" w:cs="Times New Roman"/>
                <w:color w:val="auto"/>
                <w:sz w:val="21"/>
                <w:szCs w:val="21"/>
                <w:highlight w:val="none"/>
              </w:rPr>
            </w:pPr>
          </w:p>
        </w:tc>
        <w:tc>
          <w:tcPr>
            <w:tcW w:w="1554" w:type="dxa"/>
            <w:noWrap w:val="0"/>
            <w:vAlign w:val="center"/>
          </w:tcPr>
          <w:p w14:paraId="08FCD15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总磷</w:t>
            </w:r>
          </w:p>
        </w:tc>
        <w:tc>
          <w:tcPr>
            <w:tcW w:w="2007" w:type="dxa"/>
            <w:vMerge w:val="continue"/>
            <w:noWrap w:val="0"/>
            <w:vAlign w:val="center"/>
          </w:tcPr>
          <w:p w14:paraId="4DD59521">
            <w:pPr>
              <w:adjustRightInd w:val="0"/>
              <w:snapToGrid w:val="0"/>
              <w:jc w:val="center"/>
              <w:rPr>
                <w:rFonts w:hint="default" w:ascii="Times New Roman" w:hAnsi="Times New Roman" w:eastAsia="宋体" w:cs="Times New Roman"/>
                <w:color w:val="auto"/>
                <w:sz w:val="21"/>
                <w:szCs w:val="21"/>
                <w:highlight w:val="none"/>
              </w:rPr>
            </w:pPr>
          </w:p>
        </w:tc>
        <w:tc>
          <w:tcPr>
            <w:tcW w:w="3079" w:type="dxa"/>
            <w:vMerge w:val="continue"/>
            <w:noWrap w:val="0"/>
            <w:vAlign w:val="center"/>
          </w:tcPr>
          <w:p w14:paraId="454D4373">
            <w:pPr>
              <w:adjustRightInd w:val="0"/>
              <w:snapToGrid w:val="0"/>
              <w:jc w:val="center"/>
              <w:rPr>
                <w:rFonts w:hint="default" w:ascii="Times New Roman" w:hAnsi="Times New Roman" w:eastAsia="宋体" w:cs="Times New Roman"/>
                <w:color w:val="auto"/>
                <w:sz w:val="21"/>
                <w:szCs w:val="21"/>
                <w:highlight w:val="none"/>
              </w:rPr>
            </w:pPr>
          </w:p>
        </w:tc>
      </w:tr>
      <w:tr w14:paraId="507879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vMerge w:val="continue"/>
            <w:noWrap w:val="0"/>
            <w:vAlign w:val="center"/>
          </w:tcPr>
          <w:p w14:paraId="2E36AB94">
            <w:pPr>
              <w:adjustRightInd w:val="0"/>
              <w:snapToGrid w:val="0"/>
              <w:jc w:val="center"/>
              <w:rPr>
                <w:rFonts w:hint="default" w:ascii="Times New Roman" w:hAnsi="Times New Roman" w:eastAsia="宋体" w:cs="Times New Roman"/>
                <w:color w:val="auto"/>
                <w:sz w:val="21"/>
                <w:szCs w:val="21"/>
                <w:highlight w:val="none"/>
              </w:rPr>
            </w:pPr>
          </w:p>
        </w:tc>
        <w:tc>
          <w:tcPr>
            <w:tcW w:w="1200" w:type="dxa"/>
            <w:vMerge w:val="continue"/>
            <w:noWrap w:val="0"/>
            <w:vAlign w:val="center"/>
          </w:tcPr>
          <w:p w14:paraId="47A43177">
            <w:pPr>
              <w:adjustRightInd w:val="0"/>
              <w:snapToGrid w:val="0"/>
              <w:jc w:val="center"/>
              <w:rPr>
                <w:rFonts w:hint="default" w:ascii="Times New Roman" w:hAnsi="Times New Roman" w:eastAsia="宋体" w:cs="Times New Roman"/>
                <w:color w:val="auto"/>
                <w:sz w:val="21"/>
                <w:szCs w:val="21"/>
                <w:highlight w:val="none"/>
              </w:rPr>
            </w:pPr>
          </w:p>
        </w:tc>
        <w:tc>
          <w:tcPr>
            <w:tcW w:w="1554" w:type="dxa"/>
            <w:noWrap w:val="0"/>
            <w:vAlign w:val="center"/>
          </w:tcPr>
          <w:p w14:paraId="359466D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总氮</w:t>
            </w:r>
          </w:p>
        </w:tc>
        <w:tc>
          <w:tcPr>
            <w:tcW w:w="2007" w:type="dxa"/>
            <w:vMerge w:val="continue"/>
            <w:noWrap w:val="0"/>
            <w:vAlign w:val="center"/>
          </w:tcPr>
          <w:p w14:paraId="13A8B331">
            <w:pPr>
              <w:adjustRightInd w:val="0"/>
              <w:snapToGrid w:val="0"/>
              <w:jc w:val="center"/>
              <w:rPr>
                <w:rFonts w:hint="default" w:ascii="Times New Roman" w:hAnsi="Times New Roman" w:eastAsia="宋体" w:cs="Times New Roman"/>
                <w:color w:val="auto"/>
                <w:sz w:val="21"/>
                <w:szCs w:val="21"/>
                <w:highlight w:val="none"/>
              </w:rPr>
            </w:pPr>
          </w:p>
        </w:tc>
        <w:tc>
          <w:tcPr>
            <w:tcW w:w="3079" w:type="dxa"/>
            <w:vMerge w:val="continue"/>
            <w:noWrap w:val="0"/>
            <w:vAlign w:val="center"/>
          </w:tcPr>
          <w:p w14:paraId="234EE777">
            <w:pPr>
              <w:adjustRightInd w:val="0"/>
              <w:snapToGrid w:val="0"/>
              <w:jc w:val="center"/>
              <w:rPr>
                <w:rFonts w:hint="default" w:ascii="Times New Roman" w:hAnsi="Times New Roman" w:eastAsia="宋体" w:cs="Times New Roman"/>
                <w:color w:val="auto"/>
                <w:sz w:val="21"/>
                <w:szCs w:val="21"/>
                <w:highlight w:val="none"/>
              </w:rPr>
            </w:pPr>
          </w:p>
        </w:tc>
      </w:tr>
      <w:tr w14:paraId="64E9FD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noWrap w:val="0"/>
            <w:vAlign w:val="center"/>
          </w:tcPr>
          <w:p w14:paraId="5E179EB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200" w:type="dxa"/>
            <w:noWrap w:val="0"/>
            <w:vAlign w:val="center"/>
          </w:tcPr>
          <w:p w14:paraId="5F356A8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生产车间</w:t>
            </w:r>
          </w:p>
        </w:tc>
        <w:tc>
          <w:tcPr>
            <w:tcW w:w="1554" w:type="dxa"/>
            <w:noWrap w:val="0"/>
            <w:vAlign w:val="center"/>
          </w:tcPr>
          <w:p w14:paraId="5C8951A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2007" w:type="dxa"/>
            <w:noWrap w:val="0"/>
            <w:vAlign w:val="center"/>
          </w:tcPr>
          <w:p w14:paraId="15C067C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厂墙隔声、安装减震基垫、距离衰减</w:t>
            </w:r>
          </w:p>
        </w:tc>
        <w:tc>
          <w:tcPr>
            <w:tcW w:w="3079" w:type="dxa"/>
            <w:noWrap w:val="0"/>
            <w:vAlign w:val="center"/>
          </w:tcPr>
          <w:p w14:paraId="14243D5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《工业企业厂界环境噪声排放标准》（GB12348-2008）</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类标准</w:t>
            </w:r>
          </w:p>
        </w:tc>
      </w:tr>
      <w:tr w14:paraId="0FBD17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noWrap w:val="0"/>
            <w:vAlign w:val="center"/>
          </w:tcPr>
          <w:p w14:paraId="069CA347">
            <w:pPr>
              <w:pStyle w:val="99"/>
              <w:adjustRightInd w:val="0"/>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7840" w:type="dxa"/>
            <w:gridSpan w:val="4"/>
            <w:noWrap w:val="0"/>
            <w:vAlign w:val="center"/>
          </w:tcPr>
          <w:p w14:paraId="2F7EEA5B">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color w:val="auto"/>
                <w:kern w:val="0"/>
                <w:szCs w:val="21"/>
                <w:highlight w:val="none"/>
              </w:rPr>
            </w:pPr>
            <w:r>
              <w:rPr>
                <w:rFonts w:hint="eastAsia"/>
                <w:color w:val="auto"/>
                <w:kern w:val="0"/>
                <w:szCs w:val="21"/>
                <w:highlight w:val="none"/>
              </w:rPr>
              <w:t>本项目产生的一般工业固体废物主要为</w:t>
            </w:r>
            <w:r>
              <w:rPr>
                <w:rFonts w:hint="eastAsia"/>
                <w:color w:val="auto"/>
                <w:kern w:val="0"/>
                <w:szCs w:val="21"/>
                <w:highlight w:val="none"/>
                <w:lang w:val="en-US" w:eastAsia="zh-CN"/>
              </w:rPr>
              <w:t>废</w:t>
            </w:r>
            <w:r>
              <w:rPr>
                <w:rFonts w:hint="default" w:ascii="Times New Roman" w:hAnsi="Times New Roman" w:cs="Times New Roman"/>
                <w:color w:val="auto"/>
                <w:sz w:val="21"/>
                <w:szCs w:val="21"/>
                <w:highlight w:val="none"/>
              </w:rPr>
              <w:t>边角料</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次品、</w:t>
            </w:r>
            <w:r>
              <w:rPr>
                <w:rFonts w:hint="eastAsia"/>
                <w:color w:val="auto"/>
                <w:szCs w:val="21"/>
              </w:rPr>
              <w:t>废包装材料</w:t>
            </w:r>
            <w:r>
              <w:rPr>
                <w:rFonts w:hint="default" w:ascii="Times New Roman" w:hAnsi="Times New Roman" w:cs="Times New Roman"/>
                <w:color w:val="auto"/>
                <w:sz w:val="21"/>
                <w:szCs w:val="21"/>
                <w:highlight w:val="none"/>
              </w:rPr>
              <w:t>，收集后外售综合利用；</w:t>
            </w:r>
            <w:r>
              <w:rPr>
                <w:rFonts w:hint="eastAsia" w:cs="Times New Roman"/>
                <w:color w:val="auto"/>
                <w:sz w:val="21"/>
                <w:szCs w:val="21"/>
                <w:highlight w:val="none"/>
                <w:lang w:val="en-US" w:eastAsia="zh-CN"/>
              </w:rPr>
              <w:t>废包装桶、</w:t>
            </w:r>
            <w:r>
              <w:rPr>
                <w:rFonts w:hint="eastAsia" w:cs="Times New Roman"/>
                <w:color w:val="auto"/>
                <w:sz w:val="21"/>
                <w:szCs w:val="21"/>
                <w:highlight w:val="none"/>
                <w:lang w:eastAsia="zh-CN"/>
              </w:rPr>
              <w:t>含油墨废抹布、</w:t>
            </w:r>
            <w:r>
              <w:rPr>
                <w:rFonts w:hint="default" w:ascii="Times New Roman" w:hAnsi="Times New Roman" w:cs="Times New Roman"/>
                <w:color w:val="auto"/>
                <w:sz w:val="21"/>
                <w:szCs w:val="21"/>
                <w:highlight w:val="none"/>
              </w:rPr>
              <w:t>废活性炭属于危险废物，委托有资质单位处理；</w:t>
            </w:r>
            <w:r>
              <w:rPr>
                <w:rFonts w:hint="eastAsia" w:cs="Times New Roman"/>
                <w:color w:val="auto"/>
                <w:sz w:val="21"/>
                <w:szCs w:val="21"/>
                <w:highlight w:val="none"/>
                <w:lang w:eastAsia="zh-CN"/>
              </w:rPr>
              <w:t>生活垃圾</w:t>
            </w:r>
            <w:r>
              <w:rPr>
                <w:rFonts w:hint="default" w:ascii="Times New Roman" w:hAnsi="Times New Roman" w:cs="Times New Roman"/>
                <w:color w:val="auto"/>
                <w:sz w:val="21"/>
                <w:szCs w:val="21"/>
                <w:highlight w:val="none"/>
              </w:rPr>
              <w:t>委托环卫清运</w:t>
            </w:r>
            <w:r>
              <w:rPr>
                <w:rFonts w:hint="eastAsia"/>
                <w:color w:val="auto"/>
                <w:kern w:val="0"/>
                <w:szCs w:val="21"/>
                <w:highlight w:val="none"/>
              </w:rPr>
              <w:t>。</w:t>
            </w:r>
          </w:p>
          <w:p w14:paraId="3D481172">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r>
              <w:rPr>
                <w:rFonts w:hint="eastAsia" w:ascii="Times New Roman" w:hAnsi="Times New Roman" w:eastAsia="宋体" w:cs="Times New Roman"/>
                <w:color w:val="auto"/>
                <w:sz w:val="21"/>
                <w:szCs w:val="21"/>
                <w:highlight w:val="none"/>
                <w:lang w:val="en-US" w:eastAsia="zh-CN"/>
              </w:rPr>
              <w:t>拟新建</w:t>
            </w:r>
            <w:r>
              <w:rPr>
                <w:rFonts w:hint="default" w:ascii="Times New Roman" w:hAnsi="Times New Roman" w:eastAsia="宋体" w:cs="Times New Roman"/>
                <w:color w:val="auto"/>
                <w:sz w:val="21"/>
                <w:szCs w:val="21"/>
                <w:highlight w:val="none"/>
              </w:rPr>
              <w:t>一座</w:t>
            </w:r>
            <w:r>
              <w:rPr>
                <w:rFonts w:hint="eastAsia" w:ascii="Times New Roman" w:hAnsi="Times New Roman" w:eastAsia="宋体" w:cs="Times New Roman"/>
                <w:color w:val="auto"/>
                <w:sz w:val="21"/>
                <w:szCs w:val="21"/>
                <w:highlight w:val="none"/>
                <w:lang w:eastAsia="zh-CN"/>
              </w:rPr>
              <w:t>危废仓库</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和</w:t>
            </w:r>
            <w:r>
              <w:rPr>
                <w:rFonts w:hint="default" w:ascii="Times New Roman" w:hAnsi="Times New Roman" w:eastAsia="宋体" w:cs="Times New Roman"/>
                <w:color w:val="auto"/>
                <w:sz w:val="21"/>
                <w:szCs w:val="21"/>
                <w:highlight w:val="none"/>
              </w:rPr>
              <w:t>一座一般固废</w:t>
            </w:r>
            <w:r>
              <w:rPr>
                <w:rFonts w:hint="eastAsia" w:ascii="Times New Roman" w:hAnsi="Times New Roman" w:eastAsia="宋体" w:cs="Times New Roman"/>
                <w:color w:val="auto"/>
                <w:sz w:val="21"/>
                <w:szCs w:val="21"/>
                <w:highlight w:val="none"/>
                <w:lang w:val="en-US" w:eastAsia="zh-CN"/>
              </w:rPr>
              <w:t>暂存区</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eastAsia="zh-CN"/>
              </w:rPr>
              <w:t>危废仓库</w:t>
            </w:r>
            <w:r>
              <w:rPr>
                <w:rFonts w:hint="eastAsia" w:ascii="Times New Roman" w:hAnsi="Times New Roman" w:eastAsia="宋体" w:cs="Times New Roman"/>
                <w:color w:val="auto"/>
                <w:sz w:val="21"/>
                <w:szCs w:val="21"/>
                <w:highlight w:val="none"/>
                <w:lang w:val="en-US" w:eastAsia="zh-CN"/>
              </w:rPr>
              <w:t>需</w:t>
            </w:r>
            <w:r>
              <w:rPr>
                <w:rFonts w:hint="default" w:ascii="Times New Roman" w:hAnsi="Times New Roman" w:eastAsia="宋体" w:cs="Times New Roman"/>
                <w:color w:val="auto"/>
                <w:sz w:val="21"/>
                <w:szCs w:val="21"/>
                <w:highlight w:val="none"/>
              </w:rPr>
              <w:t>严格按照防风、防晒、防雨、防漏、防渗、防腐要求进行设置，贮存场所符合消防要求，贮存场所内采用安全照明设施，并设置观察窗口；</w:t>
            </w:r>
            <w:r>
              <w:rPr>
                <w:rFonts w:hint="default" w:ascii="Times New Roman" w:hAnsi="Times New Roman" w:eastAsia="宋体" w:cs="Times New Roman"/>
                <w:color w:val="auto"/>
                <w:kern w:val="0"/>
                <w:sz w:val="21"/>
                <w:szCs w:val="21"/>
                <w:highlight w:val="none"/>
              </w:rPr>
              <w:t>对一般固体废物实行分类收集，选择满足要求的容器进行包装贮存，固体废物分类定点堆放，堆放场所远离办公区和周围环境敏感点。</w:t>
            </w:r>
          </w:p>
        </w:tc>
      </w:tr>
      <w:tr w14:paraId="235EF8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noWrap w:val="0"/>
            <w:vAlign w:val="center"/>
          </w:tcPr>
          <w:p w14:paraId="3136B64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土壤及地下水污染防治措施</w:t>
            </w:r>
          </w:p>
        </w:tc>
        <w:tc>
          <w:tcPr>
            <w:tcW w:w="7840" w:type="dxa"/>
            <w:gridSpan w:val="4"/>
            <w:noWrap w:val="0"/>
            <w:vAlign w:val="center"/>
          </w:tcPr>
          <w:p w14:paraId="597E604A">
            <w:pPr>
              <w:pStyle w:val="99"/>
              <w:adjustRightInd w:val="0"/>
              <w:snapToGrid w:val="0"/>
              <w:jc w:val="left"/>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1、源头控制原料的跑冒滴漏、雨水的浸淋、溢流等</w:t>
            </w:r>
            <w:r>
              <w:rPr>
                <w:rFonts w:hint="eastAsia" w:ascii="Times New Roman" w:hAnsi="Times New Roman" w:eastAsia="宋体" w:cs="Times New Roman"/>
                <w:color w:val="auto"/>
                <w:sz w:val="21"/>
                <w:szCs w:val="21"/>
                <w:highlight w:val="none"/>
                <w:lang w:eastAsia="zh-CN"/>
              </w:rPr>
              <w:t>；</w:t>
            </w:r>
          </w:p>
          <w:p w14:paraId="3A399AEC">
            <w:pPr>
              <w:pStyle w:val="99"/>
              <w:adjustRightInd w:val="0"/>
              <w:snapToGrid w:val="0"/>
              <w:jc w:val="left"/>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2、分区防渗，对</w:t>
            </w:r>
            <w:r>
              <w:rPr>
                <w:rFonts w:hint="eastAsia" w:ascii="Times New Roman" w:hAnsi="Times New Roman" w:eastAsia="宋体" w:cs="Times New Roman"/>
                <w:color w:val="auto"/>
                <w:sz w:val="21"/>
                <w:szCs w:val="21"/>
                <w:highlight w:val="none"/>
                <w:lang w:val="en-US" w:eastAsia="zh-CN"/>
              </w:rPr>
              <w:t>原料仓库、发泡区、</w:t>
            </w:r>
            <w:r>
              <w:rPr>
                <w:rFonts w:hint="eastAsia" w:ascii="Times New Roman" w:hAnsi="Times New Roman" w:eastAsia="宋体" w:cs="Times New Roman"/>
                <w:color w:val="auto"/>
                <w:sz w:val="21"/>
                <w:szCs w:val="21"/>
                <w:highlight w:val="none"/>
                <w:lang w:eastAsia="zh-CN"/>
              </w:rPr>
              <w:t>危废仓库、</w:t>
            </w:r>
            <w:r>
              <w:rPr>
                <w:rFonts w:hint="eastAsia" w:ascii="Times New Roman" w:hAnsi="Times New Roman" w:eastAsia="宋体" w:cs="Times New Roman"/>
                <w:color w:val="auto"/>
                <w:sz w:val="21"/>
                <w:szCs w:val="21"/>
                <w:highlight w:val="none"/>
                <w:lang w:val="en-US" w:eastAsia="zh-CN"/>
              </w:rPr>
              <w:t>事故应急池等区</w:t>
            </w:r>
            <w:r>
              <w:rPr>
                <w:rFonts w:hint="default" w:ascii="Times New Roman" w:hAnsi="Times New Roman" w:eastAsia="宋体" w:cs="Times New Roman"/>
                <w:color w:val="auto"/>
                <w:sz w:val="21"/>
                <w:szCs w:val="21"/>
                <w:highlight w:val="none"/>
              </w:rPr>
              <w:t>域实施重点防渗措施，厂内其他区域进行简单防渗</w:t>
            </w:r>
            <w:r>
              <w:rPr>
                <w:rFonts w:hint="eastAsia" w:ascii="Times New Roman" w:hAnsi="Times New Roman" w:eastAsia="宋体" w:cs="Times New Roman"/>
                <w:color w:val="auto"/>
                <w:sz w:val="21"/>
                <w:szCs w:val="21"/>
                <w:highlight w:val="none"/>
                <w:lang w:eastAsia="zh-CN"/>
              </w:rPr>
              <w:t>。</w:t>
            </w:r>
          </w:p>
        </w:tc>
      </w:tr>
      <w:tr w14:paraId="4186AE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noWrap w:val="0"/>
            <w:vAlign w:val="center"/>
          </w:tcPr>
          <w:p w14:paraId="469ED63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生态保护措施</w:t>
            </w:r>
          </w:p>
        </w:tc>
        <w:tc>
          <w:tcPr>
            <w:tcW w:w="7840" w:type="dxa"/>
            <w:gridSpan w:val="4"/>
            <w:noWrap w:val="0"/>
            <w:vAlign w:val="center"/>
          </w:tcPr>
          <w:p w14:paraId="065978FE">
            <w:pPr>
              <w:pStyle w:val="99"/>
              <w:adjustRightInd w:val="0"/>
              <w:snapToGrid w:val="0"/>
              <w:jc w:val="left"/>
              <w:rPr>
                <w:rFonts w:hint="default" w:ascii="Times New Roman" w:hAnsi="Times New Roman" w:eastAsia="宋体" w:cs="Times New Roman"/>
                <w:color w:val="auto"/>
                <w:sz w:val="21"/>
                <w:szCs w:val="21"/>
                <w:highlight w:val="none"/>
              </w:rPr>
            </w:pPr>
            <w:r>
              <w:rPr>
                <w:rFonts w:eastAsia="宋体"/>
                <w:color w:val="auto"/>
                <w:sz w:val="21"/>
                <w:szCs w:val="21"/>
                <w:highlight w:val="none"/>
              </w:rPr>
              <w:t>根据《江苏省生态空间管控区域规划》（苏政发〔2020〕1号）和《省政府关于印发江苏省国家级生态保护红线规划的通知》（苏政发〔2018〕74号），项目不在常州市国家级生态保护红线和生态空间管控区域的保护区范围内</w:t>
            </w:r>
            <w:r>
              <w:rPr>
                <w:rFonts w:hint="eastAsia" w:eastAsia="宋体"/>
                <w:color w:val="auto"/>
                <w:sz w:val="21"/>
                <w:szCs w:val="21"/>
                <w:highlight w:val="none"/>
              </w:rPr>
              <w:t>。</w:t>
            </w:r>
          </w:p>
        </w:tc>
      </w:tr>
      <w:tr w14:paraId="0CA095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noWrap w:val="0"/>
            <w:vAlign w:val="center"/>
          </w:tcPr>
          <w:p w14:paraId="52C5475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w:t>
            </w:r>
          </w:p>
          <w:p w14:paraId="01A5E6F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防范措施</w:t>
            </w:r>
          </w:p>
        </w:tc>
        <w:tc>
          <w:tcPr>
            <w:tcW w:w="7840" w:type="dxa"/>
            <w:gridSpan w:val="4"/>
            <w:noWrap w:val="0"/>
            <w:vAlign w:val="center"/>
          </w:tcPr>
          <w:p w14:paraId="439FD297">
            <w:pPr>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1、厂区分区防渗；</w:t>
            </w:r>
          </w:p>
          <w:p w14:paraId="055F6D6A">
            <w:pPr>
              <w:pStyle w:val="99"/>
              <w:adjustRightInd w:val="0"/>
              <w:snapToGrid w:val="0"/>
              <w:jc w:val="left"/>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2、做好厂区环境风险管理、风险应急</w:t>
            </w:r>
            <w:r>
              <w:rPr>
                <w:rFonts w:hint="eastAsia" w:eastAsia="宋体" w:cs="Times New Roman"/>
                <w:color w:val="auto"/>
                <w:sz w:val="21"/>
                <w:szCs w:val="21"/>
                <w:highlight w:val="none"/>
                <w:lang w:eastAsia="zh-CN"/>
              </w:rPr>
              <w:t>物资</w:t>
            </w:r>
            <w:r>
              <w:rPr>
                <w:rFonts w:hint="default" w:ascii="Times New Roman" w:hAnsi="Times New Roman" w:eastAsia="宋体" w:cs="Times New Roman"/>
                <w:color w:val="auto"/>
                <w:sz w:val="21"/>
                <w:szCs w:val="21"/>
                <w:highlight w:val="none"/>
              </w:rPr>
              <w:t>配备</w:t>
            </w:r>
            <w:r>
              <w:rPr>
                <w:rFonts w:hint="eastAsia" w:ascii="Times New Roman" w:hAnsi="Times New Roman" w:eastAsia="宋体" w:cs="Times New Roman"/>
                <w:color w:val="auto"/>
                <w:sz w:val="21"/>
                <w:szCs w:val="21"/>
                <w:highlight w:val="none"/>
                <w:lang w:eastAsia="zh-CN"/>
              </w:rPr>
              <w:t>；</w:t>
            </w:r>
          </w:p>
          <w:p w14:paraId="70FE037A">
            <w:pPr>
              <w:pStyle w:val="99"/>
              <w:adjustRightInd w:val="0"/>
              <w:snapToGrid w:val="0"/>
              <w:jc w:val="left"/>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按照应急预案要求</w:t>
            </w:r>
            <w:r>
              <w:rPr>
                <w:rFonts w:hint="default" w:ascii="Times New Roman" w:hAnsi="Times New Roman" w:eastAsia="宋体" w:cs="Times New Roman"/>
                <w:color w:val="auto"/>
                <w:sz w:val="21"/>
                <w:szCs w:val="21"/>
                <w:highlight w:val="none"/>
              </w:rPr>
              <w:t>定期进行应急演练。</w:t>
            </w:r>
          </w:p>
        </w:tc>
      </w:tr>
      <w:tr w14:paraId="617EB8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noWrap w:val="0"/>
            <w:vAlign w:val="center"/>
          </w:tcPr>
          <w:p w14:paraId="29809373">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其他环境</w:t>
            </w:r>
          </w:p>
          <w:p w14:paraId="3BD0600A">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管理要求</w:t>
            </w:r>
          </w:p>
        </w:tc>
        <w:tc>
          <w:tcPr>
            <w:tcW w:w="7840" w:type="dxa"/>
            <w:gridSpan w:val="4"/>
            <w:noWrap w:val="0"/>
            <w:vAlign w:val="center"/>
          </w:tcPr>
          <w:p w14:paraId="06F7EF63">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1、以</w:t>
            </w:r>
            <w:r>
              <w:rPr>
                <w:rFonts w:hint="eastAsia" w:ascii="Times New Roman" w:hAnsi="Times New Roman" w:eastAsia="宋体" w:cs="Times New Roman"/>
                <w:color w:val="auto"/>
                <w:sz w:val="21"/>
                <w:szCs w:val="21"/>
                <w:highlight w:val="none"/>
                <w:lang w:val="en-US" w:eastAsia="zh-CN"/>
              </w:rPr>
              <w:t>车间</w:t>
            </w:r>
            <w:r>
              <w:rPr>
                <w:rFonts w:hint="default" w:ascii="Times New Roman" w:hAnsi="Times New Roman" w:eastAsia="宋体" w:cs="Times New Roman"/>
                <w:color w:val="auto"/>
                <w:sz w:val="21"/>
                <w:szCs w:val="21"/>
                <w:highlight w:val="none"/>
              </w:rPr>
              <w:t>为边界外扩</w:t>
            </w:r>
            <w:r>
              <w:rPr>
                <w:rFonts w:hint="eastAsia"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米设置卫生防护距离</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Cs/>
                <w:color w:val="auto"/>
                <w:sz w:val="21"/>
                <w:szCs w:val="21"/>
                <w:highlight w:val="none"/>
              </w:rPr>
              <w:t>该范围内目前无居民、学校等环境敏感保护目标，可满足卫生防护距离设置要求，将来在该范围内也不得新建居民、学校、医院等属于环境保护目标的项目</w:t>
            </w:r>
            <w:r>
              <w:rPr>
                <w:rFonts w:hint="default" w:ascii="Times New Roman" w:hAnsi="Times New Roman" w:eastAsia="宋体" w:cs="Times New Roman"/>
                <w:color w:val="auto"/>
                <w:sz w:val="21"/>
                <w:szCs w:val="21"/>
                <w:highlight w:val="none"/>
              </w:rPr>
              <w:t>；</w:t>
            </w:r>
          </w:p>
          <w:p w14:paraId="14B1F3BD">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2、项目正式运行时需签订一般固废处置协议、危险</w:t>
            </w:r>
            <w:r>
              <w:rPr>
                <w:rFonts w:hint="eastAsia" w:ascii="Times New Roman" w:hAnsi="Times New Roman" w:eastAsia="宋体" w:cs="Times New Roman"/>
                <w:color w:val="auto"/>
                <w:sz w:val="21"/>
                <w:szCs w:val="21"/>
                <w:highlight w:val="none"/>
                <w:lang w:val="en-US" w:eastAsia="zh-CN"/>
              </w:rPr>
              <w:t>废物</w:t>
            </w:r>
            <w:r>
              <w:rPr>
                <w:rFonts w:hint="default" w:ascii="Times New Roman" w:hAnsi="Times New Roman" w:eastAsia="宋体" w:cs="Times New Roman"/>
                <w:color w:val="auto"/>
                <w:sz w:val="21"/>
                <w:szCs w:val="21"/>
                <w:highlight w:val="none"/>
              </w:rPr>
              <w:t>处置协议；</w:t>
            </w:r>
          </w:p>
          <w:p w14:paraId="3A260656">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3、落实危险固废台账等要求；</w:t>
            </w:r>
            <w:r>
              <w:rPr>
                <w:rFonts w:hint="default" w:ascii="Times New Roman" w:hAnsi="Times New Roman" w:cs="Times New Roman"/>
                <w:color w:val="auto"/>
                <w:sz w:val="21"/>
                <w:szCs w:val="21"/>
                <w:highlight w:val="none"/>
              </w:rPr>
              <w:t>落实危险固废仓库、废气排放口等标识牌；</w:t>
            </w:r>
          </w:p>
          <w:p w14:paraId="01C26433">
            <w:pPr>
              <w:jc w:val="left"/>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4、落实本报告的例行监测要求</w:t>
            </w:r>
            <w:r>
              <w:rPr>
                <w:rFonts w:hint="eastAsia" w:ascii="Times New Roman" w:hAnsi="Times New Roman" w:eastAsia="宋体" w:cs="Times New Roman"/>
                <w:color w:val="auto"/>
                <w:sz w:val="21"/>
                <w:szCs w:val="21"/>
                <w:highlight w:val="none"/>
                <w:lang w:eastAsia="zh-CN"/>
              </w:rPr>
              <w:t>。</w:t>
            </w:r>
          </w:p>
        </w:tc>
      </w:tr>
    </w:tbl>
    <w:p w14:paraId="5B9057D6">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bookmarkStart w:id="17" w:name="_Toc28394"/>
      <w:bookmarkStart w:id="18" w:name="_Toc25396"/>
      <w:r>
        <w:rPr>
          <w:rFonts w:hint="default" w:ascii="Times New Roman" w:hAnsi="Times New Roman" w:eastAsia="黑体" w:cs="Times New Roman"/>
          <w:snapToGrid w:val="0"/>
          <w:color w:val="auto"/>
          <w:sz w:val="30"/>
          <w:szCs w:val="30"/>
        </w:rPr>
        <w:t>六、结论</w:t>
      </w:r>
      <w:bookmarkEnd w:id="17"/>
      <w:bookmarkEnd w:id="18"/>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95AB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9" w:hRule="atLeast"/>
          <w:jc w:val="center"/>
        </w:trPr>
        <w:tc>
          <w:tcPr>
            <w:tcW w:w="8865" w:type="dxa"/>
          </w:tcPr>
          <w:p w14:paraId="3C03B4E4">
            <w:pPr>
              <w:adjustRightInd w:val="0"/>
              <w:snapToGrid w:val="0"/>
              <w:spacing w:line="500" w:lineRule="exact"/>
              <w:ind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本项目符合国家、地方法律法规产业政策和“三线一单”要求；符合相关规划，选址合理；项目产生的各项污染物采取合理有效的治理措施后均可得到有效处置，实现达标排放，对外环境的影响较小，不会造成区域环境质量下降；本项目建成后排放的各类污染物可以在区域内实现平衡；在做好各项风险防范及应急措施的前提下本项目的环境风险可</w:t>
            </w:r>
            <w:r>
              <w:rPr>
                <w:rFonts w:hint="eastAsia" w:cs="Times New Roman"/>
                <w:color w:val="auto"/>
                <w:sz w:val="24"/>
                <w:lang w:val="en-US" w:eastAsia="zh-CN"/>
              </w:rPr>
              <w:t>控</w:t>
            </w:r>
            <w:r>
              <w:rPr>
                <w:rFonts w:hint="default" w:ascii="Times New Roman" w:hAnsi="Times New Roman" w:cs="Times New Roman"/>
                <w:color w:val="auto"/>
                <w:sz w:val="24"/>
              </w:rPr>
              <w:t>。</w:t>
            </w:r>
          </w:p>
          <w:p w14:paraId="30B9B77D">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因此，建设单位在重视环保工作，落实本报告表提出的各项环保措施要求、严格执行环保“三同时”的前提下，从环保角度分析，本项目建设具有环境可行性。</w:t>
            </w:r>
          </w:p>
        </w:tc>
      </w:tr>
    </w:tbl>
    <w:p w14:paraId="62F2963E">
      <w:pPr>
        <w:rPr>
          <w:rFonts w:hint="default" w:ascii="Times New Roman" w:hAnsi="Times New Roman" w:cs="Times New Roman"/>
          <w:color w:val="auto"/>
        </w:rPr>
      </w:pPr>
    </w:p>
    <w:p w14:paraId="18A761B1">
      <w:pPr>
        <w:keepNext w:val="0"/>
        <w:keepLines w:val="0"/>
        <w:pageBreakBefore w:val="0"/>
        <w:widowControl w:val="0"/>
        <w:kinsoku/>
        <w:wordWrap/>
        <w:overflowPunct/>
        <w:topLinePunct w:val="0"/>
        <w:autoSpaceDE/>
        <w:autoSpaceDN/>
        <w:bidi w:val="0"/>
        <w:adjustRightInd w:val="0"/>
        <w:snapToGrid w:val="0"/>
        <w:spacing w:line="480" w:lineRule="exact"/>
        <w:textAlignment w:val="auto"/>
        <w:outlineLvl w:val="9"/>
        <w:rPr>
          <w:rFonts w:hint="default" w:ascii="Times New Roman" w:hAnsi="Times New Roman" w:cs="Times New Roman"/>
          <w:color w:val="auto"/>
        </w:rPr>
      </w:pPr>
    </w:p>
    <w:p w14:paraId="336CB87E">
      <w:pPr>
        <w:rPr>
          <w:rFonts w:hint="default" w:ascii="Times New Roman" w:hAnsi="Times New Roman" w:cs="Times New Roman"/>
          <w:color w:val="auto"/>
        </w:rPr>
      </w:pPr>
    </w:p>
    <w:p w14:paraId="647E2381">
      <w:pPr>
        <w:rPr>
          <w:rFonts w:hint="default" w:ascii="Times New Roman" w:hAnsi="Times New Roman" w:cs="Times New Roman"/>
          <w:color w:val="auto"/>
        </w:rPr>
        <w:sectPr>
          <w:pgSz w:w="11906" w:h="16838"/>
          <w:pgMar w:top="1417" w:right="1417" w:bottom="1417" w:left="1417" w:header="851" w:footer="1134" w:gutter="0"/>
          <w:pgBorders>
            <w:top w:val="none" w:sz="0" w:space="0"/>
            <w:left w:val="none" w:sz="0" w:space="0"/>
            <w:bottom w:val="none" w:sz="0" w:space="0"/>
            <w:right w:val="none" w:sz="0" w:space="0"/>
          </w:pgBorders>
          <w:pgNumType w:fmt="decimal"/>
          <w:cols w:space="720" w:num="1"/>
          <w:docGrid w:linePitch="312" w:charSpace="0"/>
        </w:sectPr>
      </w:pPr>
    </w:p>
    <w:p w14:paraId="3409FE4C">
      <w:pPr>
        <w:pStyle w:val="25"/>
        <w:adjustRightInd w:val="0"/>
        <w:snapToGrid w:val="0"/>
        <w:spacing w:before="0" w:beforeAutospacing="0" w:after="0" w:afterAutospacing="0"/>
        <w:contextualSpacing/>
        <w:outlineLvl w:val="0"/>
        <w:rPr>
          <w:rFonts w:hint="default" w:ascii="Times New Roman" w:hAnsi="Times New Roman" w:eastAsia="黑体" w:cs="Times New Roman"/>
          <w:snapToGrid w:val="0"/>
          <w:color w:val="auto"/>
          <w:sz w:val="32"/>
          <w:szCs w:val="32"/>
        </w:rPr>
      </w:pPr>
      <w:bookmarkStart w:id="19" w:name="_Toc28492"/>
      <w:bookmarkStart w:id="20" w:name="_Toc6584"/>
      <w:r>
        <w:rPr>
          <w:rFonts w:hint="default" w:ascii="Times New Roman" w:hAnsi="Times New Roman" w:eastAsia="黑体" w:cs="Times New Roman"/>
          <w:snapToGrid w:val="0"/>
          <w:color w:val="auto"/>
          <w:sz w:val="32"/>
          <w:szCs w:val="32"/>
        </w:rPr>
        <w:t>附表</w:t>
      </w:r>
      <w:bookmarkEnd w:id="19"/>
      <w:bookmarkEnd w:id="20"/>
    </w:p>
    <w:p w14:paraId="1141C9BE">
      <w:pPr>
        <w:pStyle w:val="25"/>
        <w:adjustRightInd w:val="0"/>
        <w:snapToGrid w:val="0"/>
        <w:spacing w:before="0" w:beforeAutospacing="0" w:after="0" w:afterAutospacing="0"/>
        <w:contextualSpacing/>
        <w:jc w:val="center"/>
        <w:outlineLvl w:val="0"/>
        <w:rPr>
          <w:rFonts w:hint="default" w:ascii="Times New Roman" w:hAnsi="Times New Roman" w:eastAsia="方正小标宋_GBK" w:cs="Times New Roman"/>
          <w:snapToGrid w:val="0"/>
          <w:color w:val="auto"/>
          <w:sz w:val="38"/>
          <w:szCs w:val="38"/>
        </w:rPr>
      </w:pPr>
      <w:bookmarkStart w:id="21" w:name="_Toc380"/>
      <w:bookmarkStart w:id="22" w:name="_Toc169"/>
      <w:r>
        <w:rPr>
          <w:rFonts w:hint="default" w:ascii="Times New Roman" w:hAnsi="Times New Roman" w:eastAsia="方正小标宋_GBK" w:cs="Times New Roman"/>
          <w:snapToGrid w:val="0"/>
          <w:color w:val="auto"/>
          <w:sz w:val="38"/>
          <w:szCs w:val="38"/>
        </w:rPr>
        <w:t>建设项目污染物排放量汇总表</w:t>
      </w:r>
      <w:bookmarkEnd w:id="21"/>
      <w:bookmarkEnd w:id="22"/>
    </w:p>
    <w:tbl>
      <w:tblPr>
        <w:tblStyle w:val="31"/>
        <w:tblW w:w="13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901"/>
        <w:gridCol w:w="1701"/>
        <w:gridCol w:w="1523"/>
        <w:gridCol w:w="1454"/>
        <w:gridCol w:w="1559"/>
        <w:gridCol w:w="1427"/>
        <w:gridCol w:w="1639"/>
        <w:gridCol w:w="1430"/>
      </w:tblGrid>
      <w:tr w14:paraId="061E3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blHeader/>
          <w:jc w:val="center"/>
        </w:trPr>
        <w:tc>
          <w:tcPr>
            <w:tcW w:w="1104" w:type="dxa"/>
            <w:tcBorders>
              <w:tl2br w:val="single" w:color="auto" w:sz="4" w:space="0"/>
            </w:tcBorders>
            <w:tcMar>
              <w:left w:w="28" w:type="dxa"/>
              <w:right w:w="28" w:type="dxa"/>
            </w:tcMar>
            <w:vAlign w:val="center"/>
          </w:tcPr>
          <w:p w14:paraId="3BBD9421">
            <w:pPr>
              <w:pStyle w:val="48"/>
              <w:spacing w:beforeLines="0" w:afterLines="0" w:line="240" w:lineRule="auto"/>
              <w:jc w:val="right"/>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项目</w:t>
            </w:r>
          </w:p>
          <w:p w14:paraId="4A89AB33">
            <w:pPr>
              <w:pStyle w:val="48"/>
              <w:spacing w:beforeLines="0" w:afterLines="0" w:line="240" w:lineRule="auto"/>
              <w:jc w:val="left"/>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分类</w:t>
            </w:r>
          </w:p>
        </w:tc>
        <w:tc>
          <w:tcPr>
            <w:tcW w:w="1901" w:type="dxa"/>
            <w:tcMar>
              <w:left w:w="28" w:type="dxa"/>
              <w:right w:w="28" w:type="dxa"/>
            </w:tcMar>
            <w:vAlign w:val="center"/>
          </w:tcPr>
          <w:p w14:paraId="126A61E2">
            <w:pPr>
              <w:pStyle w:val="48"/>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污染物名称</w:t>
            </w:r>
          </w:p>
        </w:tc>
        <w:tc>
          <w:tcPr>
            <w:tcW w:w="1701" w:type="dxa"/>
            <w:tcMar>
              <w:left w:w="28" w:type="dxa"/>
              <w:right w:w="28" w:type="dxa"/>
            </w:tcMar>
            <w:vAlign w:val="center"/>
          </w:tcPr>
          <w:p w14:paraId="2CC9EC54">
            <w:pPr>
              <w:pStyle w:val="48"/>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现有工程</w:t>
            </w:r>
          </w:p>
          <w:p w14:paraId="4F86C09B">
            <w:pPr>
              <w:pStyle w:val="48"/>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排放量（固体废物产生量）</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1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①</w:t>
            </w:r>
            <w:r>
              <w:rPr>
                <w:rFonts w:hint="default" w:ascii="Times New Roman" w:hAnsi="Times New Roman" w:eastAsia="黑体" w:cs="Times New Roman"/>
                <w:snapToGrid w:val="0"/>
                <w:color w:val="auto"/>
                <w:spacing w:val="-6"/>
                <w:kern w:val="21"/>
                <w:sz w:val="21"/>
                <w:szCs w:val="21"/>
              </w:rPr>
              <w:fldChar w:fldCharType="end"/>
            </w:r>
          </w:p>
        </w:tc>
        <w:tc>
          <w:tcPr>
            <w:tcW w:w="1523" w:type="dxa"/>
            <w:tcMar>
              <w:left w:w="28" w:type="dxa"/>
              <w:right w:w="28" w:type="dxa"/>
            </w:tcMar>
            <w:vAlign w:val="center"/>
          </w:tcPr>
          <w:p w14:paraId="5930E253">
            <w:pPr>
              <w:pStyle w:val="48"/>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现有工程</w:t>
            </w:r>
          </w:p>
          <w:p w14:paraId="4B45640C">
            <w:pPr>
              <w:pStyle w:val="48"/>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许可排放量</w:t>
            </w:r>
          </w:p>
          <w:p w14:paraId="7E808D8B">
            <w:pPr>
              <w:pStyle w:val="48"/>
              <w:spacing w:beforeLines="0" w:afterLines="0"/>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2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snapToGrid w:val="0"/>
                <w:color w:val="auto"/>
                <w:spacing w:val="-6"/>
                <w:kern w:val="21"/>
                <w:sz w:val="21"/>
                <w:szCs w:val="21"/>
              </w:rPr>
              <w:t>②</w:t>
            </w:r>
            <w:r>
              <w:rPr>
                <w:rFonts w:hint="default" w:ascii="Times New Roman" w:hAnsi="Times New Roman" w:eastAsia="黑体" w:cs="Times New Roman"/>
                <w:snapToGrid w:val="0"/>
                <w:color w:val="auto"/>
                <w:spacing w:val="-6"/>
                <w:kern w:val="21"/>
                <w:sz w:val="21"/>
                <w:szCs w:val="21"/>
              </w:rPr>
              <w:fldChar w:fldCharType="end"/>
            </w:r>
          </w:p>
        </w:tc>
        <w:tc>
          <w:tcPr>
            <w:tcW w:w="1454" w:type="dxa"/>
            <w:tcMar>
              <w:left w:w="28" w:type="dxa"/>
              <w:right w:w="28" w:type="dxa"/>
            </w:tcMar>
            <w:vAlign w:val="center"/>
          </w:tcPr>
          <w:p w14:paraId="3E1EE005">
            <w:pPr>
              <w:pStyle w:val="48"/>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在建工程</w:t>
            </w:r>
          </w:p>
          <w:p w14:paraId="58771087">
            <w:pPr>
              <w:pStyle w:val="48"/>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排放量（固体废物产生量）</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3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③</w:t>
            </w:r>
            <w:r>
              <w:rPr>
                <w:rFonts w:hint="default" w:ascii="Times New Roman" w:hAnsi="Times New Roman" w:eastAsia="黑体" w:cs="Times New Roman"/>
                <w:snapToGrid w:val="0"/>
                <w:color w:val="auto"/>
                <w:spacing w:val="-6"/>
                <w:kern w:val="21"/>
                <w:sz w:val="21"/>
                <w:szCs w:val="21"/>
              </w:rPr>
              <w:fldChar w:fldCharType="end"/>
            </w:r>
          </w:p>
        </w:tc>
        <w:tc>
          <w:tcPr>
            <w:tcW w:w="1559" w:type="dxa"/>
            <w:tcMar>
              <w:left w:w="28" w:type="dxa"/>
              <w:right w:w="28" w:type="dxa"/>
            </w:tcMar>
            <w:vAlign w:val="center"/>
          </w:tcPr>
          <w:p w14:paraId="57B70F81">
            <w:pPr>
              <w:pStyle w:val="48"/>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本项目</w:t>
            </w:r>
          </w:p>
          <w:p w14:paraId="69FDFDDF">
            <w:pPr>
              <w:pStyle w:val="48"/>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排放量（固体废物产生量）</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4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④</w:t>
            </w:r>
            <w:r>
              <w:rPr>
                <w:rFonts w:hint="default" w:ascii="Times New Roman" w:hAnsi="Times New Roman" w:eastAsia="黑体" w:cs="Times New Roman"/>
                <w:snapToGrid w:val="0"/>
                <w:color w:val="auto"/>
                <w:spacing w:val="-6"/>
                <w:kern w:val="21"/>
                <w:sz w:val="21"/>
                <w:szCs w:val="21"/>
              </w:rPr>
              <w:fldChar w:fldCharType="end"/>
            </w:r>
          </w:p>
        </w:tc>
        <w:tc>
          <w:tcPr>
            <w:tcW w:w="1427" w:type="dxa"/>
            <w:tcMar>
              <w:left w:w="28" w:type="dxa"/>
              <w:right w:w="28" w:type="dxa"/>
            </w:tcMar>
            <w:vAlign w:val="center"/>
          </w:tcPr>
          <w:p w14:paraId="00469206">
            <w:pPr>
              <w:pStyle w:val="48"/>
              <w:spacing w:beforeLines="0" w:afterLines="0" w:line="240" w:lineRule="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以新带老削减量</w:t>
            </w:r>
          </w:p>
          <w:p w14:paraId="1A222D26">
            <w:pPr>
              <w:pStyle w:val="48"/>
              <w:spacing w:beforeLines="0" w:afterLines="0" w:line="240" w:lineRule="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（新建项目不填）</w:t>
            </w:r>
            <w:r>
              <w:rPr>
                <w:rFonts w:hint="default" w:ascii="Times New Roman" w:hAnsi="Times New Roman" w:eastAsia="黑体" w:cs="Times New Roman"/>
                <w:snapToGrid w:val="0"/>
                <w:color w:val="auto"/>
                <w:spacing w:val="-16"/>
                <w:kern w:val="21"/>
                <w:sz w:val="21"/>
                <w:szCs w:val="21"/>
              </w:rPr>
              <w:fldChar w:fldCharType="begin"/>
            </w:r>
            <w:r>
              <w:rPr>
                <w:rFonts w:hint="default" w:ascii="Times New Roman" w:hAnsi="Times New Roman" w:eastAsia="黑体" w:cs="Times New Roman"/>
                <w:snapToGrid w:val="0"/>
                <w:color w:val="auto"/>
                <w:spacing w:val="-16"/>
                <w:kern w:val="21"/>
                <w:sz w:val="21"/>
                <w:szCs w:val="21"/>
              </w:rPr>
              <w:instrText xml:space="preserve"> = 5 \* GB3 \* MERGEFORMAT </w:instrText>
            </w:r>
            <w:r>
              <w:rPr>
                <w:rFonts w:hint="default" w:ascii="Times New Roman" w:hAnsi="Times New Roman" w:eastAsia="黑体" w:cs="Times New Roman"/>
                <w:snapToGrid w:val="0"/>
                <w:color w:val="auto"/>
                <w:spacing w:val="-16"/>
                <w:kern w:val="21"/>
                <w:sz w:val="21"/>
                <w:szCs w:val="21"/>
              </w:rPr>
              <w:fldChar w:fldCharType="separate"/>
            </w:r>
            <w:r>
              <w:rPr>
                <w:rFonts w:hint="default" w:ascii="Times New Roman" w:hAnsi="Times New Roman" w:eastAsia="黑体" w:cs="Times New Roman"/>
                <w:color w:val="auto"/>
                <w:kern w:val="2"/>
                <w:sz w:val="21"/>
                <w:szCs w:val="21"/>
              </w:rPr>
              <w:t>⑤</w:t>
            </w:r>
            <w:r>
              <w:rPr>
                <w:rFonts w:hint="default" w:ascii="Times New Roman" w:hAnsi="Times New Roman" w:eastAsia="黑体" w:cs="Times New Roman"/>
                <w:snapToGrid w:val="0"/>
                <w:color w:val="auto"/>
                <w:spacing w:val="-16"/>
                <w:kern w:val="21"/>
                <w:sz w:val="21"/>
                <w:szCs w:val="21"/>
              </w:rPr>
              <w:fldChar w:fldCharType="end"/>
            </w:r>
          </w:p>
        </w:tc>
        <w:tc>
          <w:tcPr>
            <w:tcW w:w="1639" w:type="dxa"/>
            <w:tcMar>
              <w:left w:w="28" w:type="dxa"/>
              <w:right w:w="28" w:type="dxa"/>
            </w:tcMar>
            <w:vAlign w:val="center"/>
          </w:tcPr>
          <w:p w14:paraId="6FF7558C">
            <w:pPr>
              <w:pStyle w:val="48"/>
              <w:spacing w:beforeLines="0" w:afterLines="0" w:line="240" w:lineRule="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本项目建成后</w:t>
            </w:r>
          </w:p>
          <w:p w14:paraId="2B4D3EF2">
            <w:pPr>
              <w:pStyle w:val="48"/>
              <w:spacing w:beforeLines="0" w:afterLines="0" w:line="240" w:lineRule="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全厂排放量（固体废物产生量）</w:t>
            </w:r>
            <w:r>
              <w:rPr>
                <w:rFonts w:hint="default" w:ascii="Times New Roman" w:hAnsi="Times New Roman" w:eastAsia="黑体" w:cs="Times New Roman"/>
                <w:snapToGrid w:val="0"/>
                <w:color w:val="auto"/>
                <w:spacing w:val="-16"/>
                <w:kern w:val="21"/>
                <w:sz w:val="21"/>
                <w:szCs w:val="21"/>
              </w:rPr>
              <w:fldChar w:fldCharType="begin"/>
            </w:r>
            <w:r>
              <w:rPr>
                <w:rFonts w:hint="default" w:ascii="Times New Roman" w:hAnsi="Times New Roman" w:eastAsia="黑体" w:cs="Times New Roman"/>
                <w:snapToGrid w:val="0"/>
                <w:color w:val="auto"/>
                <w:spacing w:val="-16"/>
                <w:kern w:val="21"/>
                <w:sz w:val="21"/>
                <w:szCs w:val="21"/>
              </w:rPr>
              <w:instrText xml:space="preserve"> = 6 \* GB3 \* MERGEFORMAT </w:instrText>
            </w:r>
            <w:r>
              <w:rPr>
                <w:rFonts w:hint="default" w:ascii="Times New Roman" w:hAnsi="Times New Roman" w:eastAsia="黑体" w:cs="Times New Roman"/>
                <w:snapToGrid w:val="0"/>
                <w:color w:val="auto"/>
                <w:spacing w:val="-16"/>
                <w:kern w:val="21"/>
                <w:sz w:val="21"/>
                <w:szCs w:val="21"/>
              </w:rPr>
              <w:fldChar w:fldCharType="separate"/>
            </w:r>
            <w:r>
              <w:rPr>
                <w:rFonts w:hint="default" w:ascii="Times New Roman" w:hAnsi="Times New Roman" w:eastAsia="黑体" w:cs="Times New Roman"/>
                <w:color w:val="auto"/>
                <w:kern w:val="2"/>
                <w:sz w:val="21"/>
                <w:szCs w:val="21"/>
              </w:rPr>
              <w:t>⑥</w:t>
            </w:r>
            <w:r>
              <w:rPr>
                <w:rFonts w:hint="default" w:ascii="Times New Roman" w:hAnsi="Times New Roman" w:eastAsia="黑体" w:cs="Times New Roman"/>
                <w:snapToGrid w:val="0"/>
                <w:color w:val="auto"/>
                <w:spacing w:val="-16"/>
                <w:kern w:val="21"/>
                <w:sz w:val="21"/>
                <w:szCs w:val="21"/>
              </w:rPr>
              <w:fldChar w:fldCharType="end"/>
            </w:r>
          </w:p>
        </w:tc>
        <w:tc>
          <w:tcPr>
            <w:tcW w:w="1430" w:type="dxa"/>
            <w:tcMar>
              <w:left w:w="28" w:type="dxa"/>
              <w:right w:w="28" w:type="dxa"/>
            </w:tcMar>
            <w:vAlign w:val="center"/>
          </w:tcPr>
          <w:p w14:paraId="590F0840">
            <w:pPr>
              <w:pStyle w:val="48"/>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变化量</w:t>
            </w:r>
          </w:p>
          <w:p w14:paraId="10C73E73">
            <w:pPr>
              <w:pStyle w:val="48"/>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7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⑦</w:t>
            </w:r>
            <w:r>
              <w:rPr>
                <w:rFonts w:hint="default" w:ascii="Times New Roman" w:hAnsi="Times New Roman" w:eastAsia="黑体" w:cs="Times New Roman"/>
                <w:snapToGrid w:val="0"/>
                <w:color w:val="auto"/>
                <w:spacing w:val="-6"/>
                <w:kern w:val="21"/>
                <w:sz w:val="21"/>
                <w:szCs w:val="21"/>
              </w:rPr>
              <w:fldChar w:fldCharType="end"/>
            </w:r>
          </w:p>
        </w:tc>
      </w:tr>
      <w:tr w14:paraId="166A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Align w:val="center"/>
          </w:tcPr>
          <w:p w14:paraId="2A52BFC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901" w:type="dxa"/>
            <w:vAlign w:val="center"/>
          </w:tcPr>
          <w:p w14:paraId="749A51A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非甲烷总烃</w:t>
            </w:r>
          </w:p>
        </w:tc>
        <w:tc>
          <w:tcPr>
            <w:tcW w:w="1701" w:type="dxa"/>
            <w:vAlign w:val="center"/>
          </w:tcPr>
          <w:p w14:paraId="2ACEBA4F">
            <w:pPr>
              <w:widowControl/>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0"/>
                <w:sz w:val="21"/>
                <w:szCs w:val="21"/>
                <w:lang w:val="en-US" w:eastAsia="zh-CN" w:bidi="ar-SA"/>
              </w:rPr>
              <w:t>0.338</w:t>
            </w:r>
          </w:p>
        </w:tc>
        <w:tc>
          <w:tcPr>
            <w:tcW w:w="1523" w:type="dxa"/>
            <w:vAlign w:val="center"/>
          </w:tcPr>
          <w:p w14:paraId="787908DB">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4D7C0EDD">
            <w:pPr>
              <w:spacing w:beforeLines="0" w:afterLines="0" w:line="240" w:lineRule="auto"/>
              <w:jc w:val="center"/>
              <w:rPr>
                <w:rFonts w:hint="default" w:ascii="Times New Roman" w:hAnsi="Times New Roman" w:cs="Times New Roman"/>
                <w:snapToGrid w:val="0"/>
                <w:color w:val="auto"/>
                <w:kern w:val="21"/>
                <w:sz w:val="21"/>
                <w:szCs w:val="21"/>
              </w:rPr>
            </w:pPr>
            <w:r>
              <w:rPr>
                <w:rFonts w:hint="eastAsia" w:cs="Times New Roman"/>
                <w:color w:val="auto"/>
                <w:kern w:val="0"/>
                <w:sz w:val="21"/>
                <w:szCs w:val="21"/>
                <w:lang w:val="en-US" w:eastAsia="zh-CN" w:bidi="ar-SA"/>
              </w:rPr>
              <w:t>0</w:t>
            </w:r>
          </w:p>
        </w:tc>
        <w:tc>
          <w:tcPr>
            <w:tcW w:w="1559" w:type="dxa"/>
            <w:vAlign w:val="center"/>
          </w:tcPr>
          <w:p w14:paraId="2100FFE5">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0.296</w:t>
            </w:r>
          </w:p>
        </w:tc>
        <w:tc>
          <w:tcPr>
            <w:tcW w:w="1427" w:type="dxa"/>
            <w:vAlign w:val="center"/>
          </w:tcPr>
          <w:p w14:paraId="58A20076">
            <w:pPr>
              <w:adjustRightInd w:val="0"/>
              <w:snapToGrid w:val="0"/>
              <w:jc w:val="center"/>
              <w:rPr>
                <w:rFonts w:hint="default" w:cs="Times New Roman"/>
                <w:color w:val="auto"/>
                <w:sz w:val="21"/>
                <w:szCs w:val="21"/>
                <w:lang w:val="en-US" w:eastAsia="zh-CN"/>
              </w:rPr>
            </w:pPr>
            <w:r>
              <w:rPr>
                <w:rFonts w:hint="eastAsia" w:cs="Times New Roman"/>
                <w:color w:val="auto"/>
                <w:kern w:val="0"/>
                <w:sz w:val="21"/>
                <w:szCs w:val="21"/>
                <w:lang w:val="en-US" w:eastAsia="zh-CN" w:bidi="ar-SA"/>
              </w:rPr>
              <w:t>0.338</w:t>
            </w:r>
          </w:p>
        </w:tc>
        <w:tc>
          <w:tcPr>
            <w:tcW w:w="1639" w:type="dxa"/>
            <w:vAlign w:val="center"/>
          </w:tcPr>
          <w:p w14:paraId="5D9D741D">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0.296</w:t>
            </w:r>
          </w:p>
        </w:tc>
        <w:tc>
          <w:tcPr>
            <w:tcW w:w="1430" w:type="dxa"/>
            <w:vAlign w:val="center"/>
          </w:tcPr>
          <w:p w14:paraId="7ABD1927">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-0.042</w:t>
            </w:r>
          </w:p>
        </w:tc>
      </w:tr>
      <w:tr w14:paraId="4468B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7C83D87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1901" w:type="dxa"/>
            <w:vAlign w:val="center"/>
          </w:tcPr>
          <w:p w14:paraId="1F224A3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水量</w:t>
            </w:r>
          </w:p>
        </w:tc>
        <w:tc>
          <w:tcPr>
            <w:tcW w:w="1701" w:type="dxa"/>
            <w:vAlign w:val="center"/>
          </w:tcPr>
          <w:p w14:paraId="79806C2F">
            <w:pPr>
              <w:widowControl w:val="0"/>
              <w:bidi w:val="0"/>
              <w:spacing w:line="240" w:lineRule="exact"/>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cs="Times New Roman"/>
                <w:color w:val="auto"/>
                <w:sz w:val="21"/>
                <w:szCs w:val="21"/>
                <w:lang w:val="en-US" w:eastAsia="zh-CN"/>
              </w:rPr>
              <w:t>360</w:t>
            </w:r>
          </w:p>
        </w:tc>
        <w:tc>
          <w:tcPr>
            <w:tcW w:w="1523" w:type="dxa"/>
            <w:vAlign w:val="center"/>
          </w:tcPr>
          <w:p w14:paraId="6DE44FF6">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67D08B45">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3F9832A7">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sz w:val="21"/>
                <w:szCs w:val="21"/>
                <w:lang w:val="en-US" w:eastAsia="zh-CN"/>
              </w:rPr>
              <w:t>480</w:t>
            </w:r>
          </w:p>
        </w:tc>
        <w:tc>
          <w:tcPr>
            <w:tcW w:w="1427" w:type="dxa"/>
            <w:vAlign w:val="center"/>
          </w:tcPr>
          <w:p w14:paraId="1D6500EC">
            <w:pPr>
              <w:widowControl w:val="0"/>
              <w:bidi w:val="0"/>
              <w:spacing w:line="240" w:lineRule="exact"/>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cs="Times New Roman"/>
                <w:color w:val="auto"/>
                <w:sz w:val="21"/>
                <w:szCs w:val="21"/>
                <w:lang w:val="en-US" w:eastAsia="zh-CN"/>
              </w:rPr>
              <w:t>360</w:t>
            </w:r>
          </w:p>
        </w:tc>
        <w:tc>
          <w:tcPr>
            <w:tcW w:w="1639" w:type="dxa"/>
            <w:vAlign w:val="center"/>
          </w:tcPr>
          <w:p w14:paraId="4ECB5E92">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sz w:val="21"/>
                <w:szCs w:val="21"/>
                <w:lang w:val="en-US" w:eastAsia="zh-CN"/>
              </w:rPr>
              <w:t>480</w:t>
            </w:r>
          </w:p>
        </w:tc>
        <w:tc>
          <w:tcPr>
            <w:tcW w:w="1430" w:type="dxa"/>
            <w:vAlign w:val="center"/>
          </w:tcPr>
          <w:p w14:paraId="2D1EABAF">
            <w:pPr>
              <w:keepNext w:val="0"/>
              <w:keepLines w:val="0"/>
              <w:widowControl/>
              <w:suppressLineNumbers w:val="0"/>
              <w:jc w:val="center"/>
              <w:textAlignment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+120</w:t>
            </w:r>
          </w:p>
        </w:tc>
      </w:tr>
      <w:tr w14:paraId="7CC64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2C9A0707">
            <w:pPr>
              <w:adjustRightInd w:val="0"/>
              <w:snapToGrid w:val="0"/>
              <w:jc w:val="center"/>
              <w:rPr>
                <w:rFonts w:hint="default" w:ascii="Times New Roman" w:hAnsi="Times New Roman" w:eastAsia="宋体" w:cs="Times New Roman"/>
                <w:color w:val="auto"/>
                <w:sz w:val="21"/>
                <w:szCs w:val="21"/>
              </w:rPr>
            </w:pPr>
          </w:p>
        </w:tc>
        <w:tc>
          <w:tcPr>
            <w:tcW w:w="1901" w:type="dxa"/>
            <w:vAlign w:val="center"/>
          </w:tcPr>
          <w:p w14:paraId="453E8AA8">
            <w:pPr>
              <w:tabs>
                <w:tab w:val="left" w:pos="6840"/>
              </w:tabs>
              <w:spacing w:line="270" w:lineRule="exact"/>
              <w:jc w:val="center"/>
              <w:rPr>
                <w:rFonts w:hint="default" w:ascii="Times New Roman" w:hAnsi="Times New Roman" w:cs="Times New Roman"/>
                <w:color w:val="auto"/>
                <w:sz w:val="21"/>
                <w:szCs w:val="21"/>
              </w:rPr>
            </w:pPr>
            <w:r>
              <w:rPr>
                <w:color w:val="auto"/>
                <w:szCs w:val="21"/>
              </w:rPr>
              <w:t>COD</w:t>
            </w:r>
          </w:p>
        </w:tc>
        <w:tc>
          <w:tcPr>
            <w:tcW w:w="1701" w:type="dxa"/>
            <w:vAlign w:val="center"/>
          </w:tcPr>
          <w:p w14:paraId="5CF5EB99">
            <w:pPr>
              <w:widowControl w:val="0"/>
              <w:bidi w:val="0"/>
              <w:spacing w:line="240" w:lineRule="exact"/>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cs="Times New Roman"/>
                <w:color w:val="auto"/>
                <w:sz w:val="21"/>
                <w:szCs w:val="21"/>
                <w:lang w:val="en-US" w:eastAsia="zh-CN"/>
              </w:rPr>
              <w:t>0.09</w:t>
            </w:r>
          </w:p>
        </w:tc>
        <w:tc>
          <w:tcPr>
            <w:tcW w:w="1523" w:type="dxa"/>
            <w:vAlign w:val="center"/>
          </w:tcPr>
          <w:p w14:paraId="18C0B2C8">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57587A97">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11D346EF">
            <w:pPr>
              <w:tabs>
                <w:tab w:val="left" w:pos="6840"/>
              </w:tabs>
              <w:spacing w:line="27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 w:val="21"/>
                <w:szCs w:val="21"/>
                <w:lang w:val="en-US" w:eastAsia="zh-CN"/>
              </w:rPr>
              <w:t xml:space="preserve">0.1440 </w:t>
            </w:r>
          </w:p>
        </w:tc>
        <w:tc>
          <w:tcPr>
            <w:tcW w:w="1427" w:type="dxa"/>
            <w:vAlign w:val="center"/>
          </w:tcPr>
          <w:p w14:paraId="4E2E8512">
            <w:pPr>
              <w:widowControl w:val="0"/>
              <w:bidi w:val="0"/>
              <w:spacing w:line="240" w:lineRule="exact"/>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cs="Times New Roman"/>
                <w:color w:val="auto"/>
                <w:sz w:val="21"/>
                <w:szCs w:val="21"/>
                <w:lang w:val="en-US" w:eastAsia="zh-CN"/>
              </w:rPr>
              <w:t>0.09</w:t>
            </w:r>
          </w:p>
        </w:tc>
        <w:tc>
          <w:tcPr>
            <w:tcW w:w="1639" w:type="dxa"/>
            <w:vAlign w:val="center"/>
          </w:tcPr>
          <w:p w14:paraId="4515AE7A">
            <w:pPr>
              <w:tabs>
                <w:tab w:val="left" w:pos="6840"/>
              </w:tabs>
              <w:spacing w:line="27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 w:val="21"/>
                <w:szCs w:val="21"/>
                <w:lang w:val="en-US" w:eastAsia="zh-CN"/>
              </w:rPr>
              <w:t xml:space="preserve">0.1440 </w:t>
            </w:r>
          </w:p>
        </w:tc>
        <w:tc>
          <w:tcPr>
            <w:tcW w:w="1430" w:type="dxa"/>
            <w:vAlign w:val="center"/>
          </w:tcPr>
          <w:p w14:paraId="5845E389">
            <w:pPr>
              <w:keepNext w:val="0"/>
              <w:keepLines w:val="0"/>
              <w:widowControl/>
              <w:suppressLineNumbers w:val="0"/>
              <w:jc w:val="center"/>
              <w:textAlignment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+0.054</w:t>
            </w:r>
          </w:p>
        </w:tc>
      </w:tr>
      <w:tr w14:paraId="6AC72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15F23A4D">
            <w:pPr>
              <w:adjustRightInd w:val="0"/>
              <w:snapToGrid w:val="0"/>
              <w:jc w:val="center"/>
              <w:rPr>
                <w:rFonts w:hint="default" w:ascii="Times New Roman" w:hAnsi="Times New Roman" w:eastAsia="宋体" w:cs="Times New Roman"/>
                <w:color w:val="auto"/>
                <w:sz w:val="21"/>
                <w:szCs w:val="21"/>
              </w:rPr>
            </w:pPr>
          </w:p>
        </w:tc>
        <w:tc>
          <w:tcPr>
            <w:tcW w:w="1901" w:type="dxa"/>
            <w:vAlign w:val="center"/>
          </w:tcPr>
          <w:p w14:paraId="0CA2AC8E">
            <w:pPr>
              <w:tabs>
                <w:tab w:val="left" w:pos="6840"/>
              </w:tabs>
              <w:spacing w:line="270" w:lineRule="exact"/>
              <w:jc w:val="center"/>
              <w:rPr>
                <w:rFonts w:hint="default" w:ascii="Times New Roman" w:hAnsi="Times New Roman" w:cs="Times New Roman"/>
                <w:color w:val="auto"/>
                <w:sz w:val="21"/>
                <w:szCs w:val="21"/>
              </w:rPr>
            </w:pPr>
            <w:r>
              <w:rPr>
                <w:color w:val="auto"/>
                <w:szCs w:val="21"/>
              </w:rPr>
              <w:t>SS</w:t>
            </w:r>
          </w:p>
        </w:tc>
        <w:tc>
          <w:tcPr>
            <w:tcW w:w="1701" w:type="dxa"/>
            <w:vAlign w:val="center"/>
          </w:tcPr>
          <w:p w14:paraId="4C1C3B11">
            <w:pPr>
              <w:widowControl w:val="0"/>
              <w:bidi w:val="0"/>
              <w:spacing w:line="240" w:lineRule="exact"/>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cs="Times New Roman"/>
                <w:color w:val="auto"/>
                <w:sz w:val="21"/>
                <w:szCs w:val="21"/>
                <w:lang w:val="en-US" w:eastAsia="zh-CN"/>
              </w:rPr>
              <w:t>0.0288</w:t>
            </w:r>
          </w:p>
        </w:tc>
        <w:tc>
          <w:tcPr>
            <w:tcW w:w="1523" w:type="dxa"/>
            <w:vAlign w:val="center"/>
          </w:tcPr>
          <w:p w14:paraId="5B8BCEBA">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015BF1F0">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1C50A844">
            <w:pPr>
              <w:tabs>
                <w:tab w:val="left" w:pos="6840"/>
              </w:tabs>
              <w:spacing w:line="27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 w:val="21"/>
                <w:szCs w:val="21"/>
                <w:lang w:val="en-US" w:eastAsia="zh-CN"/>
              </w:rPr>
              <w:t xml:space="preserve">0.0960 </w:t>
            </w:r>
          </w:p>
        </w:tc>
        <w:tc>
          <w:tcPr>
            <w:tcW w:w="1427" w:type="dxa"/>
            <w:vAlign w:val="center"/>
          </w:tcPr>
          <w:p w14:paraId="5B46B023">
            <w:pPr>
              <w:widowControl w:val="0"/>
              <w:bidi w:val="0"/>
              <w:spacing w:line="240" w:lineRule="exact"/>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cs="Times New Roman"/>
                <w:color w:val="auto"/>
                <w:sz w:val="21"/>
                <w:szCs w:val="21"/>
                <w:lang w:val="en-US" w:eastAsia="zh-CN"/>
              </w:rPr>
              <w:t>0.0288</w:t>
            </w:r>
          </w:p>
        </w:tc>
        <w:tc>
          <w:tcPr>
            <w:tcW w:w="1639" w:type="dxa"/>
            <w:vAlign w:val="center"/>
          </w:tcPr>
          <w:p w14:paraId="6C765921">
            <w:pPr>
              <w:tabs>
                <w:tab w:val="left" w:pos="6840"/>
              </w:tabs>
              <w:spacing w:line="27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 w:val="21"/>
                <w:szCs w:val="21"/>
                <w:lang w:val="en-US" w:eastAsia="zh-CN"/>
              </w:rPr>
              <w:t xml:space="preserve">0.0960 </w:t>
            </w:r>
          </w:p>
        </w:tc>
        <w:tc>
          <w:tcPr>
            <w:tcW w:w="1430" w:type="dxa"/>
            <w:vAlign w:val="center"/>
          </w:tcPr>
          <w:p w14:paraId="25F62DF6">
            <w:pPr>
              <w:keepNext w:val="0"/>
              <w:keepLines w:val="0"/>
              <w:widowControl/>
              <w:suppressLineNumbers w:val="0"/>
              <w:jc w:val="center"/>
              <w:textAlignment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+0.0672</w:t>
            </w:r>
          </w:p>
        </w:tc>
      </w:tr>
      <w:tr w14:paraId="4A9E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3034CC3C">
            <w:pPr>
              <w:adjustRightInd w:val="0"/>
              <w:snapToGrid w:val="0"/>
              <w:jc w:val="center"/>
              <w:rPr>
                <w:rFonts w:hint="default" w:ascii="Times New Roman" w:hAnsi="Times New Roman" w:eastAsia="宋体" w:cs="Times New Roman"/>
                <w:color w:val="auto"/>
                <w:sz w:val="21"/>
                <w:szCs w:val="21"/>
              </w:rPr>
            </w:pPr>
          </w:p>
        </w:tc>
        <w:tc>
          <w:tcPr>
            <w:tcW w:w="1901" w:type="dxa"/>
            <w:vAlign w:val="center"/>
          </w:tcPr>
          <w:p w14:paraId="3FFDC403">
            <w:pPr>
              <w:tabs>
                <w:tab w:val="left" w:pos="6840"/>
              </w:tabs>
              <w:spacing w:line="270" w:lineRule="exact"/>
              <w:jc w:val="center"/>
              <w:rPr>
                <w:rFonts w:hint="default" w:ascii="Times New Roman" w:hAnsi="Times New Roman" w:cs="Times New Roman"/>
                <w:color w:val="auto"/>
                <w:sz w:val="21"/>
                <w:szCs w:val="21"/>
              </w:rPr>
            </w:pPr>
            <w:r>
              <w:rPr>
                <w:color w:val="auto"/>
                <w:szCs w:val="21"/>
              </w:rPr>
              <w:t>NH</w:t>
            </w:r>
            <w:r>
              <w:rPr>
                <w:color w:val="auto"/>
                <w:szCs w:val="21"/>
                <w:vertAlign w:val="subscript"/>
              </w:rPr>
              <w:t>3</w:t>
            </w:r>
            <w:r>
              <w:rPr>
                <w:color w:val="auto"/>
                <w:szCs w:val="21"/>
              </w:rPr>
              <w:t>-N</w:t>
            </w:r>
          </w:p>
        </w:tc>
        <w:tc>
          <w:tcPr>
            <w:tcW w:w="1701" w:type="dxa"/>
            <w:vAlign w:val="center"/>
          </w:tcPr>
          <w:p w14:paraId="5D8248B1">
            <w:pPr>
              <w:widowControl w:val="0"/>
              <w:bidi w:val="0"/>
              <w:spacing w:line="240" w:lineRule="exact"/>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cs="Times New Roman"/>
                <w:color w:val="auto"/>
                <w:sz w:val="21"/>
                <w:szCs w:val="21"/>
                <w:lang w:val="en-US" w:eastAsia="zh-CN"/>
              </w:rPr>
              <w:t>0.0036</w:t>
            </w:r>
          </w:p>
        </w:tc>
        <w:tc>
          <w:tcPr>
            <w:tcW w:w="1523" w:type="dxa"/>
            <w:vAlign w:val="center"/>
          </w:tcPr>
          <w:p w14:paraId="6BF71CF5">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77D047FA">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0B9065C0">
            <w:pPr>
              <w:tabs>
                <w:tab w:val="left" w:pos="6840"/>
              </w:tabs>
              <w:spacing w:line="27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 w:val="21"/>
                <w:szCs w:val="21"/>
                <w:lang w:val="en-US" w:eastAsia="zh-CN"/>
              </w:rPr>
              <w:t xml:space="preserve">0.0096 </w:t>
            </w:r>
          </w:p>
        </w:tc>
        <w:tc>
          <w:tcPr>
            <w:tcW w:w="1427" w:type="dxa"/>
            <w:vAlign w:val="center"/>
          </w:tcPr>
          <w:p w14:paraId="1802F4D6">
            <w:pPr>
              <w:widowControl w:val="0"/>
              <w:bidi w:val="0"/>
              <w:spacing w:line="240" w:lineRule="exact"/>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cs="Times New Roman"/>
                <w:color w:val="auto"/>
                <w:sz w:val="21"/>
                <w:szCs w:val="21"/>
                <w:lang w:val="en-US" w:eastAsia="zh-CN"/>
              </w:rPr>
              <w:t>0.0036</w:t>
            </w:r>
          </w:p>
        </w:tc>
        <w:tc>
          <w:tcPr>
            <w:tcW w:w="1639" w:type="dxa"/>
            <w:vAlign w:val="center"/>
          </w:tcPr>
          <w:p w14:paraId="2AE1C214">
            <w:pPr>
              <w:tabs>
                <w:tab w:val="left" w:pos="6840"/>
              </w:tabs>
              <w:spacing w:line="27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 w:val="21"/>
                <w:szCs w:val="21"/>
                <w:lang w:val="en-US" w:eastAsia="zh-CN"/>
              </w:rPr>
              <w:t xml:space="preserve">0.0096 </w:t>
            </w:r>
          </w:p>
        </w:tc>
        <w:tc>
          <w:tcPr>
            <w:tcW w:w="1430" w:type="dxa"/>
            <w:vAlign w:val="center"/>
          </w:tcPr>
          <w:p w14:paraId="28CE3805">
            <w:pPr>
              <w:keepNext w:val="0"/>
              <w:keepLines w:val="0"/>
              <w:widowControl/>
              <w:suppressLineNumbers w:val="0"/>
              <w:jc w:val="center"/>
              <w:textAlignment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+0.006</w:t>
            </w:r>
          </w:p>
        </w:tc>
      </w:tr>
      <w:tr w14:paraId="52B99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011BAA6D">
            <w:pPr>
              <w:adjustRightInd w:val="0"/>
              <w:snapToGrid w:val="0"/>
              <w:jc w:val="center"/>
              <w:rPr>
                <w:rFonts w:hint="default" w:ascii="Times New Roman" w:hAnsi="Times New Roman" w:eastAsia="宋体" w:cs="Times New Roman"/>
                <w:color w:val="auto"/>
                <w:sz w:val="21"/>
                <w:szCs w:val="21"/>
              </w:rPr>
            </w:pPr>
          </w:p>
        </w:tc>
        <w:tc>
          <w:tcPr>
            <w:tcW w:w="1901" w:type="dxa"/>
            <w:vAlign w:val="center"/>
          </w:tcPr>
          <w:p w14:paraId="66DD78E7">
            <w:pPr>
              <w:tabs>
                <w:tab w:val="left" w:pos="6840"/>
              </w:tabs>
              <w:spacing w:line="270" w:lineRule="exact"/>
              <w:jc w:val="center"/>
              <w:rPr>
                <w:rFonts w:hint="default" w:ascii="Times New Roman" w:hAnsi="Times New Roman" w:cs="Times New Roman"/>
                <w:color w:val="auto"/>
                <w:sz w:val="21"/>
                <w:szCs w:val="21"/>
              </w:rPr>
            </w:pPr>
            <w:r>
              <w:rPr>
                <w:color w:val="auto"/>
                <w:szCs w:val="21"/>
              </w:rPr>
              <w:t>TP</w:t>
            </w:r>
          </w:p>
        </w:tc>
        <w:tc>
          <w:tcPr>
            <w:tcW w:w="1701" w:type="dxa"/>
            <w:vAlign w:val="center"/>
          </w:tcPr>
          <w:p w14:paraId="07463706">
            <w:pPr>
              <w:widowControl w:val="0"/>
              <w:bidi w:val="0"/>
              <w:spacing w:line="240" w:lineRule="exact"/>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cs="Times New Roman"/>
                <w:color w:val="auto"/>
                <w:sz w:val="21"/>
                <w:szCs w:val="21"/>
                <w:lang w:val="en-US" w:eastAsia="zh-CN"/>
              </w:rPr>
              <w:t>0.0007</w:t>
            </w:r>
          </w:p>
        </w:tc>
        <w:tc>
          <w:tcPr>
            <w:tcW w:w="1523" w:type="dxa"/>
            <w:vAlign w:val="center"/>
          </w:tcPr>
          <w:p w14:paraId="6226F00B">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0318691C">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42A7099D">
            <w:pPr>
              <w:tabs>
                <w:tab w:val="left" w:pos="6840"/>
              </w:tabs>
              <w:spacing w:line="27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 w:val="21"/>
                <w:szCs w:val="21"/>
                <w:lang w:val="en-US" w:eastAsia="zh-CN"/>
              </w:rPr>
              <w:t xml:space="preserve">0.0014 </w:t>
            </w:r>
          </w:p>
        </w:tc>
        <w:tc>
          <w:tcPr>
            <w:tcW w:w="1427" w:type="dxa"/>
            <w:vAlign w:val="center"/>
          </w:tcPr>
          <w:p w14:paraId="15D9BACA">
            <w:pPr>
              <w:widowControl w:val="0"/>
              <w:bidi w:val="0"/>
              <w:spacing w:line="240" w:lineRule="exact"/>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cs="Times New Roman"/>
                <w:color w:val="auto"/>
                <w:sz w:val="21"/>
                <w:szCs w:val="21"/>
                <w:lang w:val="en-US" w:eastAsia="zh-CN"/>
              </w:rPr>
              <w:t>0.0007</w:t>
            </w:r>
          </w:p>
        </w:tc>
        <w:tc>
          <w:tcPr>
            <w:tcW w:w="1639" w:type="dxa"/>
            <w:vAlign w:val="center"/>
          </w:tcPr>
          <w:p w14:paraId="3CDF0ABD">
            <w:pPr>
              <w:tabs>
                <w:tab w:val="left" w:pos="6840"/>
              </w:tabs>
              <w:spacing w:line="27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 w:val="21"/>
                <w:szCs w:val="21"/>
                <w:lang w:val="en-US" w:eastAsia="zh-CN"/>
              </w:rPr>
              <w:t xml:space="preserve">0.0014 </w:t>
            </w:r>
          </w:p>
        </w:tc>
        <w:tc>
          <w:tcPr>
            <w:tcW w:w="1430" w:type="dxa"/>
            <w:vAlign w:val="center"/>
          </w:tcPr>
          <w:p w14:paraId="3D7A9B9C">
            <w:pPr>
              <w:keepNext w:val="0"/>
              <w:keepLines w:val="0"/>
              <w:widowControl/>
              <w:suppressLineNumbers w:val="0"/>
              <w:jc w:val="center"/>
              <w:textAlignment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+0.0007</w:t>
            </w:r>
          </w:p>
        </w:tc>
      </w:tr>
      <w:tr w14:paraId="205C9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308440A4">
            <w:pPr>
              <w:adjustRightInd w:val="0"/>
              <w:snapToGrid w:val="0"/>
              <w:jc w:val="center"/>
              <w:rPr>
                <w:rFonts w:hint="default" w:ascii="Times New Roman" w:hAnsi="Times New Roman" w:eastAsia="宋体" w:cs="Times New Roman"/>
                <w:color w:val="auto"/>
                <w:sz w:val="21"/>
                <w:szCs w:val="21"/>
              </w:rPr>
            </w:pPr>
          </w:p>
        </w:tc>
        <w:tc>
          <w:tcPr>
            <w:tcW w:w="1901" w:type="dxa"/>
            <w:vAlign w:val="center"/>
          </w:tcPr>
          <w:p w14:paraId="2FFE9622">
            <w:pPr>
              <w:tabs>
                <w:tab w:val="left" w:pos="6840"/>
              </w:tabs>
              <w:spacing w:line="270" w:lineRule="exact"/>
              <w:jc w:val="center"/>
              <w:rPr>
                <w:rFonts w:hint="default" w:ascii="Times New Roman" w:hAnsi="Times New Roman" w:eastAsia="宋体" w:cs="Times New Roman"/>
                <w:color w:val="auto"/>
                <w:kern w:val="2"/>
                <w:sz w:val="21"/>
                <w:szCs w:val="21"/>
                <w:lang w:val="en-US" w:eastAsia="zh-CN" w:bidi="ar-SA"/>
              </w:rPr>
            </w:pPr>
            <w:r>
              <w:rPr>
                <w:color w:val="auto"/>
                <w:szCs w:val="21"/>
              </w:rPr>
              <w:t>TN</w:t>
            </w:r>
          </w:p>
        </w:tc>
        <w:tc>
          <w:tcPr>
            <w:tcW w:w="1701" w:type="dxa"/>
            <w:vAlign w:val="center"/>
          </w:tcPr>
          <w:p w14:paraId="366C4B93">
            <w:pPr>
              <w:widowControl w:val="0"/>
              <w:bidi w:val="0"/>
              <w:spacing w:line="240" w:lineRule="exact"/>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cs="Times New Roman"/>
                <w:color w:val="auto"/>
                <w:sz w:val="21"/>
                <w:szCs w:val="21"/>
                <w:lang w:val="en-US" w:eastAsia="zh-CN"/>
              </w:rPr>
              <w:t>0.0072</w:t>
            </w:r>
          </w:p>
        </w:tc>
        <w:tc>
          <w:tcPr>
            <w:tcW w:w="1523" w:type="dxa"/>
            <w:vAlign w:val="center"/>
          </w:tcPr>
          <w:p w14:paraId="2F2B2739">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3D39DE41">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0F0A8957">
            <w:pPr>
              <w:tabs>
                <w:tab w:val="left" w:pos="6840"/>
              </w:tabs>
              <w:spacing w:line="27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 w:val="21"/>
                <w:szCs w:val="21"/>
                <w:lang w:val="en-US" w:eastAsia="zh-CN"/>
              </w:rPr>
              <w:t xml:space="preserve">0.0192 </w:t>
            </w:r>
          </w:p>
        </w:tc>
        <w:tc>
          <w:tcPr>
            <w:tcW w:w="1427" w:type="dxa"/>
            <w:vAlign w:val="center"/>
          </w:tcPr>
          <w:p w14:paraId="5873C00A">
            <w:pPr>
              <w:widowControl w:val="0"/>
              <w:bidi w:val="0"/>
              <w:spacing w:line="240" w:lineRule="exact"/>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cs="Times New Roman"/>
                <w:color w:val="auto"/>
                <w:sz w:val="21"/>
                <w:szCs w:val="21"/>
                <w:lang w:val="en-US" w:eastAsia="zh-CN"/>
              </w:rPr>
              <w:t>0.0072</w:t>
            </w:r>
          </w:p>
        </w:tc>
        <w:tc>
          <w:tcPr>
            <w:tcW w:w="1639" w:type="dxa"/>
            <w:vAlign w:val="center"/>
          </w:tcPr>
          <w:p w14:paraId="7ABC7356">
            <w:pPr>
              <w:tabs>
                <w:tab w:val="left" w:pos="6840"/>
              </w:tabs>
              <w:spacing w:line="27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 w:val="21"/>
                <w:szCs w:val="21"/>
                <w:lang w:val="en-US" w:eastAsia="zh-CN"/>
              </w:rPr>
              <w:t xml:space="preserve">0.0192 </w:t>
            </w:r>
          </w:p>
        </w:tc>
        <w:tc>
          <w:tcPr>
            <w:tcW w:w="1430" w:type="dxa"/>
            <w:vAlign w:val="center"/>
          </w:tcPr>
          <w:p w14:paraId="39A13238">
            <w:pPr>
              <w:keepNext w:val="0"/>
              <w:keepLines w:val="0"/>
              <w:widowControl/>
              <w:suppressLineNumbers w:val="0"/>
              <w:jc w:val="center"/>
              <w:textAlignment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+0.012</w:t>
            </w:r>
          </w:p>
        </w:tc>
      </w:tr>
      <w:tr w14:paraId="508E4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72A64B2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一般工业</w:t>
            </w:r>
          </w:p>
          <w:p w14:paraId="0B2A3BB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1901" w:type="dxa"/>
            <w:vAlign w:val="center"/>
          </w:tcPr>
          <w:p w14:paraId="271A0CF7">
            <w:pPr>
              <w:pStyle w:val="7"/>
              <w:adjustRightInd w:val="0"/>
              <w:snapToGrid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边角料</w:t>
            </w:r>
          </w:p>
        </w:tc>
        <w:tc>
          <w:tcPr>
            <w:tcW w:w="1701" w:type="dxa"/>
            <w:vAlign w:val="center"/>
          </w:tcPr>
          <w:p w14:paraId="62DA4D72">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olor w:val="auto"/>
                <w:szCs w:val="21"/>
              </w:rPr>
              <w:t>5</w:t>
            </w:r>
          </w:p>
        </w:tc>
        <w:tc>
          <w:tcPr>
            <w:tcW w:w="1523" w:type="dxa"/>
            <w:vAlign w:val="center"/>
          </w:tcPr>
          <w:p w14:paraId="33E71F87">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461FCED3">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6B5AE72F">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Cs/>
                <w:color w:val="auto"/>
                <w:kern w:val="2"/>
                <w:sz w:val="21"/>
                <w:szCs w:val="21"/>
                <w:lang w:val="en-US" w:eastAsia="zh-CN" w:bidi="ar-SA"/>
              </w:rPr>
              <w:t>3</w:t>
            </w:r>
          </w:p>
        </w:tc>
        <w:tc>
          <w:tcPr>
            <w:tcW w:w="1427" w:type="dxa"/>
            <w:vAlign w:val="center"/>
          </w:tcPr>
          <w:p w14:paraId="2DD6E436">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olor w:val="auto"/>
                <w:szCs w:val="21"/>
              </w:rPr>
              <w:t>5</w:t>
            </w:r>
          </w:p>
        </w:tc>
        <w:tc>
          <w:tcPr>
            <w:tcW w:w="1639" w:type="dxa"/>
            <w:vAlign w:val="center"/>
          </w:tcPr>
          <w:p w14:paraId="11D22567">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Cs/>
                <w:color w:val="auto"/>
                <w:kern w:val="2"/>
                <w:sz w:val="21"/>
                <w:szCs w:val="21"/>
                <w:lang w:val="en-US" w:eastAsia="zh-CN" w:bidi="ar-SA"/>
              </w:rPr>
              <w:t>3</w:t>
            </w:r>
          </w:p>
        </w:tc>
        <w:tc>
          <w:tcPr>
            <w:tcW w:w="1430" w:type="dxa"/>
            <w:vAlign w:val="center"/>
          </w:tcPr>
          <w:p w14:paraId="40350DE5">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-2</w:t>
            </w:r>
          </w:p>
        </w:tc>
      </w:tr>
      <w:tr w14:paraId="4028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2CA1217B">
            <w:pPr>
              <w:adjustRightInd w:val="0"/>
              <w:snapToGrid w:val="0"/>
              <w:jc w:val="center"/>
              <w:rPr>
                <w:rFonts w:hint="default" w:ascii="Times New Roman" w:hAnsi="Times New Roman" w:eastAsia="宋体" w:cs="Times New Roman"/>
                <w:color w:val="auto"/>
                <w:sz w:val="21"/>
                <w:szCs w:val="21"/>
              </w:rPr>
            </w:pPr>
          </w:p>
        </w:tc>
        <w:tc>
          <w:tcPr>
            <w:tcW w:w="1901" w:type="dxa"/>
            <w:vAlign w:val="center"/>
          </w:tcPr>
          <w:p w14:paraId="1DB8A074">
            <w:pPr>
              <w:pStyle w:val="7"/>
              <w:adjustRightInd w:val="0"/>
              <w:snapToGrid w:val="0"/>
              <w:ind w:firstLine="0" w:firstLineChars="0"/>
              <w:jc w:val="center"/>
              <w:rPr>
                <w:rFonts w:hint="eastAsia" w:cs="Times New Roman"/>
                <w:b w:val="0"/>
                <w:bCs w:val="0"/>
                <w:color w:val="auto"/>
                <w:sz w:val="21"/>
                <w:szCs w:val="21"/>
                <w:lang w:val="en-US" w:eastAsia="zh-CN"/>
              </w:rPr>
            </w:pPr>
            <w:r>
              <w:rPr>
                <w:rFonts w:hint="eastAsia" w:ascii="Times New Roman" w:hAnsi="Times New Roman" w:cs="Times New Roman"/>
                <w:color w:val="auto"/>
                <w:sz w:val="21"/>
                <w:szCs w:val="21"/>
                <w:lang w:val="en-US" w:eastAsia="zh-CN"/>
              </w:rPr>
              <w:t>次品</w:t>
            </w:r>
          </w:p>
        </w:tc>
        <w:tc>
          <w:tcPr>
            <w:tcW w:w="1701" w:type="dxa"/>
            <w:vAlign w:val="center"/>
          </w:tcPr>
          <w:p w14:paraId="2191B572">
            <w:pPr>
              <w:adjustRightInd w:val="0"/>
              <w:snapToGrid w:val="0"/>
              <w:jc w:val="center"/>
              <w:rPr>
                <w:rFonts w:hint="eastAsia" w:cs="Times New Roman"/>
                <w:color w:val="auto"/>
                <w:kern w:val="0"/>
                <w:sz w:val="21"/>
                <w:szCs w:val="21"/>
                <w:lang w:val="en-US" w:eastAsia="zh-CN" w:bidi="ar-SA"/>
              </w:rPr>
            </w:pPr>
            <w:r>
              <w:rPr>
                <w:rFonts w:hint="eastAsia"/>
                <w:color w:val="auto"/>
                <w:szCs w:val="21"/>
              </w:rPr>
              <w:t>2.5</w:t>
            </w:r>
          </w:p>
        </w:tc>
        <w:tc>
          <w:tcPr>
            <w:tcW w:w="1523" w:type="dxa"/>
            <w:vAlign w:val="center"/>
          </w:tcPr>
          <w:p w14:paraId="4EBCEA10">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7A0A065C">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2DDBA6D4">
            <w:pPr>
              <w:adjustRightInd w:val="0"/>
              <w:snapToGrid w:val="0"/>
              <w:jc w:val="center"/>
              <w:rPr>
                <w:rFonts w:hint="eastAsia" w:cs="Times New Roman"/>
                <w:b w:val="0"/>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5</w:t>
            </w:r>
          </w:p>
        </w:tc>
        <w:tc>
          <w:tcPr>
            <w:tcW w:w="1427" w:type="dxa"/>
            <w:vAlign w:val="center"/>
          </w:tcPr>
          <w:p w14:paraId="396CE40D">
            <w:pPr>
              <w:adjustRightInd w:val="0"/>
              <w:snapToGrid w:val="0"/>
              <w:jc w:val="center"/>
              <w:rPr>
                <w:rFonts w:hint="eastAsia" w:cs="Times New Roman"/>
                <w:color w:val="auto"/>
                <w:kern w:val="0"/>
                <w:sz w:val="21"/>
                <w:szCs w:val="21"/>
                <w:lang w:val="en-US" w:eastAsia="zh-CN" w:bidi="ar-SA"/>
              </w:rPr>
            </w:pPr>
            <w:r>
              <w:rPr>
                <w:rFonts w:hint="eastAsia"/>
                <w:color w:val="auto"/>
                <w:szCs w:val="21"/>
              </w:rPr>
              <w:t>2.5</w:t>
            </w:r>
          </w:p>
        </w:tc>
        <w:tc>
          <w:tcPr>
            <w:tcW w:w="1639" w:type="dxa"/>
            <w:vAlign w:val="center"/>
          </w:tcPr>
          <w:p w14:paraId="431B741A">
            <w:pPr>
              <w:adjustRightInd w:val="0"/>
              <w:snapToGrid w:val="0"/>
              <w:jc w:val="center"/>
              <w:rPr>
                <w:rFonts w:hint="eastAsia" w:cs="Times New Roman"/>
                <w:b w:val="0"/>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5</w:t>
            </w:r>
          </w:p>
        </w:tc>
        <w:tc>
          <w:tcPr>
            <w:tcW w:w="1430" w:type="dxa"/>
            <w:vAlign w:val="center"/>
          </w:tcPr>
          <w:p w14:paraId="06C01EF0">
            <w:pPr>
              <w:keepNext w:val="0"/>
              <w:keepLines w:val="0"/>
              <w:widowControl/>
              <w:suppressLineNumbers w:val="0"/>
              <w:jc w:val="center"/>
              <w:textAlignment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2.5</w:t>
            </w:r>
          </w:p>
        </w:tc>
      </w:tr>
      <w:tr w14:paraId="7FB03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5C8CBC8B">
            <w:pPr>
              <w:adjustRightInd w:val="0"/>
              <w:snapToGrid w:val="0"/>
              <w:jc w:val="center"/>
              <w:rPr>
                <w:rFonts w:hint="default" w:ascii="Times New Roman" w:hAnsi="Times New Roman" w:eastAsia="宋体" w:cs="Times New Roman"/>
                <w:color w:val="auto"/>
                <w:sz w:val="21"/>
                <w:szCs w:val="21"/>
              </w:rPr>
            </w:pPr>
          </w:p>
        </w:tc>
        <w:tc>
          <w:tcPr>
            <w:tcW w:w="1901" w:type="dxa"/>
            <w:vAlign w:val="center"/>
          </w:tcPr>
          <w:p w14:paraId="385BBE3F">
            <w:pPr>
              <w:pStyle w:val="7"/>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eastAsia"/>
                <w:color w:val="auto"/>
                <w:szCs w:val="21"/>
              </w:rPr>
              <w:t>废包装材料</w:t>
            </w:r>
          </w:p>
        </w:tc>
        <w:tc>
          <w:tcPr>
            <w:tcW w:w="1701" w:type="dxa"/>
            <w:vAlign w:val="center"/>
          </w:tcPr>
          <w:p w14:paraId="58938BDF">
            <w:pPr>
              <w:adjustRightInd w:val="0"/>
              <w:snapToGrid w:val="0"/>
              <w:jc w:val="center"/>
              <w:rPr>
                <w:rFonts w:hint="eastAsia" w:cs="Times New Roman"/>
                <w:color w:val="auto"/>
                <w:kern w:val="0"/>
                <w:sz w:val="21"/>
                <w:szCs w:val="21"/>
                <w:lang w:val="en-US" w:eastAsia="zh-CN" w:bidi="ar-SA"/>
              </w:rPr>
            </w:pPr>
            <w:r>
              <w:rPr>
                <w:rFonts w:hint="eastAsia"/>
                <w:color w:val="auto"/>
                <w:szCs w:val="21"/>
              </w:rPr>
              <w:t>1</w:t>
            </w:r>
          </w:p>
        </w:tc>
        <w:tc>
          <w:tcPr>
            <w:tcW w:w="1523" w:type="dxa"/>
            <w:vAlign w:val="center"/>
          </w:tcPr>
          <w:p w14:paraId="57FD90C7">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77D9EE81">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7BAC26F4">
            <w:pPr>
              <w:adjustRightInd w:val="0"/>
              <w:snapToGrid w:val="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w:t>
            </w:r>
          </w:p>
        </w:tc>
        <w:tc>
          <w:tcPr>
            <w:tcW w:w="1427" w:type="dxa"/>
            <w:vAlign w:val="center"/>
          </w:tcPr>
          <w:p w14:paraId="61008D52">
            <w:pPr>
              <w:adjustRightInd w:val="0"/>
              <w:snapToGrid w:val="0"/>
              <w:jc w:val="center"/>
              <w:rPr>
                <w:rFonts w:hint="eastAsia" w:cs="Times New Roman"/>
                <w:color w:val="auto"/>
                <w:kern w:val="0"/>
                <w:sz w:val="21"/>
                <w:szCs w:val="21"/>
                <w:lang w:val="en-US" w:eastAsia="zh-CN" w:bidi="ar-SA"/>
              </w:rPr>
            </w:pPr>
            <w:r>
              <w:rPr>
                <w:rFonts w:hint="eastAsia"/>
                <w:color w:val="auto"/>
                <w:szCs w:val="21"/>
              </w:rPr>
              <w:t>1</w:t>
            </w:r>
          </w:p>
        </w:tc>
        <w:tc>
          <w:tcPr>
            <w:tcW w:w="1639" w:type="dxa"/>
            <w:vAlign w:val="center"/>
          </w:tcPr>
          <w:p w14:paraId="2388748F">
            <w:pPr>
              <w:adjustRightInd w:val="0"/>
              <w:snapToGrid w:val="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w:t>
            </w:r>
          </w:p>
        </w:tc>
        <w:tc>
          <w:tcPr>
            <w:tcW w:w="1430" w:type="dxa"/>
            <w:vAlign w:val="center"/>
          </w:tcPr>
          <w:p w14:paraId="3D56FDAC">
            <w:pPr>
              <w:keepNext w:val="0"/>
              <w:keepLines w:val="0"/>
              <w:widowControl/>
              <w:suppressLineNumbers w:val="0"/>
              <w:jc w:val="center"/>
              <w:textAlignment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w:t>
            </w:r>
          </w:p>
        </w:tc>
      </w:tr>
      <w:tr w14:paraId="1CD9E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042A776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w:t>
            </w:r>
          </w:p>
        </w:tc>
        <w:tc>
          <w:tcPr>
            <w:tcW w:w="1901" w:type="dxa"/>
            <w:vAlign w:val="center"/>
          </w:tcPr>
          <w:p w14:paraId="694D1FF3">
            <w:pPr>
              <w:pStyle w:val="7"/>
              <w:adjustRightInd w:val="0"/>
              <w:snapToGrid w:val="0"/>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含油墨</w:t>
            </w:r>
            <w:r>
              <w:rPr>
                <w:rFonts w:hint="default" w:ascii="Times New Roman" w:hAnsi="Times New Roman" w:eastAsia="宋体" w:cs="Times New Roman"/>
                <w:b w:val="0"/>
                <w:bCs w:val="0"/>
                <w:color w:val="auto"/>
                <w:kern w:val="2"/>
                <w:sz w:val="21"/>
                <w:szCs w:val="21"/>
                <w:lang w:val="en-US" w:eastAsia="zh-CN" w:bidi="ar-SA"/>
              </w:rPr>
              <w:t>废抹布</w:t>
            </w:r>
          </w:p>
        </w:tc>
        <w:tc>
          <w:tcPr>
            <w:tcW w:w="1701" w:type="dxa"/>
            <w:vAlign w:val="center"/>
          </w:tcPr>
          <w:p w14:paraId="252D3743">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0.5</w:t>
            </w:r>
          </w:p>
        </w:tc>
        <w:tc>
          <w:tcPr>
            <w:tcW w:w="1523" w:type="dxa"/>
            <w:vAlign w:val="center"/>
          </w:tcPr>
          <w:p w14:paraId="11052C61">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0C03F3FF">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76B86076">
            <w:pPr>
              <w:adjustRightInd w:val="0"/>
              <w:snapToGrid w:val="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0.1</w:t>
            </w:r>
          </w:p>
        </w:tc>
        <w:tc>
          <w:tcPr>
            <w:tcW w:w="1427" w:type="dxa"/>
            <w:shd w:val="clear" w:color="auto" w:fill="auto"/>
            <w:vAlign w:val="center"/>
          </w:tcPr>
          <w:p w14:paraId="3EC1A3EC">
            <w:pPr>
              <w:adjustRightInd w:val="0"/>
              <w:snapToGrid w:val="0"/>
              <w:spacing w:line="280" w:lineRule="exact"/>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0.5</w:t>
            </w:r>
          </w:p>
        </w:tc>
        <w:tc>
          <w:tcPr>
            <w:tcW w:w="1639" w:type="dxa"/>
            <w:shd w:val="clear" w:color="auto" w:fill="auto"/>
            <w:vAlign w:val="center"/>
          </w:tcPr>
          <w:p w14:paraId="5B2210F8">
            <w:pPr>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cs="Times New Roman"/>
                <w:bCs/>
                <w:color w:val="auto"/>
                <w:kern w:val="2"/>
                <w:sz w:val="21"/>
                <w:szCs w:val="21"/>
                <w:lang w:val="en-US" w:eastAsia="zh-CN" w:bidi="ar-SA"/>
              </w:rPr>
              <w:t>0.1</w:t>
            </w:r>
          </w:p>
        </w:tc>
        <w:tc>
          <w:tcPr>
            <w:tcW w:w="1430" w:type="dxa"/>
            <w:vAlign w:val="center"/>
          </w:tcPr>
          <w:p w14:paraId="2A338F28">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-0.4</w:t>
            </w:r>
          </w:p>
        </w:tc>
      </w:tr>
      <w:tr w14:paraId="08C07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5441D111">
            <w:pPr>
              <w:pStyle w:val="48"/>
              <w:spacing w:before="31" w:after="31"/>
              <w:rPr>
                <w:rFonts w:hint="default" w:ascii="Times New Roman" w:hAnsi="Times New Roman" w:cs="Times New Roman"/>
                <w:snapToGrid w:val="0"/>
                <w:color w:val="auto"/>
                <w:kern w:val="21"/>
                <w:sz w:val="21"/>
                <w:szCs w:val="21"/>
              </w:rPr>
            </w:pPr>
          </w:p>
        </w:tc>
        <w:tc>
          <w:tcPr>
            <w:tcW w:w="1901" w:type="dxa"/>
            <w:vAlign w:val="center"/>
          </w:tcPr>
          <w:p w14:paraId="02A7F025">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废包装桶</w:t>
            </w:r>
          </w:p>
        </w:tc>
        <w:tc>
          <w:tcPr>
            <w:tcW w:w="1701" w:type="dxa"/>
            <w:vAlign w:val="center"/>
          </w:tcPr>
          <w:p w14:paraId="1D058BFB">
            <w:pPr>
              <w:adjustRightInd w:val="0"/>
              <w:snapToGrid w:val="0"/>
              <w:spacing w:line="280" w:lineRule="exact"/>
              <w:jc w:val="center"/>
              <w:rPr>
                <w:rFonts w:hint="eastAsia" w:cs="Times New Roman"/>
                <w:color w:val="auto"/>
                <w:kern w:val="0"/>
                <w:sz w:val="21"/>
                <w:szCs w:val="21"/>
                <w:lang w:val="en-US" w:eastAsia="zh-CN" w:bidi="ar-SA"/>
              </w:rPr>
            </w:pPr>
            <w:r>
              <w:rPr>
                <w:rFonts w:hint="eastAsia"/>
                <w:color w:val="auto"/>
              </w:rPr>
              <w:t>1.12</w:t>
            </w:r>
          </w:p>
        </w:tc>
        <w:tc>
          <w:tcPr>
            <w:tcW w:w="1523" w:type="dxa"/>
            <w:vAlign w:val="center"/>
          </w:tcPr>
          <w:p w14:paraId="27D1757C">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3C7BA6C6">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79F74F67">
            <w:pPr>
              <w:adjustRightInd w:val="0"/>
              <w:snapToGrid w:val="0"/>
              <w:jc w:val="center"/>
              <w:rPr>
                <w:rFonts w:hint="eastAsia" w:cs="Times New Roman"/>
                <w:b w:val="0"/>
                <w:bCs/>
                <w:color w:val="auto"/>
                <w:sz w:val="21"/>
                <w:szCs w:val="21"/>
                <w:lang w:val="en-US" w:eastAsia="zh-CN"/>
              </w:rPr>
            </w:pPr>
            <w:r>
              <w:rPr>
                <w:rFonts w:hint="eastAsia" w:cs="Times New Roman"/>
                <w:b w:val="0"/>
                <w:bCs w:val="0"/>
                <w:color w:val="auto"/>
                <w:kern w:val="2"/>
                <w:sz w:val="21"/>
                <w:szCs w:val="21"/>
                <w:lang w:val="en-US" w:eastAsia="zh-CN" w:bidi="ar-SA"/>
              </w:rPr>
              <w:t>0.75</w:t>
            </w:r>
          </w:p>
        </w:tc>
        <w:tc>
          <w:tcPr>
            <w:tcW w:w="1427" w:type="dxa"/>
            <w:vAlign w:val="center"/>
          </w:tcPr>
          <w:p w14:paraId="0D08EC36">
            <w:pPr>
              <w:adjustRightInd w:val="0"/>
              <w:snapToGrid w:val="0"/>
              <w:spacing w:line="280" w:lineRule="exact"/>
              <w:jc w:val="center"/>
              <w:rPr>
                <w:rFonts w:hint="eastAsia" w:cs="Times New Roman"/>
                <w:color w:val="auto"/>
                <w:kern w:val="0"/>
                <w:sz w:val="21"/>
                <w:szCs w:val="21"/>
                <w:lang w:val="en-US" w:eastAsia="zh-CN" w:bidi="ar-SA"/>
              </w:rPr>
            </w:pPr>
            <w:r>
              <w:rPr>
                <w:rFonts w:hint="eastAsia"/>
                <w:color w:val="auto"/>
              </w:rPr>
              <w:t>1.12</w:t>
            </w:r>
          </w:p>
        </w:tc>
        <w:tc>
          <w:tcPr>
            <w:tcW w:w="1639" w:type="dxa"/>
            <w:vAlign w:val="center"/>
          </w:tcPr>
          <w:p w14:paraId="62A0EDF9">
            <w:pPr>
              <w:adjustRightInd w:val="0"/>
              <w:snapToGrid w:val="0"/>
              <w:jc w:val="center"/>
              <w:rPr>
                <w:rFonts w:hint="eastAsia" w:cs="Times New Roman"/>
                <w:b w:val="0"/>
                <w:bCs/>
                <w:color w:val="auto"/>
                <w:sz w:val="21"/>
                <w:szCs w:val="21"/>
                <w:lang w:val="en-US" w:eastAsia="zh-CN"/>
              </w:rPr>
            </w:pPr>
            <w:r>
              <w:rPr>
                <w:rFonts w:hint="eastAsia" w:cs="Times New Roman"/>
                <w:b w:val="0"/>
                <w:bCs w:val="0"/>
                <w:color w:val="auto"/>
                <w:kern w:val="2"/>
                <w:sz w:val="21"/>
                <w:szCs w:val="21"/>
                <w:lang w:val="en-US" w:eastAsia="zh-CN" w:bidi="ar-SA"/>
              </w:rPr>
              <w:t>0.75</w:t>
            </w:r>
          </w:p>
        </w:tc>
        <w:tc>
          <w:tcPr>
            <w:tcW w:w="1430" w:type="dxa"/>
            <w:vAlign w:val="center"/>
          </w:tcPr>
          <w:p w14:paraId="61BFBC51">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-0.</w:t>
            </w:r>
            <w:r>
              <w:rPr>
                <w:rFonts w:hint="eastAsia" w:cs="Times New Roman" w:eastAsiaTheme="minorEastAsia"/>
                <w:bCs/>
                <w:color w:val="auto"/>
                <w:kern w:val="2"/>
                <w:sz w:val="21"/>
                <w:szCs w:val="21"/>
                <w:lang w:val="en-US" w:eastAsia="zh-CN" w:bidi="ar-SA"/>
              </w:rPr>
              <w:t>37</w:t>
            </w:r>
          </w:p>
        </w:tc>
      </w:tr>
      <w:tr w14:paraId="092FD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05DF9557">
            <w:pPr>
              <w:pStyle w:val="48"/>
              <w:spacing w:before="31" w:after="31"/>
              <w:rPr>
                <w:rFonts w:hint="default" w:ascii="Times New Roman" w:hAnsi="Times New Roman" w:cs="Times New Roman"/>
                <w:snapToGrid w:val="0"/>
                <w:color w:val="auto"/>
                <w:kern w:val="21"/>
                <w:sz w:val="21"/>
                <w:szCs w:val="21"/>
              </w:rPr>
            </w:pPr>
          </w:p>
        </w:tc>
        <w:tc>
          <w:tcPr>
            <w:tcW w:w="1901" w:type="dxa"/>
            <w:vAlign w:val="center"/>
          </w:tcPr>
          <w:p w14:paraId="0B07FB3A">
            <w:pPr>
              <w:pStyle w:val="7"/>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废活性炭</w:t>
            </w:r>
          </w:p>
        </w:tc>
        <w:tc>
          <w:tcPr>
            <w:tcW w:w="1701" w:type="dxa"/>
            <w:vAlign w:val="center"/>
          </w:tcPr>
          <w:p w14:paraId="2E78EA17">
            <w:pPr>
              <w:adjustRightInd w:val="0"/>
              <w:snapToGrid w:val="0"/>
              <w:spacing w:line="280" w:lineRule="exact"/>
              <w:jc w:val="center"/>
              <w:rPr>
                <w:rFonts w:hint="eastAsia" w:cs="Times New Roman"/>
                <w:color w:val="auto"/>
                <w:kern w:val="0"/>
                <w:sz w:val="21"/>
                <w:szCs w:val="21"/>
                <w:lang w:val="en-US" w:eastAsia="zh-CN" w:bidi="ar-SA"/>
              </w:rPr>
            </w:pPr>
            <w:r>
              <w:rPr>
                <w:rFonts w:hint="eastAsia"/>
                <w:color w:val="auto"/>
                <w:szCs w:val="21"/>
                <w:lang w:eastAsia="zh-CN"/>
              </w:rPr>
              <w:t>25.992</w:t>
            </w:r>
          </w:p>
        </w:tc>
        <w:tc>
          <w:tcPr>
            <w:tcW w:w="1523" w:type="dxa"/>
            <w:vAlign w:val="center"/>
          </w:tcPr>
          <w:p w14:paraId="47435E5C">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3D28BDEF">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34A6132B">
            <w:pPr>
              <w:adjustRightInd w:val="0"/>
              <w:snapToGrid w:val="0"/>
              <w:jc w:val="center"/>
              <w:rPr>
                <w:rFonts w:hint="eastAsia" w:cs="Times New Roman"/>
                <w:b w:val="0"/>
                <w:bCs/>
                <w:color w:val="auto"/>
                <w:sz w:val="21"/>
                <w:szCs w:val="21"/>
                <w:lang w:val="en-US" w:eastAsia="zh-CN"/>
              </w:rPr>
            </w:pPr>
            <w:r>
              <w:rPr>
                <w:rFonts w:hint="eastAsia" w:cs="Times New Roman"/>
                <w:bCs/>
                <w:color w:val="auto"/>
                <w:kern w:val="2"/>
                <w:sz w:val="21"/>
                <w:szCs w:val="21"/>
                <w:lang w:val="en-US" w:eastAsia="zh-CN" w:bidi="ar-SA"/>
              </w:rPr>
              <w:t>10.75</w:t>
            </w:r>
          </w:p>
        </w:tc>
        <w:tc>
          <w:tcPr>
            <w:tcW w:w="1427" w:type="dxa"/>
            <w:vAlign w:val="center"/>
          </w:tcPr>
          <w:p w14:paraId="629909D1">
            <w:pPr>
              <w:adjustRightInd w:val="0"/>
              <w:snapToGrid w:val="0"/>
              <w:spacing w:line="280" w:lineRule="exact"/>
              <w:jc w:val="center"/>
              <w:rPr>
                <w:rFonts w:hint="eastAsia" w:cs="Times New Roman"/>
                <w:color w:val="auto"/>
                <w:kern w:val="0"/>
                <w:sz w:val="21"/>
                <w:szCs w:val="21"/>
                <w:lang w:val="en-US" w:eastAsia="zh-CN" w:bidi="ar-SA"/>
              </w:rPr>
            </w:pPr>
            <w:r>
              <w:rPr>
                <w:rFonts w:hint="eastAsia"/>
                <w:color w:val="auto"/>
                <w:szCs w:val="21"/>
                <w:lang w:eastAsia="zh-CN"/>
              </w:rPr>
              <w:t>25.992</w:t>
            </w:r>
          </w:p>
        </w:tc>
        <w:tc>
          <w:tcPr>
            <w:tcW w:w="1639" w:type="dxa"/>
            <w:vAlign w:val="center"/>
          </w:tcPr>
          <w:p w14:paraId="6CAE800A">
            <w:pPr>
              <w:adjustRightInd w:val="0"/>
              <w:snapToGrid w:val="0"/>
              <w:jc w:val="center"/>
              <w:rPr>
                <w:rFonts w:hint="eastAsia" w:cs="Times New Roman"/>
                <w:b w:val="0"/>
                <w:bCs/>
                <w:color w:val="auto"/>
                <w:sz w:val="21"/>
                <w:szCs w:val="21"/>
                <w:lang w:val="en-US" w:eastAsia="zh-CN"/>
              </w:rPr>
            </w:pPr>
            <w:r>
              <w:rPr>
                <w:rFonts w:hint="eastAsia" w:cs="Times New Roman"/>
                <w:bCs/>
                <w:color w:val="auto"/>
                <w:kern w:val="2"/>
                <w:sz w:val="21"/>
                <w:szCs w:val="21"/>
                <w:lang w:val="en-US" w:eastAsia="zh-CN" w:bidi="ar-SA"/>
              </w:rPr>
              <w:t>10.75</w:t>
            </w:r>
          </w:p>
        </w:tc>
        <w:tc>
          <w:tcPr>
            <w:tcW w:w="1430" w:type="dxa"/>
            <w:vAlign w:val="center"/>
          </w:tcPr>
          <w:p w14:paraId="1E822F8B">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-1</w:t>
            </w:r>
            <w:r>
              <w:rPr>
                <w:rFonts w:hint="eastAsia" w:cs="Times New Roman" w:eastAsiaTheme="minorEastAsia"/>
                <w:bCs/>
                <w:color w:val="auto"/>
                <w:kern w:val="2"/>
                <w:sz w:val="21"/>
                <w:szCs w:val="21"/>
                <w:lang w:val="en-US" w:eastAsia="zh-CN" w:bidi="ar-SA"/>
              </w:rPr>
              <w:t>5.242</w:t>
            </w:r>
          </w:p>
        </w:tc>
      </w:tr>
      <w:tr w14:paraId="7C3A9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005" w:type="dxa"/>
            <w:gridSpan w:val="2"/>
            <w:vAlign w:val="center"/>
          </w:tcPr>
          <w:p w14:paraId="7985EDD5">
            <w:pPr>
              <w:pStyle w:val="7"/>
              <w:adjustRightInd w:val="0"/>
              <w:snapToGrid w:val="0"/>
              <w:ind w:firstLine="0"/>
              <w:jc w:val="center"/>
              <w:rPr>
                <w:rFonts w:hint="default" w:ascii="Times New Roman" w:hAnsi="Times New Roman" w:cs="Times New Roman"/>
                <w:color w:val="auto"/>
                <w:sz w:val="21"/>
                <w:szCs w:val="21"/>
              </w:rPr>
            </w:pPr>
            <w:r>
              <w:rPr>
                <w:rFonts w:hint="default" w:ascii="Times New Roman" w:hAnsi="Times New Roman" w:cs="Times New Roman"/>
                <w:snapToGrid w:val="0"/>
                <w:color w:val="auto"/>
                <w:kern w:val="21"/>
                <w:sz w:val="21"/>
                <w:szCs w:val="21"/>
              </w:rPr>
              <w:t>生活垃圾</w:t>
            </w:r>
          </w:p>
        </w:tc>
        <w:tc>
          <w:tcPr>
            <w:tcW w:w="1701" w:type="dxa"/>
            <w:vAlign w:val="center"/>
          </w:tcPr>
          <w:p w14:paraId="33B2498B">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olor w:val="auto"/>
                <w:szCs w:val="21"/>
              </w:rPr>
              <w:t>2.25</w:t>
            </w:r>
          </w:p>
        </w:tc>
        <w:tc>
          <w:tcPr>
            <w:tcW w:w="1523" w:type="dxa"/>
            <w:vAlign w:val="center"/>
          </w:tcPr>
          <w:p w14:paraId="03859982">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5531F6D6">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5A4B553D">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6</w:t>
            </w:r>
          </w:p>
        </w:tc>
        <w:tc>
          <w:tcPr>
            <w:tcW w:w="1427" w:type="dxa"/>
            <w:vAlign w:val="center"/>
          </w:tcPr>
          <w:p w14:paraId="6C2FC0A6">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olor w:val="auto"/>
                <w:szCs w:val="21"/>
              </w:rPr>
              <w:t>2.25</w:t>
            </w:r>
          </w:p>
        </w:tc>
        <w:tc>
          <w:tcPr>
            <w:tcW w:w="1639" w:type="dxa"/>
            <w:vAlign w:val="center"/>
          </w:tcPr>
          <w:p w14:paraId="065037FF">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6</w:t>
            </w:r>
          </w:p>
        </w:tc>
        <w:tc>
          <w:tcPr>
            <w:tcW w:w="1430" w:type="dxa"/>
            <w:vAlign w:val="center"/>
          </w:tcPr>
          <w:p w14:paraId="39674DF5">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+3.75</w:t>
            </w:r>
          </w:p>
        </w:tc>
      </w:tr>
    </w:tbl>
    <w:p w14:paraId="43A19614">
      <w:pPr>
        <w:keepNext w:val="0"/>
        <w:keepLines w:val="0"/>
        <w:pageBreakBefore w:val="0"/>
        <w:widowControl/>
        <w:kinsoku/>
        <w:wordWrap/>
        <w:overflowPunct/>
        <w:topLinePunct w:val="0"/>
        <w:autoSpaceDE/>
        <w:autoSpaceDN/>
        <w:bidi w:val="0"/>
        <w:adjustRightInd/>
        <w:snapToGrid/>
        <w:textAlignment w:val="auto"/>
        <w:outlineLvl w:val="9"/>
        <w:rPr>
          <w:rFonts w:hint="default" w:ascii="Times New Roman" w:hAnsi="Times New Roman" w:cs="Times New Roman"/>
          <w:color w:val="auto"/>
          <w:highlight w:val="none"/>
          <w:lang w:val="en-US" w:eastAsia="zh-CN"/>
        </w:r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p>
    <w:p w14:paraId="62C6C6C8">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黑体" w:cs="Times New Roman"/>
          <w:color w:val="auto"/>
          <w:sz w:val="10"/>
          <w:szCs w:val="10"/>
        </w:rPr>
      </w:pPr>
    </w:p>
    <w:p w14:paraId="328C104C">
      <w:pPr>
        <w:rPr>
          <w:rFonts w:hint="default"/>
          <w:color w:val="auto"/>
        </w:rPr>
      </w:pPr>
    </w:p>
    <w:sectPr>
      <w:footerReference r:id="rId12" w:type="default"/>
      <w:pgSz w:w="16838" w:h="11906" w:orient="landscape"/>
      <w:pgMar w:top="1417" w:right="1417" w:bottom="1417" w:left="1417" w:header="851" w:footer="851"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
    <w:altName w:val="宋体"/>
    <w:panose1 w:val="00000000000000000000"/>
    <w:charset w:val="86"/>
    <w:family w:val="auto"/>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文鼎CS中宋">
    <w:altName w:val="宋体"/>
    <w:panose1 w:val="00000000000000000000"/>
    <w:charset w:val="86"/>
    <w:family w:val="modern"/>
    <w:pitch w:val="default"/>
    <w:sig w:usb0="00000000" w:usb1="00000000" w:usb2="00000010" w:usb3="00000000" w:csb0="00040000" w:csb1="00000000"/>
  </w:font>
  <w:font w:name="TimesNewRomanPSMT">
    <w:altName w:val="Times New Roman"/>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MingLiU">
    <w:panose1 w:val="02020509000000000000"/>
    <w:charset w:val="88"/>
    <w:family w:val="modern"/>
    <w:pitch w:val="default"/>
    <w:sig w:usb0="A00002FF" w:usb1="28CFFCFA" w:usb2="00000016" w:usb3="00000000" w:csb0="00100001"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CIDFont">
    <w:altName w:val="Calibri"/>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方正小标宋_GBK">
    <w:panose1 w:val="03000509000000000000"/>
    <w:charset w:val="86"/>
    <w:family w:val="auto"/>
    <w:pitch w:val="default"/>
    <w:sig w:usb0="00000001" w:usb1="080E0000" w:usb2="00000000" w:usb3="00000000" w:csb0="0004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04286">
    <w:pPr>
      <w:pStyle w:val="18"/>
      <w:ind w:right="36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6E836">
    <w:pPr>
      <w:pStyle w:val="18"/>
      <w:ind w:right="36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2ED8E">
    <w:pPr>
      <w:pStyle w:val="18"/>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7785E9">
                          <w:pPr>
                            <w:pStyle w:val="18"/>
                          </w:pPr>
                          <w:r>
                            <w:fldChar w:fldCharType="begin"/>
                          </w:r>
                          <w:r>
                            <w:instrText xml:space="preserve"> PAGE  \* MERGEFORMAT </w:instrText>
                          </w:r>
                          <w:r>
                            <w:fldChar w:fldCharType="separate"/>
                          </w:r>
                          <w:r>
                            <w:t>10</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N4GaMkBAACaAwAADgAAAGRycy9lMm9Eb2MueG1srVPNjtMwEL4j8Q6W&#10;79RpkVAVNV3tqlqEhABp4QFcx24s+U8et0lfAN6AExfuPFefg7GTdGG57IFLMp6ZfPN93zibm8Ea&#10;cpIRtHcNXS4qSqQTvtXu0NAvn+9frSmBxF3LjXeyoWcJ9Gb78sWmD7Vc+c6bVkaCIA7qPjS0SynU&#10;jIHopOWw8EE6LCofLU94jAfWRt4jujVsVVVvWO9jG6IXEgCzu7FIJ8T4HECvlBZy58XRSpdG1CgN&#10;TygJOh2AbgtbpaRIH5UCmYhpKCpN5YlDMN7nJ9tueH2IPHRaTBT4cyg80WS5djj0CrXjiZNj1P9A&#10;WS2iB6/SQnjLRiHFEVSxrJ5489DxIIsWtBrC1XT4f7Diw+lTJLpt6Gu0xHGLG798/3b58evy8ytZ&#10;Zn/6ADW2PQRsTMOdH/DWzHnAZJY9qGjzGwURrCPU+equHBIR+aP1ar2usCSwNh8Qnz1+HiKkt9Jb&#10;koOGRlxfcZWf3kMaW+eWPM35e21MWaFxfyUQM2dY5j5yzFEa9sMkaO/bM+rpcfMNdXjRKTHvHBqL&#10;/NIcxDnYz8ExRH3okNqy8IJwe0xIonDLE0bYaTCurKibrle+E3+eS9fjL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I3gZoyQEAAJoDAAAOAAAAAAAAAAEAIAAAAB4BAABkcnMvZTJvRG9j&#10;LnhtbFBLBQYAAAAABgAGAFkBAABZBQAAAAA=&#10;">
              <v:fill on="f" focussize="0,0"/>
              <v:stroke on="f"/>
              <v:imagedata o:title=""/>
              <o:lock v:ext="edit" aspectratio="f"/>
              <v:textbox inset="0mm,0mm,0mm,0mm" style="mso-fit-shape-to-text:t;">
                <w:txbxContent>
                  <w:p w14:paraId="0E7785E9">
                    <w:pPr>
                      <w:pStyle w:val="18"/>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7DF09">
    <w:pPr>
      <w:pStyle w:val="1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C010D5">
                          <w:pPr>
                            <w:pStyle w:val="18"/>
                          </w:pPr>
                          <w:r>
                            <w:fldChar w:fldCharType="begin"/>
                          </w:r>
                          <w:r>
                            <w:instrText xml:space="preserve"> PAGE  \* MERGEFORMAT </w:instrText>
                          </w:r>
                          <w:r>
                            <w:fldChar w:fldCharType="separate"/>
                          </w:r>
                          <w:r>
                            <w:t>17</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s9RskBAACaAwAADgAAAGRycy9lMm9Eb2MueG1srVPNjtMwEL4j8Q6W&#10;79RpJaCK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f2SEsctTvzy/dvlx6/Lz69k&#10;lfvTB6gx7S5gYhre+gG3ZvYDOrPsQUWbvyiIYBy7e752Vw6JiPxovVqvKwwJjM0XxGcPz0OE9E56&#10;S7LR0IjjK13lpw+QxtQ5JVdz/lYbU0Zo3F8OxMwelrmPHLOVhv0wCdr79ox6epx8Qx0uOiXmvcPG&#10;5iWZjTgb+9k4hqgPHVJbFl4Q3hwTkijccoURdiqMIyvqpvXKO/HnvWQ9/FL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YKz1GyQEAAJoDAAAOAAAAAAAAAAEAIAAAAB4BAABkcnMvZTJvRG9j&#10;LnhtbFBLBQYAAAAABgAGAFkBAABZBQAAAAA=&#10;">
              <v:fill on="f" focussize="0,0"/>
              <v:stroke on="f"/>
              <v:imagedata o:title=""/>
              <o:lock v:ext="edit" aspectratio="f"/>
              <v:textbox inset="0mm,0mm,0mm,0mm" style="mso-fit-shape-to-text:t;">
                <w:txbxContent>
                  <w:p w14:paraId="44C010D5">
                    <w:pPr>
                      <w:pStyle w:val="18"/>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7ECF7">
    <w:pPr>
      <w:pStyle w:val="1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84E86E">
                          <w:pPr>
                            <w:pStyle w:val="18"/>
                          </w:pPr>
                          <w:r>
                            <w:fldChar w:fldCharType="begin"/>
                          </w:r>
                          <w:r>
                            <w:instrText xml:space="preserve"> PAGE  \* MERGEFORMAT </w:instrText>
                          </w:r>
                          <w:r>
                            <w:fldChar w:fldCharType="separate"/>
                          </w:r>
                          <w:r>
                            <w:t>18</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vvpskBAACZAwAADgAAAGRycy9lMm9Eb2MueG1srVPNjtMwEL4j8Q6W&#10;79RpV0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6u++myQEAAJkDAAAOAAAAAAAAAAEAIAAAAB4BAABkcnMvZTJvRG9j&#10;LnhtbFBLBQYAAAAABgAGAFkBAABZBQAAAAA=&#10;">
              <v:fill on="f" focussize="0,0"/>
              <v:stroke on="f"/>
              <v:imagedata o:title=""/>
              <o:lock v:ext="edit" aspectratio="f"/>
              <v:textbox inset="0mm,0mm,0mm,0mm" style="mso-fit-shape-to-text:t;">
                <w:txbxContent>
                  <w:p w14:paraId="2484E86E">
                    <w:pPr>
                      <w:pStyle w:val="18"/>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B2339">
    <w:pPr>
      <w:pStyle w:val="18"/>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E17A30">
                          <w:pPr>
                            <w:pStyle w:val="18"/>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2E17A30">
                    <w:pPr>
                      <w:pStyle w:val="18"/>
                    </w:pPr>
                    <w:r>
                      <w:fldChar w:fldCharType="begin"/>
                    </w:r>
                    <w:r>
                      <w:instrText xml:space="preserve"> PAGE  \* MERGEFORMAT </w:instrText>
                    </w:r>
                    <w:r>
                      <w:fldChar w:fldCharType="separate"/>
                    </w:r>
                    <w:r>
                      <w:t>75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C246A">
    <w:pPr>
      <w:pStyle w:val="1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38D2A">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6819A">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445AA">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2D634B"/>
    <w:multiLevelType w:val="singleLevel"/>
    <w:tmpl w:val="802D634B"/>
    <w:lvl w:ilvl="0" w:tentative="0">
      <w:start w:val="1"/>
      <w:numFmt w:val="chineseCounting"/>
      <w:suff w:val="nothing"/>
      <w:lvlText w:val="%1、"/>
      <w:lvlJc w:val="left"/>
      <w:rPr>
        <w:rFonts w:hint="eastAsia"/>
      </w:rPr>
    </w:lvl>
  </w:abstractNum>
  <w:abstractNum w:abstractNumId="1">
    <w:nsid w:val="85A6AE1E"/>
    <w:multiLevelType w:val="singleLevel"/>
    <w:tmpl w:val="85A6AE1E"/>
    <w:lvl w:ilvl="0" w:tentative="0">
      <w:start w:val="1"/>
      <w:numFmt w:val="decimal"/>
      <w:suff w:val="nothing"/>
      <w:lvlText w:val="%1"/>
      <w:lvlJc w:val="left"/>
      <w:pPr>
        <w:tabs>
          <w:tab w:val="left" w:pos="0"/>
        </w:tabs>
        <w:ind w:left="0" w:firstLine="0"/>
      </w:pPr>
      <w:rPr>
        <w:rFonts w:hint="default" w:ascii="Times New Roman" w:hAnsi="Times New Roman" w:eastAsia="宋体" w:cs="宋体"/>
        <w:sz w:val="21"/>
      </w:rPr>
    </w:lvl>
  </w:abstractNum>
  <w:abstractNum w:abstractNumId="2">
    <w:nsid w:val="A9E15E38"/>
    <w:multiLevelType w:val="singleLevel"/>
    <w:tmpl w:val="A9E15E38"/>
    <w:lvl w:ilvl="0" w:tentative="0">
      <w:start w:val="6"/>
      <w:numFmt w:val="decimal"/>
      <w:suff w:val="nothing"/>
      <w:lvlText w:val="%1、"/>
      <w:lvlJc w:val="left"/>
    </w:lvl>
  </w:abstractNum>
  <w:abstractNum w:abstractNumId="3">
    <w:nsid w:val="BF0578C4"/>
    <w:multiLevelType w:val="singleLevel"/>
    <w:tmpl w:val="BF0578C4"/>
    <w:lvl w:ilvl="0" w:tentative="0">
      <w:start w:val="1"/>
      <w:numFmt w:val="decimal"/>
      <w:suff w:val="nothing"/>
      <w:lvlText w:val="（%1）"/>
      <w:lvlJc w:val="left"/>
    </w:lvl>
  </w:abstractNum>
  <w:abstractNum w:abstractNumId="4">
    <w:nsid w:val="07EEF809"/>
    <w:multiLevelType w:val="singleLevel"/>
    <w:tmpl w:val="07EEF809"/>
    <w:lvl w:ilvl="0" w:tentative="0">
      <w:start w:val="1"/>
      <w:numFmt w:val="decimal"/>
      <w:suff w:val="nothing"/>
      <w:lvlText w:val="%1、"/>
      <w:lvlJc w:val="left"/>
    </w:lvl>
  </w:abstractNum>
  <w:abstractNum w:abstractNumId="5">
    <w:nsid w:val="167C3218"/>
    <w:multiLevelType w:val="singleLevel"/>
    <w:tmpl w:val="167C3218"/>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6">
    <w:nsid w:val="73469145"/>
    <w:multiLevelType w:val="singleLevel"/>
    <w:tmpl w:val="73469145"/>
    <w:lvl w:ilvl="0" w:tentative="0">
      <w:start w:val="6"/>
      <w:numFmt w:val="decimal"/>
      <w:suff w:val="nothing"/>
      <w:lvlText w:val="%1）"/>
      <w:lvlJc w:val="left"/>
    </w:lvl>
  </w:abstractNum>
  <w:abstractNum w:abstractNumId="7">
    <w:nsid w:val="769996DF"/>
    <w:multiLevelType w:val="singleLevel"/>
    <w:tmpl w:val="769996DF"/>
    <w:lvl w:ilvl="0" w:tentative="0">
      <w:start w:val="4"/>
      <w:numFmt w:val="decimal"/>
      <w:suff w:val="nothing"/>
      <w:lvlText w:val="（%1）"/>
      <w:lvlJc w:val="left"/>
    </w:lvl>
  </w:abstractNum>
  <w:num w:numId="1">
    <w:abstractNumId w:val="5"/>
  </w:num>
  <w:num w:numId="2">
    <w:abstractNumId w:val="4"/>
  </w:num>
  <w:num w:numId="3">
    <w:abstractNumId w:val="1"/>
  </w:num>
  <w:num w:numId="4">
    <w:abstractNumId w:val="2"/>
  </w:num>
  <w:num w:numId="5">
    <w:abstractNumId w:val="0"/>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attachedTemplate r:id="rId1"/>
  <w:documentProtection w:edit="trackedChanges" w:enforcement="0"/>
  <w:defaultTabStop w:val="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1YmIwNDc0YTU1M2NmYWNmNjNkYjdhMTFmZjNlNTIifQ=="/>
    <w:docVar w:name="KSO_WPS_MARK_KEY" w:val="3ccef7d2-cd31-4280-99fd-d8110a6b49bf"/>
  </w:docVars>
  <w:rsids>
    <w:rsidRoot w:val="00A14947"/>
    <w:rsid w:val="0000034B"/>
    <w:rsid w:val="00000F89"/>
    <w:rsid w:val="0000195E"/>
    <w:rsid w:val="0000268B"/>
    <w:rsid w:val="00002F74"/>
    <w:rsid w:val="00004081"/>
    <w:rsid w:val="0000439F"/>
    <w:rsid w:val="00004C06"/>
    <w:rsid w:val="00005877"/>
    <w:rsid w:val="000060B3"/>
    <w:rsid w:val="00006D0C"/>
    <w:rsid w:val="00007145"/>
    <w:rsid w:val="00007298"/>
    <w:rsid w:val="00010B61"/>
    <w:rsid w:val="0001177B"/>
    <w:rsid w:val="0001192C"/>
    <w:rsid w:val="00011EC4"/>
    <w:rsid w:val="00011FE8"/>
    <w:rsid w:val="00012F7D"/>
    <w:rsid w:val="00013D11"/>
    <w:rsid w:val="00016DA4"/>
    <w:rsid w:val="000228D0"/>
    <w:rsid w:val="000236F7"/>
    <w:rsid w:val="000248A8"/>
    <w:rsid w:val="00024A44"/>
    <w:rsid w:val="00024AA9"/>
    <w:rsid w:val="000269F1"/>
    <w:rsid w:val="00026C80"/>
    <w:rsid w:val="00030596"/>
    <w:rsid w:val="00031900"/>
    <w:rsid w:val="00033C77"/>
    <w:rsid w:val="00034B66"/>
    <w:rsid w:val="000367AA"/>
    <w:rsid w:val="00036A24"/>
    <w:rsid w:val="000373FF"/>
    <w:rsid w:val="0004052F"/>
    <w:rsid w:val="00040CB6"/>
    <w:rsid w:val="00041FB3"/>
    <w:rsid w:val="00042ED1"/>
    <w:rsid w:val="000432F0"/>
    <w:rsid w:val="0004364B"/>
    <w:rsid w:val="000451BD"/>
    <w:rsid w:val="0004783A"/>
    <w:rsid w:val="000500CB"/>
    <w:rsid w:val="000517AB"/>
    <w:rsid w:val="00055D9C"/>
    <w:rsid w:val="0005771C"/>
    <w:rsid w:val="00057D30"/>
    <w:rsid w:val="00060301"/>
    <w:rsid w:val="000618CC"/>
    <w:rsid w:val="00061B1F"/>
    <w:rsid w:val="00061F18"/>
    <w:rsid w:val="00067834"/>
    <w:rsid w:val="00067A10"/>
    <w:rsid w:val="00070718"/>
    <w:rsid w:val="000711DF"/>
    <w:rsid w:val="00071FA4"/>
    <w:rsid w:val="0007233B"/>
    <w:rsid w:val="000729FF"/>
    <w:rsid w:val="000731FF"/>
    <w:rsid w:val="000733C4"/>
    <w:rsid w:val="00073A0F"/>
    <w:rsid w:val="00073EB0"/>
    <w:rsid w:val="000740A5"/>
    <w:rsid w:val="00074327"/>
    <w:rsid w:val="00074783"/>
    <w:rsid w:val="00074BE1"/>
    <w:rsid w:val="0008070B"/>
    <w:rsid w:val="000810AC"/>
    <w:rsid w:val="00081A02"/>
    <w:rsid w:val="00081A56"/>
    <w:rsid w:val="00082231"/>
    <w:rsid w:val="000829EA"/>
    <w:rsid w:val="00083F6A"/>
    <w:rsid w:val="000848AE"/>
    <w:rsid w:val="000861C3"/>
    <w:rsid w:val="00086B4F"/>
    <w:rsid w:val="00087FF7"/>
    <w:rsid w:val="00092465"/>
    <w:rsid w:val="00092D38"/>
    <w:rsid w:val="0009377B"/>
    <w:rsid w:val="00097DE5"/>
    <w:rsid w:val="000A0BDF"/>
    <w:rsid w:val="000A20C9"/>
    <w:rsid w:val="000A21DA"/>
    <w:rsid w:val="000A33B4"/>
    <w:rsid w:val="000A448E"/>
    <w:rsid w:val="000A5522"/>
    <w:rsid w:val="000A78EB"/>
    <w:rsid w:val="000B058F"/>
    <w:rsid w:val="000B0DF8"/>
    <w:rsid w:val="000B0F0F"/>
    <w:rsid w:val="000B1846"/>
    <w:rsid w:val="000B4467"/>
    <w:rsid w:val="000B4DB9"/>
    <w:rsid w:val="000B4EFB"/>
    <w:rsid w:val="000B60BB"/>
    <w:rsid w:val="000B680E"/>
    <w:rsid w:val="000B725F"/>
    <w:rsid w:val="000C09AC"/>
    <w:rsid w:val="000C0B38"/>
    <w:rsid w:val="000C135E"/>
    <w:rsid w:val="000C186F"/>
    <w:rsid w:val="000C2889"/>
    <w:rsid w:val="000C3166"/>
    <w:rsid w:val="000C62DF"/>
    <w:rsid w:val="000C6A5E"/>
    <w:rsid w:val="000C767F"/>
    <w:rsid w:val="000D49C1"/>
    <w:rsid w:val="000D5A44"/>
    <w:rsid w:val="000D69C4"/>
    <w:rsid w:val="000D7477"/>
    <w:rsid w:val="000E1579"/>
    <w:rsid w:val="000E3EA0"/>
    <w:rsid w:val="000E3ED2"/>
    <w:rsid w:val="000E4F24"/>
    <w:rsid w:val="000E583E"/>
    <w:rsid w:val="000F436F"/>
    <w:rsid w:val="000F49AD"/>
    <w:rsid w:val="000F7862"/>
    <w:rsid w:val="00101F8C"/>
    <w:rsid w:val="00102053"/>
    <w:rsid w:val="00102259"/>
    <w:rsid w:val="00103BC6"/>
    <w:rsid w:val="00103D67"/>
    <w:rsid w:val="001043F6"/>
    <w:rsid w:val="00104C71"/>
    <w:rsid w:val="00107BF2"/>
    <w:rsid w:val="001101C3"/>
    <w:rsid w:val="00110CDB"/>
    <w:rsid w:val="00112CEA"/>
    <w:rsid w:val="00113C81"/>
    <w:rsid w:val="00114D9F"/>
    <w:rsid w:val="00115DD2"/>
    <w:rsid w:val="00116A5D"/>
    <w:rsid w:val="00117241"/>
    <w:rsid w:val="00117921"/>
    <w:rsid w:val="0012080D"/>
    <w:rsid w:val="00123D68"/>
    <w:rsid w:val="00123E26"/>
    <w:rsid w:val="001249D0"/>
    <w:rsid w:val="00127570"/>
    <w:rsid w:val="001276EF"/>
    <w:rsid w:val="00131F42"/>
    <w:rsid w:val="00132086"/>
    <w:rsid w:val="00132234"/>
    <w:rsid w:val="001341F0"/>
    <w:rsid w:val="001342D4"/>
    <w:rsid w:val="00134410"/>
    <w:rsid w:val="001357F1"/>
    <w:rsid w:val="00137A11"/>
    <w:rsid w:val="001405B7"/>
    <w:rsid w:val="00140FA8"/>
    <w:rsid w:val="00142DF7"/>
    <w:rsid w:val="00142FEB"/>
    <w:rsid w:val="00143A2D"/>
    <w:rsid w:val="00143CF4"/>
    <w:rsid w:val="00144DE7"/>
    <w:rsid w:val="00145A41"/>
    <w:rsid w:val="00145AF5"/>
    <w:rsid w:val="0014652C"/>
    <w:rsid w:val="00147147"/>
    <w:rsid w:val="001479C9"/>
    <w:rsid w:val="001515D1"/>
    <w:rsid w:val="001515DE"/>
    <w:rsid w:val="00151675"/>
    <w:rsid w:val="00151887"/>
    <w:rsid w:val="00154276"/>
    <w:rsid w:val="0015618C"/>
    <w:rsid w:val="00157435"/>
    <w:rsid w:val="00157492"/>
    <w:rsid w:val="00160902"/>
    <w:rsid w:val="00160F30"/>
    <w:rsid w:val="00163DC0"/>
    <w:rsid w:val="00164A9E"/>
    <w:rsid w:val="00170A8E"/>
    <w:rsid w:val="00170E88"/>
    <w:rsid w:val="00172500"/>
    <w:rsid w:val="001745B8"/>
    <w:rsid w:val="00174D25"/>
    <w:rsid w:val="00174DF1"/>
    <w:rsid w:val="0017504D"/>
    <w:rsid w:val="00175305"/>
    <w:rsid w:val="0017671A"/>
    <w:rsid w:val="00177422"/>
    <w:rsid w:val="00181003"/>
    <w:rsid w:val="001818D6"/>
    <w:rsid w:val="00182DBB"/>
    <w:rsid w:val="00184590"/>
    <w:rsid w:val="001851A7"/>
    <w:rsid w:val="001870D1"/>
    <w:rsid w:val="0018781E"/>
    <w:rsid w:val="001879AE"/>
    <w:rsid w:val="00187BCB"/>
    <w:rsid w:val="001903A5"/>
    <w:rsid w:val="001920BE"/>
    <w:rsid w:val="0019262D"/>
    <w:rsid w:val="0019264F"/>
    <w:rsid w:val="00193B3A"/>
    <w:rsid w:val="00194F70"/>
    <w:rsid w:val="00195453"/>
    <w:rsid w:val="00195FA9"/>
    <w:rsid w:val="001A0EAA"/>
    <w:rsid w:val="001A1B35"/>
    <w:rsid w:val="001A48A2"/>
    <w:rsid w:val="001A4D05"/>
    <w:rsid w:val="001A63F2"/>
    <w:rsid w:val="001A6F61"/>
    <w:rsid w:val="001A760E"/>
    <w:rsid w:val="001A7B9F"/>
    <w:rsid w:val="001B0939"/>
    <w:rsid w:val="001B222B"/>
    <w:rsid w:val="001B3457"/>
    <w:rsid w:val="001B4F72"/>
    <w:rsid w:val="001B4FC3"/>
    <w:rsid w:val="001B5197"/>
    <w:rsid w:val="001B6106"/>
    <w:rsid w:val="001B72B8"/>
    <w:rsid w:val="001C29D0"/>
    <w:rsid w:val="001C3F36"/>
    <w:rsid w:val="001C43A6"/>
    <w:rsid w:val="001C4F09"/>
    <w:rsid w:val="001C5320"/>
    <w:rsid w:val="001C69B3"/>
    <w:rsid w:val="001C711E"/>
    <w:rsid w:val="001D064B"/>
    <w:rsid w:val="001D0DDF"/>
    <w:rsid w:val="001D4418"/>
    <w:rsid w:val="001D5595"/>
    <w:rsid w:val="001D717D"/>
    <w:rsid w:val="001D7428"/>
    <w:rsid w:val="001D7874"/>
    <w:rsid w:val="001D7D37"/>
    <w:rsid w:val="001D7F22"/>
    <w:rsid w:val="001E0E44"/>
    <w:rsid w:val="001E248B"/>
    <w:rsid w:val="001E3EC1"/>
    <w:rsid w:val="001E4CA0"/>
    <w:rsid w:val="001E514B"/>
    <w:rsid w:val="001E677D"/>
    <w:rsid w:val="001F0187"/>
    <w:rsid w:val="001F0F17"/>
    <w:rsid w:val="001F1424"/>
    <w:rsid w:val="001F2EEA"/>
    <w:rsid w:val="001F3347"/>
    <w:rsid w:val="001F4785"/>
    <w:rsid w:val="001F4C1F"/>
    <w:rsid w:val="001F5065"/>
    <w:rsid w:val="001F53E1"/>
    <w:rsid w:val="001F69E4"/>
    <w:rsid w:val="001F73B2"/>
    <w:rsid w:val="00200669"/>
    <w:rsid w:val="00200685"/>
    <w:rsid w:val="00200D40"/>
    <w:rsid w:val="0020185D"/>
    <w:rsid w:val="00202228"/>
    <w:rsid w:val="00202287"/>
    <w:rsid w:val="00202983"/>
    <w:rsid w:val="00203B3F"/>
    <w:rsid w:val="00203B5F"/>
    <w:rsid w:val="00207C06"/>
    <w:rsid w:val="00210D3C"/>
    <w:rsid w:val="002119E3"/>
    <w:rsid w:val="002125B4"/>
    <w:rsid w:val="00212EE0"/>
    <w:rsid w:val="002131B6"/>
    <w:rsid w:val="002134DD"/>
    <w:rsid w:val="00214550"/>
    <w:rsid w:val="002149D4"/>
    <w:rsid w:val="00214A9A"/>
    <w:rsid w:val="002155B8"/>
    <w:rsid w:val="00217CD1"/>
    <w:rsid w:val="00220359"/>
    <w:rsid w:val="00220746"/>
    <w:rsid w:val="00221431"/>
    <w:rsid w:val="00224839"/>
    <w:rsid w:val="002249B2"/>
    <w:rsid w:val="00226574"/>
    <w:rsid w:val="0022696D"/>
    <w:rsid w:val="00227522"/>
    <w:rsid w:val="002278EC"/>
    <w:rsid w:val="00227BE5"/>
    <w:rsid w:val="0023280E"/>
    <w:rsid w:val="002334BB"/>
    <w:rsid w:val="00233FE7"/>
    <w:rsid w:val="00234486"/>
    <w:rsid w:val="00234A0E"/>
    <w:rsid w:val="0023630E"/>
    <w:rsid w:val="00237177"/>
    <w:rsid w:val="002377D1"/>
    <w:rsid w:val="002409D1"/>
    <w:rsid w:val="00240A34"/>
    <w:rsid w:val="002420B7"/>
    <w:rsid w:val="0024225D"/>
    <w:rsid w:val="0024345F"/>
    <w:rsid w:val="002469D7"/>
    <w:rsid w:val="0024788E"/>
    <w:rsid w:val="00247F98"/>
    <w:rsid w:val="002506BC"/>
    <w:rsid w:val="002506BD"/>
    <w:rsid w:val="00250965"/>
    <w:rsid w:val="002522FA"/>
    <w:rsid w:val="00252B54"/>
    <w:rsid w:val="00254345"/>
    <w:rsid w:val="00254A8E"/>
    <w:rsid w:val="00254DFF"/>
    <w:rsid w:val="0025518D"/>
    <w:rsid w:val="002552F9"/>
    <w:rsid w:val="00260390"/>
    <w:rsid w:val="00260426"/>
    <w:rsid w:val="00261836"/>
    <w:rsid w:val="002618D7"/>
    <w:rsid w:val="00262AC9"/>
    <w:rsid w:val="00264557"/>
    <w:rsid w:val="00264715"/>
    <w:rsid w:val="00266FB8"/>
    <w:rsid w:val="00267152"/>
    <w:rsid w:val="00267DC1"/>
    <w:rsid w:val="00267FE6"/>
    <w:rsid w:val="002701DA"/>
    <w:rsid w:val="00271AD3"/>
    <w:rsid w:val="00271F7D"/>
    <w:rsid w:val="00272EA9"/>
    <w:rsid w:val="00273250"/>
    <w:rsid w:val="002745F6"/>
    <w:rsid w:val="00274DD9"/>
    <w:rsid w:val="002752F0"/>
    <w:rsid w:val="0027587D"/>
    <w:rsid w:val="00277187"/>
    <w:rsid w:val="002805AB"/>
    <w:rsid w:val="0028111D"/>
    <w:rsid w:val="002828BF"/>
    <w:rsid w:val="002829A6"/>
    <w:rsid w:val="0028313E"/>
    <w:rsid w:val="00283C96"/>
    <w:rsid w:val="00283E08"/>
    <w:rsid w:val="00284204"/>
    <w:rsid w:val="002847DB"/>
    <w:rsid w:val="002863DC"/>
    <w:rsid w:val="002872A7"/>
    <w:rsid w:val="00291405"/>
    <w:rsid w:val="00291514"/>
    <w:rsid w:val="00291773"/>
    <w:rsid w:val="00291B0E"/>
    <w:rsid w:val="0029349F"/>
    <w:rsid w:val="002963CA"/>
    <w:rsid w:val="00296974"/>
    <w:rsid w:val="002A02A7"/>
    <w:rsid w:val="002A168C"/>
    <w:rsid w:val="002A181B"/>
    <w:rsid w:val="002A1B1A"/>
    <w:rsid w:val="002A3DC7"/>
    <w:rsid w:val="002A6614"/>
    <w:rsid w:val="002A6DCF"/>
    <w:rsid w:val="002B0D0E"/>
    <w:rsid w:val="002B1939"/>
    <w:rsid w:val="002B3C16"/>
    <w:rsid w:val="002B4825"/>
    <w:rsid w:val="002B49E2"/>
    <w:rsid w:val="002B5223"/>
    <w:rsid w:val="002B7B00"/>
    <w:rsid w:val="002B7C44"/>
    <w:rsid w:val="002C06CD"/>
    <w:rsid w:val="002C1748"/>
    <w:rsid w:val="002C1991"/>
    <w:rsid w:val="002C1E9C"/>
    <w:rsid w:val="002C2B17"/>
    <w:rsid w:val="002C4987"/>
    <w:rsid w:val="002C4EA5"/>
    <w:rsid w:val="002C75B9"/>
    <w:rsid w:val="002D22D2"/>
    <w:rsid w:val="002D238E"/>
    <w:rsid w:val="002D3DD0"/>
    <w:rsid w:val="002D3ECC"/>
    <w:rsid w:val="002D51DB"/>
    <w:rsid w:val="002D5331"/>
    <w:rsid w:val="002D5FB3"/>
    <w:rsid w:val="002D68DE"/>
    <w:rsid w:val="002E02B0"/>
    <w:rsid w:val="002E1F3A"/>
    <w:rsid w:val="002E28C5"/>
    <w:rsid w:val="002E298A"/>
    <w:rsid w:val="002E2A1B"/>
    <w:rsid w:val="002E2C9F"/>
    <w:rsid w:val="002E3332"/>
    <w:rsid w:val="002E42AC"/>
    <w:rsid w:val="002E6022"/>
    <w:rsid w:val="002E6CA1"/>
    <w:rsid w:val="002E71A2"/>
    <w:rsid w:val="002E7287"/>
    <w:rsid w:val="002F1082"/>
    <w:rsid w:val="002F12C7"/>
    <w:rsid w:val="002F163E"/>
    <w:rsid w:val="002F45D4"/>
    <w:rsid w:val="002F4745"/>
    <w:rsid w:val="002F6857"/>
    <w:rsid w:val="002F6EF7"/>
    <w:rsid w:val="002F7A66"/>
    <w:rsid w:val="003007C0"/>
    <w:rsid w:val="00301978"/>
    <w:rsid w:val="00301F09"/>
    <w:rsid w:val="003021D5"/>
    <w:rsid w:val="0030332C"/>
    <w:rsid w:val="003051C2"/>
    <w:rsid w:val="0030526D"/>
    <w:rsid w:val="00305AB9"/>
    <w:rsid w:val="00306299"/>
    <w:rsid w:val="00306319"/>
    <w:rsid w:val="00306F2A"/>
    <w:rsid w:val="00307792"/>
    <w:rsid w:val="00307D88"/>
    <w:rsid w:val="0031090E"/>
    <w:rsid w:val="00311E66"/>
    <w:rsid w:val="00312296"/>
    <w:rsid w:val="00312D1C"/>
    <w:rsid w:val="0031351D"/>
    <w:rsid w:val="00314C4B"/>
    <w:rsid w:val="00314F0E"/>
    <w:rsid w:val="003206C8"/>
    <w:rsid w:val="00321D8E"/>
    <w:rsid w:val="003237AF"/>
    <w:rsid w:val="00325928"/>
    <w:rsid w:val="00326537"/>
    <w:rsid w:val="00326732"/>
    <w:rsid w:val="00326BD3"/>
    <w:rsid w:val="00326DB7"/>
    <w:rsid w:val="00327186"/>
    <w:rsid w:val="00330C2D"/>
    <w:rsid w:val="00330F75"/>
    <w:rsid w:val="003314D9"/>
    <w:rsid w:val="003316DF"/>
    <w:rsid w:val="003319D4"/>
    <w:rsid w:val="00332863"/>
    <w:rsid w:val="003353DF"/>
    <w:rsid w:val="0033684D"/>
    <w:rsid w:val="003368D4"/>
    <w:rsid w:val="0033699A"/>
    <w:rsid w:val="00337B42"/>
    <w:rsid w:val="00340383"/>
    <w:rsid w:val="00341B42"/>
    <w:rsid w:val="00342407"/>
    <w:rsid w:val="003425D6"/>
    <w:rsid w:val="00342728"/>
    <w:rsid w:val="0034348F"/>
    <w:rsid w:val="00345A19"/>
    <w:rsid w:val="0035106C"/>
    <w:rsid w:val="00351784"/>
    <w:rsid w:val="00352129"/>
    <w:rsid w:val="0035240D"/>
    <w:rsid w:val="00352892"/>
    <w:rsid w:val="00353062"/>
    <w:rsid w:val="0035333D"/>
    <w:rsid w:val="0035560E"/>
    <w:rsid w:val="00356653"/>
    <w:rsid w:val="003570FA"/>
    <w:rsid w:val="0035743F"/>
    <w:rsid w:val="00357BE2"/>
    <w:rsid w:val="00357DFF"/>
    <w:rsid w:val="00360320"/>
    <w:rsid w:val="003605EF"/>
    <w:rsid w:val="0036064A"/>
    <w:rsid w:val="003616BD"/>
    <w:rsid w:val="0036170C"/>
    <w:rsid w:val="0036244E"/>
    <w:rsid w:val="00363429"/>
    <w:rsid w:val="00366520"/>
    <w:rsid w:val="003669A0"/>
    <w:rsid w:val="00366E0F"/>
    <w:rsid w:val="003670D6"/>
    <w:rsid w:val="0037112D"/>
    <w:rsid w:val="003712E8"/>
    <w:rsid w:val="0037182F"/>
    <w:rsid w:val="00371BAB"/>
    <w:rsid w:val="00372F91"/>
    <w:rsid w:val="003733BB"/>
    <w:rsid w:val="00374676"/>
    <w:rsid w:val="00374FB4"/>
    <w:rsid w:val="0038119C"/>
    <w:rsid w:val="003813E1"/>
    <w:rsid w:val="00381A72"/>
    <w:rsid w:val="0038212D"/>
    <w:rsid w:val="0038312B"/>
    <w:rsid w:val="00383151"/>
    <w:rsid w:val="00383586"/>
    <w:rsid w:val="00383D47"/>
    <w:rsid w:val="00384676"/>
    <w:rsid w:val="003853D5"/>
    <w:rsid w:val="003863C1"/>
    <w:rsid w:val="003868BF"/>
    <w:rsid w:val="00386B5D"/>
    <w:rsid w:val="00390857"/>
    <w:rsid w:val="00391EC1"/>
    <w:rsid w:val="00391F84"/>
    <w:rsid w:val="00391FF9"/>
    <w:rsid w:val="00392EA2"/>
    <w:rsid w:val="003940E3"/>
    <w:rsid w:val="003972A8"/>
    <w:rsid w:val="003A3F30"/>
    <w:rsid w:val="003A449B"/>
    <w:rsid w:val="003A4BF3"/>
    <w:rsid w:val="003A6FCB"/>
    <w:rsid w:val="003B1CCA"/>
    <w:rsid w:val="003B2A9F"/>
    <w:rsid w:val="003B3160"/>
    <w:rsid w:val="003B3758"/>
    <w:rsid w:val="003B420D"/>
    <w:rsid w:val="003C0112"/>
    <w:rsid w:val="003C058C"/>
    <w:rsid w:val="003C36AF"/>
    <w:rsid w:val="003C4290"/>
    <w:rsid w:val="003C48B2"/>
    <w:rsid w:val="003C6518"/>
    <w:rsid w:val="003C6C16"/>
    <w:rsid w:val="003C6F81"/>
    <w:rsid w:val="003D21B2"/>
    <w:rsid w:val="003D35D8"/>
    <w:rsid w:val="003D3D4A"/>
    <w:rsid w:val="003D46B1"/>
    <w:rsid w:val="003D77D4"/>
    <w:rsid w:val="003D794D"/>
    <w:rsid w:val="003E2980"/>
    <w:rsid w:val="003E3058"/>
    <w:rsid w:val="003E3780"/>
    <w:rsid w:val="003E59FF"/>
    <w:rsid w:val="003E5BC6"/>
    <w:rsid w:val="003E5C44"/>
    <w:rsid w:val="003E5CD7"/>
    <w:rsid w:val="003E76A9"/>
    <w:rsid w:val="003E7C6E"/>
    <w:rsid w:val="003F0809"/>
    <w:rsid w:val="003F1BF2"/>
    <w:rsid w:val="003F2F99"/>
    <w:rsid w:val="003F43B4"/>
    <w:rsid w:val="003F6A8C"/>
    <w:rsid w:val="003F6D15"/>
    <w:rsid w:val="003F6F87"/>
    <w:rsid w:val="003F73A9"/>
    <w:rsid w:val="003F755C"/>
    <w:rsid w:val="00400B6E"/>
    <w:rsid w:val="00401C2F"/>
    <w:rsid w:val="004032DF"/>
    <w:rsid w:val="004062DD"/>
    <w:rsid w:val="0040644A"/>
    <w:rsid w:val="00406F01"/>
    <w:rsid w:val="00407CB8"/>
    <w:rsid w:val="00411C3F"/>
    <w:rsid w:val="00416150"/>
    <w:rsid w:val="0041646D"/>
    <w:rsid w:val="004166D2"/>
    <w:rsid w:val="00416D50"/>
    <w:rsid w:val="00416FD5"/>
    <w:rsid w:val="00417772"/>
    <w:rsid w:val="004209E5"/>
    <w:rsid w:val="00420E6A"/>
    <w:rsid w:val="00420F54"/>
    <w:rsid w:val="00421084"/>
    <w:rsid w:val="00421E96"/>
    <w:rsid w:val="0042254D"/>
    <w:rsid w:val="00422BD0"/>
    <w:rsid w:val="00424B1F"/>
    <w:rsid w:val="00425A9E"/>
    <w:rsid w:val="00426B1D"/>
    <w:rsid w:val="00426C90"/>
    <w:rsid w:val="00426D6B"/>
    <w:rsid w:val="00426F16"/>
    <w:rsid w:val="004275E1"/>
    <w:rsid w:val="00427E0B"/>
    <w:rsid w:val="00430774"/>
    <w:rsid w:val="00430FA6"/>
    <w:rsid w:val="00431E6C"/>
    <w:rsid w:val="00433CE7"/>
    <w:rsid w:val="0043587E"/>
    <w:rsid w:val="004403EE"/>
    <w:rsid w:val="0044060B"/>
    <w:rsid w:val="00440B39"/>
    <w:rsid w:val="00441C05"/>
    <w:rsid w:val="0044277B"/>
    <w:rsid w:val="00442E0E"/>
    <w:rsid w:val="004444B3"/>
    <w:rsid w:val="00444F41"/>
    <w:rsid w:val="004450D3"/>
    <w:rsid w:val="004466F7"/>
    <w:rsid w:val="004468E0"/>
    <w:rsid w:val="004509C7"/>
    <w:rsid w:val="004512DB"/>
    <w:rsid w:val="00452738"/>
    <w:rsid w:val="00454284"/>
    <w:rsid w:val="004547CD"/>
    <w:rsid w:val="00455F02"/>
    <w:rsid w:val="00456091"/>
    <w:rsid w:val="004565BC"/>
    <w:rsid w:val="0045744F"/>
    <w:rsid w:val="0046074D"/>
    <w:rsid w:val="004625FA"/>
    <w:rsid w:val="00462E86"/>
    <w:rsid w:val="004643B9"/>
    <w:rsid w:val="00466321"/>
    <w:rsid w:val="00466FC0"/>
    <w:rsid w:val="004677CA"/>
    <w:rsid w:val="00470A4E"/>
    <w:rsid w:val="00470D0B"/>
    <w:rsid w:val="00470E7A"/>
    <w:rsid w:val="00471426"/>
    <w:rsid w:val="00472BFA"/>
    <w:rsid w:val="00472D4B"/>
    <w:rsid w:val="00472EF2"/>
    <w:rsid w:val="00475EB6"/>
    <w:rsid w:val="00481CE7"/>
    <w:rsid w:val="00484AE7"/>
    <w:rsid w:val="00484B9B"/>
    <w:rsid w:val="00484CED"/>
    <w:rsid w:val="0048525A"/>
    <w:rsid w:val="004855F6"/>
    <w:rsid w:val="0048661E"/>
    <w:rsid w:val="004908C4"/>
    <w:rsid w:val="004913BD"/>
    <w:rsid w:val="0049204E"/>
    <w:rsid w:val="00493C64"/>
    <w:rsid w:val="00494258"/>
    <w:rsid w:val="00494670"/>
    <w:rsid w:val="004A15D5"/>
    <w:rsid w:val="004A1EA6"/>
    <w:rsid w:val="004A3743"/>
    <w:rsid w:val="004A3823"/>
    <w:rsid w:val="004A3DE8"/>
    <w:rsid w:val="004A44F1"/>
    <w:rsid w:val="004A4861"/>
    <w:rsid w:val="004A4B4C"/>
    <w:rsid w:val="004A51AC"/>
    <w:rsid w:val="004A75D9"/>
    <w:rsid w:val="004B01F0"/>
    <w:rsid w:val="004B065C"/>
    <w:rsid w:val="004B1540"/>
    <w:rsid w:val="004B34A1"/>
    <w:rsid w:val="004B44BE"/>
    <w:rsid w:val="004B4AFD"/>
    <w:rsid w:val="004B66DE"/>
    <w:rsid w:val="004B7468"/>
    <w:rsid w:val="004B74A5"/>
    <w:rsid w:val="004B7E4C"/>
    <w:rsid w:val="004B7E97"/>
    <w:rsid w:val="004C08B5"/>
    <w:rsid w:val="004C0B99"/>
    <w:rsid w:val="004C42BA"/>
    <w:rsid w:val="004C492E"/>
    <w:rsid w:val="004D0AE7"/>
    <w:rsid w:val="004D2940"/>
    <w:rsid w:val="004D2C3F"/>
    <w:rsid w:val="004D60EE"/>
    <w:rsid w:val="004D704C"/>
    <w:rsid w:val="004D75FA"/>
    <w:rsid w:val="004E195E"/>
    <w:rsid w:val="004E256E"/>
    <w:rsid w:val="004E41BC"/>
    <w:rsid w:val="004E53ED"/>
    <w:rsid w:val="004E6946"/>
    <w:rsid w:val="004E75D0"/>
    <w:rsid w:val="004F1AD8"/>
    <w:rsid w:val="004F1C38"/>
    <w:rsid w:val="004F4937"/>
    <w:rsid w:val="004F64EB"/>
    <w:rsid w:val="005017B4"/>
    <w:rsid w:val="005026BB"/>
    <w:rsid w:val="00503411"/>
    <w:rsid w:val="005037E1"/>
    <w:rsid w:val="00503959"/>
    <w:rsid w:val="005039CB"/>
    <w:rsid w:val="0050558F"/>
    <w:rsid w:val="00505644"/>
    <w:rsid w:val="005056D8"/>
    <w:rsid w:val="00505B2D"/>
    <w:rsid w:val="00506286"/>
    <w:rsid w:val="00506F8D"/>
    <w:rsid w:val="0050714C"/>
    <w:rsid w:val="00507F11"/>
    <w:rsid w:val="00510813"/>
    <w:rsid w:val="00511990"/>
    <w:rsid w:val="00511DE0"/>
    <w:rsid w:val="0051211B"/>
    <w:rsid w:val="00514590"/>
    <w:rsid w:val="00514870"/>
    <w:rsid w:val="00514B9B"/>
    <w:rsid w:val="00514F93"/>
    <w:rsid w:val="00515414"/>
    <w:rsid w:val="00516193"/>
    <w:rsid w:val="00517F02"/>
    <w:rsid w:val="00520820"/>
    <w:rsid w:val="00521189"/>
    <w:rsid w:val="00523437"/>
    <w:rsid w:val="00523BBF"/>
    <w:rsid w:val="00523C03"/>
    <w:rsid w:val="00523F04"/>
    <w:rsid w:val="00524303"/>
    <w:rsid w:val="00524C3B"/>
    <w:rsid w:val="0052528B"/>
    <w:rsid w:val="005258A2"/>
    <w:rsid w:val="00526DAD"/>
    <w:rsid w:val="0052772A"/>
    <w:rsid w:val="00527F82"/>
    <w:rsid w:val="005303E9"/>
    <w:rsid w:val="00530768"/>
    <w:rsid w:val="00532953"/>
    <w:rsid w:val="00537A03"/>
    <w:rsid w:val="00537AD7"/>
    <w:rsid w:val="005401AE"/>
    <w:rsid w:val="00540A3F"/>
    <w:rsid w:val="00540F0A"/>
    <w:rsid w:val="0054100E"/>
    <w:rsid w:val="005428A4"/>
    <w:rsid w:val="00542DD4"/>
    <w:rsid w:val="00542E07"/>
    <w:rsid w:val="00543730"/>
    <w:rsid w:val="00544CB7"/>
    <w:rsid w:val="00545424"/>
    <w:rsid w:val="0054548B"/>
    <w:rsid w:val="00545A07"/>
    <w:rsid w:val="005470A0"/>
    <w:rsid w:val="0055043B"/>
    <w:rsid w:val="005520D7"/>
    <w:rsid w:val="005538A3"/>
    <w:rsid w:val="00553AF5"/>
    <w:rsid w:val="00554A7B"/>
    <w:rsid w:val="0055572C"/>
    <w:rsid w:val="00555982"/>
    <w:rsid w:val="00556C9F"/>
    <w:rsid w:val="005602F6"/>
    <w:rsid w:val="0056106A"/>
    <w:rsid w:val="00563088"/>
    <w:rsid w:val="005637BA"/>
    <w:rsid w:val="005640F8"/>
    <w:rsid w:val="005643D4"/>
    <w:rsid w:val="00566634"/>
    <w:rsid w:val="005707FA"/>
    <w:rsid w:val="005720AE"/>
    <w:rsid w:val="005739A3"/>
    <w:rsid w:val="00573E38"/>
    <w:rsid w:val="00574557"/>
    <w:rsid w:val="0057657A"/>
    <w:rsid w:val="00577ADD"/>
    <w:rsid w:val="005802D9"/>
    <w:rsid w:val="005812C9"/>
    <w:rsid w:val="00583720"/>
    <w:rsid w:val="0058386E"/>
    <w:rsid w:val="00584ED8"/>
    <w:rsid w:val="005856EA"/>
    <w:rsid w:val="00585AEF"/>
    <w:rsid w:val="005861E1"/>
    <w:rsid w:val="00586F3F"/>
    <w:rsid w:val="005901F9"/>
    <w:rsid w:val="005948F3"/>
    <w:rsid w:val="00594CDD"/>
    <w:rsid w:val="00594D77"/>
    <w:rsid w:val="005951FE"/>
    <w:rsid w:val="00595534"/>
    <w:rsid w:val="00595DC3"/>
    <w:rsid w:val="0059628F"/>
    <w:rsid w:val="0059668A"/>
    <w:rsid w:val="005969E4"/>
    <w:rsid w:val="00597B66"/>
    <w:rsid w:val="005A0380"/>
    <w:rsid w:val="005A06B7"/>
    <w:rsid w:val="005A0DB8"/>
    <w:rsid w:val="005A1759"/>
    <w:rsid w:val="005A2625"/>
    <w:rsid w:val="005A3274"/>
    <w:rsid w:val="005A3BDF"/>
    <w:rsid w:val="005A49CD"/>
    <w:rsid w:val="005A4E5B"/>
    <w:rsid w:val="005A68A7"/>
    <w:rsid w:val="005A6D14"/>
    <w:rsid w:val="005B0373"/>
    <w:rsid w:val="005B1268"/>
    <w:rsid w:val="005B17ED"/>
    <w:rsid w:val="005B2607"/>
    <w:rsid w:val="005B28A9"/>
    <w:rsid w:val="005B32B0"/>
    <w:rsid w:val="005B7648"/>
    <w:rsid w:val="005B7879"/>
    <w:rsid w:val="005B7D71"/>
    <w:rsid w:val="005C1927"/>
    <w:rsid w:val="005C1967"/>
    <w:rsid w:val="005C2593"/>
    <w:rsid w:val="005C4A4B"/>
    <w:rsid w:val="005D104B"/>
    <w:rsid w:val="005D1E82"/>
    <w:rsid w:val="005D36AB"/>
    <w:rsid w:val="005D45AE"/>
    <w:rsid w:val="005D55D2"/>
    <w:rsid w:val="005D5B22"/>
    <w:rsid w:val="005D7253"/>
    <w:rsid w:val="005E012F"/>
    <w:rsid w:val="005E0449"/>
    <w:rsid w:val="005E090F"/>
    <w:rsid w:val="005E0BD9"/>
    <w:rsid w:val="005E2728"/>
    <w:rsid w:val="005E2CFD"/>
    <w:rsid w:val="005E2E2A"/>
    <w:rsid w:val="005E424B"/>
    <w:rsid w:val="005E4909"/>
    <w:rsid w:val="005E548E"/>
    <w:rsid w:val="005E6C51"/>
    <w:rsid w:val="005E6FE8"/>
    <w:rsid w:val="005F0951"/>
    <w:rsid w:val="005F0DA1"/>
    <w:rsid w:val="005F262D"/>
    <w:rsid w:val="005F5866"/>
    <w:rsid w:val="005F598F"/>
    <w:rsid w:val="006013C1"/>
    <w:rsid w:val="00601C2A"/>
    <w:rsid w:val="00603584"/>
    <w:rsid w:val="006039A3"/>
    <w:rsid w:val="006040FC"/>
    <w:rsid w:val="006046A4"/>
    <w:rsid w:val="0060483A"/>
    <w:rsid w:val="0060535F"/>
    <w:rsid w:val="00607631"/>
    <w:rsid w:val="00607832"/>
    <w:rsid w:val="0060792A"/>
    <w:rsid w:val="0061030F"/>
    <w:rsid w:val="00610583"/>
    <w:rsid w:val="00610634"/>
    <w:rsid w:val="00610EEC"/>
    <w:rsid w:val="00612637"/>
    <w:rsid w:val="00613C88"/>
    <w:rsid w:val="00613F33"/>
    <w:rsid w:val="00614E1B"/>
    <w:rsid w:val="00617B89"/>
    <w:rsid w:val="00617CC3"/>
    <w:rsid w:val="00620561"/>
    <w:rsid w:val="0062197C"/>
    <w:rsid w:val="006241B1"/>
    <w:rsid w:val="00624543"/>
    <w:rsid w:val="00625B57"/>
    <w:rsid w:val="00626193"/>
    <w:rsid w:val="006311B2"/>
    <w:rsid w:val="00634E42"/>
    <w:rsid w:val="00634FDA"/>
    <w:rsid w:val="00635074"/>
    <w:rsid w:val="00635864"/>
    <w:rsid w:val="00635E8B"/>
    <w:rsid w:val="00636AC0"/>
    <w:rsid w:val="006377A6"/>
    <w:rsid w:val="00637A2B"/>
    <w:rsid w:val="00637A3D"/>
    <w:rsid w:val="00640426"/>
    <w:rsid w:val="00640FD7"/>
    <w:rsid w:val="006410A3"/>
    <w:rsid w:val="006411EF"/>
    <w:rsid w:val="0064167F"/>
    <w:rsid w:val="00642583"/>
    <w:rsid w:val="006425CB"/>
    <w:rsid w:val="0064270B"/>
    <w:rsid w:val="00645170"/>
    <w:rsid w:val="00645B68"/>
    <w:rsid w:val="00645CBA"/>
    <w:rsid w:val="00645FCE"/>
    <w:rsid w:val="006504D0"/>
    <w:rsid w:val="00650F3B"/>
    <w:rsid w:val="0065117C"/>
    <w:rsid w:val="00652D25"/>
    <w:rsid w:val="0065420A"/>
    <w:rsid w:val="0065522F"/>
    <w:rsid w:val="0065585F"/>
    <w:rsid w:val="00656274"/>
    <w:rsid w:val="00656392"/>
    <w:rsid w:val="00656A33"/>
    <w:rsid w:val="00660F9E"/>
    <w:rsid w:val="006624CB"/>
    <w:rsid w:val="00662C61"/>
    <w:rsid w:val="00664CBA"/>
    <w:rsid w:val="00666324"/>
    <w:rsid w:val="0066744D"/>
    <w:rsid w:val="00667781"/>
    <w:rsid w:val="00667C05"/>
    <w:rsid w:val="0067357F"/>
    <w:rsid w:val="00674695"/>
    <w:rsid w:val="006748B8"/>
    <w:rsid w:val="00675989"/>
    <w:rsid w:val="00676370"/>
    <w:rsid w:val="00676557"/>
    <w:rsid w:val="006775C3"/>
    <w:rsid w:val="006823B4"/>
    <w:rsid w:val="00682B08"/>
    <w:rsid w:val="00683BDB"/>
    <w:rsid w:val="006848E6"/>
    <w:rsid w:val="00684BC1"/>
    <w:rsid w:val="006856C5"/>
    <w:rsid w:val="00685AD8"/>
    <w:rsid w:val="00685CE5"/>
    <w:rsid w:val="00685E48"/>
    <w:rsid w:val="00686ADB"/>
    <w:rsid w:val="00690D23"/>
    <w:rsid w:val="00691727"/>
    <w:rsid w:val="0069290A"/>
    <w:rsid w:val="00692BCE"/>
    <w:rsid w:val="00696B13"/>
    <w:rsid w:val="0069775A"/>
    <w:rsid w:val="00697813"/>
    <w:rsid w:val="00697DB6"/>
    <w:rsid w:val="006A0F12"/>
    <w:rsid w:val="006A1083"/>
    <w:rsid w:val="006A15EB"/>
    <w:rsid w:val="006A1BF2"/>
    <w:rsid w:val="006A2C60"/>
    <w:rsid w:val="006A2CBC"/>
    <w:rsid w:val="006A3EE8"/>
    <w:rsid w:val="006A3EFB"/>
    <w:rsid w:val="006A407A"/>
    <w:rsid w:val="006A48A9"/>
    <w:rsid w:val="006A6142"/>
    <w:rsid w:val="006A6FB9"/>
    <w:rsid w:val="006A72BF"/>
    <w:rsid w:val="006A7FC6"/>
    <w:rsid w:val="006B03F2"/>
    <w:rsid w:val="006B06D0"/>
    <w:rsid w:val="006B0F06"/>
    <w:rsid w:val="006B14F9"/>
    <w:rsid w:val="006B27B1"/>
    <w:rsid w:val="006B37DC"/>
    <w:rsid w:val="006B4DD0"/>
    <w:rsid w:val="006B4F68"/>
    <w:rsid w:val="006B50FF"/>
    <w:rsid w:val="006B5F90"/>
    <w:rsid w:val="006B7FAA"/>
    <w:rsid w:val="006C0592"/>
    <w:rsid w:val="006C1549"/>
    <w:rsid w:val="006C272E"/>
    <w:rsid w:val="006C3E3D"/>
    <w:rsid w:val="006C5479"/>
    <w:rsid w:val="006C69E6"/>
    <w:rsid w:val="006D0B35"/>
    <w:rsid w:val="006D13B5"/>
    <w:rsid w:val="006D3C38"/>
    <w:rsid w:val="006D4A35"/>
    <w:rsid w:val="006D4C7A"/>
    <w:rsid w:val="006D6F1B"/>
    <w:rsid w:val="006E0C11"/>
    <w:rsid w:val="006E12FF"/>
    <w:rsid w:val="006E21FD"/>
    <w:rsid w:val="006E2352"/>
    <w:rsid w:val="006E36E1"/>
    <w:rsid w:val="006E3D40"/>
    <w:rsid w:val="006E5BC7"/>
    <w:rsid w:val="006E5ECE"/>
    <w:rsid w:val="006E607E"/>
    <w:rsid w:val="006E7EBD"/>
    <w:rsid w:val="006F1571"/>
    <w:rsid w:val="006F2CD0"/>
    <w:rsid w:val="006F2D71"/>
    <w:rsid w:val="006F4250"/>
    <w:rsid w:val="006F44B1"/>
    <w:rsid w:val="006F5500"/>
    <w:rsid w:val="006F6A8C"/>
    <w:rsid w:val="006F6DA3"/>
    <w:rsid w:val="007009C3"/>
    <w:rsid w:val="00700D1E"/>
    <w:rsid w:val="007024ED"/>
    <w:rsid w:val="007037F7"/>
    <w:rsid w:val="00703A0C"/>
    <w:rsid w:val="00703CFC"/>
    <w:rsid w:val="007043F2"/>
    <w:rsid w:val="00706AC9"/>
    <w:rsid w:val="00706ADE"/>
    <w:rsid w:val="00706C5D"/>
    <w:rsid w:val="00707961"/>
    <w:rsid w:val="00711D44"/>
    <w:rsid w:val="00711DE7"/>
    <w:rsid w:val="00713388"/>
    <w:rsid w:val="007158A1"/>
    <w:rsid w:val="00715CAE"/>
    <w:rsid w:val="00716D09"/>
    <w:rsid w:val="0072396D"/>
    <w:rsid w:val="007243D3"/>
    <w:rsid w:val="0072624E"/>
    <w:rsid w:val="00726A03"/>
    <w:rsid w:val="00726BFC"/>
    <w:rsid w:val="00731210"/>
    <w:rsid w:val="00731419"/>
    <w:rsid w:val="00732922"/>
    <w:rsid w:val="00734BC0"/>
    <w:rsid w:val="00735062"/>
    <w:rsid w:val="00737F51"/>
    <w:rsid w:val="007411E7"/>
    <w:rsid w:val="007418DF"/>
    <w:rsid w:val="007422F0"/>
    <w:rsid w:val="00742E68"/>
    <w:rsid w:val="00742EFA"/>
    <w:rsid w:val="007451A5"/>
    <w:rsid w:val="007456CF"/>
    <w:rsid w:val="00746096"/>
    <w:rsid w:val="00747CDE"/>
    <w:rsid w:val="00751384"/>
    <w:rsid w:val="0075162E"/>
    <w:rsid w:val="00753DA2"/>
    <w:rsid w:val="00754034"/>
    <w:rsid w:val="00755694"/>
    <w:rsid w:val="00755AAD"/>
    <w:rsid w:val="0075600B"/>
    <w:rsid w:val="00756071"/>
    <w:rsid w:val="007560F8"/>
    <w:rsid w:val="00756556"/>
    <w:rsid w:val="007566AC"/>
    <w:rsid w:val="00756F96"/>
    <w:rsid w:val="00757F68"/>
    <w:rsid w:val="00757FA1"/>
    <w:rsid w:val="007618C4"/>
    <w:rsid w:val="0076191B"/>
    <w:rsid w:val="0076221B"/>
    <w:rsid w:val="007627EF"/>
    <w:rsid w:val="00763814"/>
    <w:rsid w:val="007640A0"/>
    <w:rsid w:val="00764824"/>
    <w:rsid w:val="00765B8E"/>
    <w:rsid w:val="00765D01"/>
    <w:rsid w:val="007673BB"/>
    <w:rsid w:val="00767980"/>
    <w:rsid w:val="007707EE"/>
    <w:rsid w:val="00770B19"/>
    <w:rsid w:val="00774187"/>
    <w:rsid w:val="00774625"/>
    <w:rsid w:val="0077463F"/>
    <w:rsid w:val="007769D2"/>
    <w:rsid w:val="00780F6D"/>
    <w:rsid w:val="007836EA"/>
    <w:rsid w:val="00783EF2"/>
    <w:rsid w:val="00784CDA"/>
    <w:rsid w:val="00786B74"/>
    <w:rsid w:val="00786CF0"/>
    <w:rsid w:val="007870C6"/>
    <w:rsid w:val="007870E9"/>
    <w:rsid w:val="007879C9"/>
    <w:rsid w:val="007906C4"/>
    <w:rsid w:val="00790C79"/>
    <w:rsid w:val="00792DAF"/>
    <w:rsid w:val="007940EA"/>
    <w:rsid w:val="007958B0"/>
    <w:rsid w:val="007961CD"/>
    <w:rsid w:val="007967E8"/>
    <w:rsid w:val="00796928"/>
    <w:rsid w:val="007A0190"/>
    <w:rsid w:val="007A09FD"/>
    <w:rsid w:val="007A2170"/>
    <w:rsid w:val="007A22BF"/>
    <w:rsid w:val="007A3323"/>
    <w:rsid w:val="007A5837"/>
    <w:rsid w:val="007A5C25"/>
    <w:rsid w:val="007A749E"/>
    <w:rsid w:val="007B173F"/>
    <w:rsid w:val="007B2E60"/>
    <w:rsid w:val="007B4C33"/>
    <w:rsid w:val="007B5CE3"/>
    <w:rsid w:val="007B72B8"/>
    <w:rsid w:val="007B7A58"/>
    <w:rsid w:val="007C0629"/>
    <w:rsid w:val="007C11C2"/>
    <w:rsid w:val="007C21B5"/>
    <w:rsid w:val="007C2772"/>
    <w:rsid w:val="007C3522"/>
    <w:rsid w:val="007C5788"/>
    <w:rsid w:val="007C6AFD"/>
    <w:rsid w:val="007C6DF4"/>
    <w:rsid w:val="007D019A"/>
    <w:rsid w:val="007D04A0"/>
    <w:rsid w:val="007D190D"/>
    <w:rsid w:val="007D2BC2"/>
    <w:rsid w:val="007D3AE5"/>
    <w:rsid w:val="007D4C4F"/>
    <w:rsid w:val="007D768B"/>
    <w:rsid w:val="007D7DD5"/>
    <w:rsid w:val="007E03E1"/>
    <w:rsid w:val="007E1F30"/>
    <w:rsid w:val="007E46B0"/>
    <w:rsid w:val="007E4BD2"/>
    <w:rsid w:val="007E6F57"/>
    <w:rsid w:val="007E7386"/>
    <w:rsid w:val="007F0502"/>
    <w:rsid w:val="007F0B6A"/>
    <w:rsid w:val="007F2E1F"/>
    <w:rsid w:val="007F3712"/>
    <w:rsid w:val="007F4266"/>
    <w:rsid w:val="007F58BB"/>
    <w:rsid w:val="007F626D"/>
    <w:rsid w:val="007F74D9"/>
    <w:rsid w:val="008012E5"/>
    <w:rsid w:val="00801393"/>
    <w:rsid w:val="00801AE7"/>
    <w:rsid w:val="00801BE8"/>
    <w:rsid w:val="00802F88"/>
    <w:rsid w:val="00803254"/>
    <w:rsid w:val="008036D5"/>
    <w:rsid w:val="00803CC6"/>
    <w:rsid w:val="008053DB"/>
    <w:rsid w:val="00805547"/>
    <w:rsid w:val="00805949"/>
    <w:rsid w:val="00805F76"/>
    <w:rsid w:val="00806413"/>
    <w:rsid w:val="008077DE"/>
    <w:rsid w:val="0081293B"/>
    <w:rsid w:val="0081293E"/>
    <w:rsid w:val="00813CFF"/>
    <w:rsid w:val="00814693"/>
    <w:rsid w:val="00815465"/>
    <w:rsid w:val="00817314"/>
    <w:rsid w:val="00817A1D"/>
    <w:rsid w:val="00817E9A"/>
    <w:rsid w:val="00820197"/>
    <w:rsid w:val="0082044F"/>
    <w:rsid w:val="00823A1D"/>
    <w:rsid w:val="00824A4B"/>
    <w:rsid w:val="00824C19"/>
    <w:rsid w:val="00826032"/>
    <w:rsid w:val="008271B0"/>
    <w:rsid w:val="00827AEA"/>
    <w:rsid w:val="008306BD"/>
    <w:rsid w:val="00831A80"/>
    <w:rsid w:val="00833743"/>
    <w:rsid w:val="00833B57"/>
    <w:rsid w:val="00834099"/>
    <w:rsid w:val="008340A4"/>
    <w:rsid w:val="0083799C"/>
    <w:rsid w:val="0084296F"/>
    <w:rsid w:val="00842BAB"/>
    <w:rsid w:val="008435BF"/>
    <w:rsid w:val="00843D3C"/>
    <w:rsid w:val="00844C86"/>
    <w:rsid w:val="0084563D"/>
    <w:rsid w:val="00845C72"/>
    <w:rsid w:val="008476D4"/>
    <w:rsid w:val="00851F2D"/>
    <w:rsid w:val="008539DB"/>
    <w:rsid w:val="008543B4"/>
    <w:rsid w:val="00854A8B"/>
    <w:rsid w:val="00856D23"/>
    <w:rsid w:val="0086193A"/>
    <w:rsid w:val="00865A1A"/>
    <w:rsid w:val="00866712"/>
    <w:rsid w:val="008703CD"/>
    <w:rsid w:val="0087135F"/>
    <w:rsid w:val="00872D94"/>
    <w:rsid w:val="00874F0E"/>
    <w:rsid w:val="0087700F"/>
    <w:rsid w:val="00877EF2"/>
    <w:rsid w:val="00880106"/>
    <w:rsid w:val="0088018F"/>
    <w:rsid w:val="00880364"/>
    <w:rsid w:val="0088047C"/>
    <w:rsid w:val="00880A8B"/>
    <w:rsid w:val="00881208"/>
    <w:rsid w:val="00884476"/>
    <w:rsid w:val="0088621F"/>
    <w:rsid w:val="00886A11"/>
    <w:rsid w:val="00887880"/>
    <w:rsid w:val="00891592"/>
    <w:rsid w:val="00891E9E"/>
    <w:rsid w:val="008921F0"/>
    <w:rsid w:val="008928FC"/>
    <w:rsid w:val="00893DA9"/>
    <w:rsid w:val="00894C3F"/>
    <w:rsid w:val="00894D7A"/>
    <w:rsid w:val="008975F2"/>
    <w:rsid w:val="00897DB4"/>
    <w:rsid w:val="008A1D41"/>
    <w:rsid w:val="008A239E"/>
    <w:rsid w:val="008A2F68"/>
    <w:rsid w:val="008A3B2F"/>
    <w:rsid w:val="008A541A"/>
    <w:rsid w:val="008A58C7"/>
    <w:rsid w:val="008A6197"/>
    <w:rsid w:val="008A68A7"/>
    <w:rsid w:val="008A6FA3"/>
    <w:rsid w:val="008A73A5"/>
    <w:rsid w:val="008B45C2"/>
    <w:rsid w:val="008B4FA6"/>
    <w:rsid w:val="008B5282"/>
    <w:rsid w:val="008B6DD4"/>
    <w:rsid w:val="008B711D"/>
    <w:rsid w:val="008B7C17"/>
    <w:rsid w:val="008C0ED1"/>
    <w:rsid w:val="008C0FFC"/>
    <w:rsid w:val="008C2C95"/>
    <w:rsid w:val="008C2D01"/>
    <w:rsid w:val="008C2D42"/>
    <w:rsid w:val="008C40E6"/>
    <w:rsid w:val="008C4DA1"/>
    <w:rsid w:val="008C5C10"/>
    <w:rsid w:val="008C5DB0"/>
    <w:rsid w:val="008C6348"/>
    <w:rsid w:val="008C7706"/>
    <w:rsid w:val="008D0098"/>
    <w:rsid w:val="008D0F7A"/>
    <w:rsid w:val="008D24B4"/>
    <w:rsid w:val="008D2669"/>
    <w:rsid w:val="008D305C"/>
    <w:rsid w:val="008D3522"/>
    <w:rsid w:val="008D47FB"/>
    <w:rsid w:val="008D50B6"/>
    <w:rsid w:val="008D5EE1"/>
    <w:rsid w:val="008D6887"/>
    <w:rsid w:val="008D68E4"/>
    <w:rsid w:val="008E0506"/>
    <w:rsid w:val="008E0CFF"/>
    <w:rsid w:val="008E4897"/>
    <w:rsid w:val="008E58F5"/>
    <w:rsid w:val="008E5D6B"/>
    <w:rsid w:val="008E7206"/>
    <w:rsid w:val="008E76F0"/>
    <w:rsid w:val="008F15FE"/>
    <w:rsid w:val="008F1974"/>
    <w:rsid w:val="008F2D29"/>
    <w:rsid w:val="008F3ED7"/>
    <w:rsid w:val="008F4E79"/>
    <w:rsid w:val="008F5187"/>
    <w:rsid w:val="008F5E0B"/>
    <w:rsid w:val="008F60D8"/>
    <w:rsid w:val="009012ED"/>
    <w:rsid w:val="009015DE"/>
    <w:rsid w:val="00902727"/>
    <w:rsid w:val="00902E83"/>
    <w:rsid w:val="0090312B"/>
    <w:rsid w:val="00906848"/>
    <w:rsid w:val="00912DF7"/>
    <w:rsid w:val="009154A1"/>
    <w:rsid w:val="0091722A"/>
    <w:rsid w:val="0091736D"/>
    <w:rsid w:val="00917D82"/>
    <w:rsid w:val="00917EB3"/>
    <w:rsid w:val="00920750"/>
    <w:rsid w:val="009213E2"/>
    <w:rsid w:val="00923901"/>
    <w:rsid w:val="009250B5"/>
    <w:rsid w:val="009259F7"/>
    <w:rsid w:val="00925E57"/>
    <w:rsid w:val="00926021"/>
    <w:rsid w:val="009300AE"/>
    <w:rsid w:val="0093037A"/>
    <w:rsid w:val="00930B33"/>
    <w:rsid w:val="009326A2"/>
    <w:rsid w:val="0093359B"/>
    <w:rsid w:val="00936D35"/>
    <w:rsid w:val="00937FE4"/>
    <w:rsid w:val="009402B3"/>
    <w:rsid w:val="00940368"/>
    <w:rsid w:val="009405BC"/>
    <w:rsid w:val="00940A22"/>
    <w:rsid w:val="0094154D"/>
    <w:rsid w:val="00941587"/>
    <w:rsid w:val="00942B0B"/>
    <w:rsid w:val="009440EC"/>
    <w:rsid w:val="00946ECA"/>
    <w:rsid w:val="00947E4E"/>
    <w:rsid w:val="009501E1"/>
    <w:rsid w:val="0095155F"/>
    <w:rsid w:val="00951DEF"/>
    <w:rsid w:val="009526E1"/>
    <w:rsid w:val="0095279C"/>
    <w:rsid w:val="00952CAA"/>
    <w:rsid w:val="00953344"/>
    <w:rsid w:val="00953D74"/>
    <w:rsid w:val="00954022"/>
    <w:rsid w:val="00954429"/>
    <w:rsid w:val="00954CFC"/>
    <w:rsid w:val="00954E56"/>
    <w:rsid w:val="009563CE"/>
    <w:rsid w:val="0095729C"/>
    <w:rsid w:val="00964877"/>
    <w:rsid w:val="00964C10"/>
    <w:rsid w:val="00965F27"/>
    <w:rsid w:val="009665C6"/>
    <w:rsid w:val="00967378"/>
    <w:rsid w:val="009679C6"/>
    <w:rsid w:val="009736B1"/>
    <w:rsid w:val="0097399F"/>
    <w:rsid w:val="0097547C"/>
    <w:rsid w:val="009754EC"/>
    <w:rsid w:val="00976328"/>
    <w:rsid w:val="0097680D"/>
    <w:rsid w:val="00977B78"/>
    <w:rsid w:val="00977F15"/>
    <w:rsid w:val="009800D3"/>
    <w:rsid w:val="00980F9C"/>
    <w:rsid w:val="00981A2D"/>
    <w:rsid w:val="009821C3"/>
    <w:rsid w:val="00982438"/>
    <w:rsid w:val="00982682"/>
    <w:rsid w:val="00982E2D"/>
    <w:rsid w:val="009830C6"/>
    <w:rsid w:val="009833E2"/>
    <w:rsid w:val="009836EE"/>
    <w:rsid w:val="0098404C"/>
    <w:rsid w:val="009841E8"/>
    <w:rsid w:val="00984B0C"/>
    <w:rsid w:val="00984D24"/>
    <w:rsid w:val="0098518D"/>
    <w:rsid w:val="00985283"/>
    <w:rsid w:val="009857AF"/>
    <w:rsid w:val="00985E34"/>
    <w:rsid w:val="0098728A"/>
    <w:rsid w:val="009872BC"/>
    <w:rsid w:val="009879E9"/>
    <w:rsid w:val="00990F82"/>
    <w:rsid w:val="00991B24"/>
    <w:rsid w:val="00992572"/>
    <w:rsid w:val="009957A6"/>
    <w:rsid w:val="00995992"/>
    <w:rsid w:val="00997107"/>
    <w:rsid w:val="009A01C0"/>
    <w:rsid w:val="009A03E5"/>
    <w:rsid w:val="009A0F3B"/>
    <w:rsid w:val="009A19AE"/>
    <w:rsid w:val="009A1BB4"/>
    <w:rsid w:val="009A2036"/>
    <w:rsid w:val="009A21D0"/>
    <w:rsid w:val="009A2551"/>
    <w:rsid w:val="009A2628"/>
    <w:rsid w:val="009A3200"/>
    <w:rsid w:val="009A333B"/>
    <w:rsid w:val="009A35BD"/>
    <w:rsid w:val="009A5287"/>
    <w:rsid w:val="009A74C5"/>
    <w:rsid w:val="009A7E54"/>
    <w:rsid w:val="009B000A"/>
    <w:rsid w:val="009B0897"/>
    <w:rsid w:val="009B0AA2"/>
    <w:rsid w:val="009B2DFA"/>
    <w:rsid w:val="009B4782"/>
    <w:rsid w:val="009B745E"/>
    <w:rsid w:val="009B745F"/>
    <w:rsid w:val="009B7BD9"/>
    <w:rsid w:val="009B7F29"/>
    <w:rsid w:val="009C031A"/>
    <w:rsid w:val="009C05A4"/>
    <w:rsid w:val="009C39A2"/>
    <w:rsid w:val="009C3C24"/>
    <w:rsid w:val="009C3D72"/>
    <w:rsid w:val="009C48E4"/>
    <w:rsid w:val="009C4E8B"/>
    <w:rsid w:val="009C5ADA"/>
    <w:rsid w:val="009C62BA"/>
    <w:rsid w:val="009C630D"/>
    <w:rsid w:val="009C6736"/>
    <w:rsid w:val="009C6AE9"/>
    <w:rsid w:val="009C7DD5"/>
    <w:rsid w:val="009D1990"/>
    <w:rsid w:val="009D246B"/>
    <w:rsid w:val="009E195B"/>
    <w:rsid w:val="009E1CCC"/>
    <w:rsid w:val="009E227D"/>
    <w:rsid w:val="009E492B"/>
    <w:rsid w:val="009E5019"/>
    <w:rsid w:val="009E780F"/>
    <w:rsid w:val="009F052D"/>
    <w:rsid w:val="009F0A5A"/>
    <w:rsid w:val="009F2C4A"/>
    <w:rsid w:val="009F33F7"/>
    <w:rsid w:val="009F547D"/>
    <w:rsid w:val="009F5603"/>
    <w:rsid w:val="009F6E69"/>
    <w:rsid w:val="00A02621"/>
    <w:rsid w:val="00A0359F"/>
    <w:rsid w:val="00A03E3B"/>
    <w:rsid w:val="00A03F8E"/>
    <w:rsid w:val="00A04F1B"/>
    <w:rsid w:val="00A0501B"/>
    <w:rsid w:val="00A0792F"/>
    <w:rsid w:val="00A07F02"/>
    <w:rsid w:val="00A07F19"/>
    <w:rsid w:val="00A111E6"/>
    <w:rsid w:val="00A1231F"/>
    <w:rsid w:val="00A13E5C"/>
    <w:rsid w:val="00A14848"/>
    <w:rsid w:val="00A14947"/>
    <w:rsid w:val="00A15357"/>
    <w:rsid w:val="00A156E2"/>
    <w:rsid w:val="00A162F0"/>
    <w:rsid w:val="00A16759"/>
    <w:rsid w:val="00A2051C"/>
    <w:rsid w:val="00A22880"/>
    <w:rsid w:val="00A24C60"/>
    <w:rsid w:val="00A24CF3"/>
    <w:rsid w:val="00A30517"/>
    <w:rsid w:val="00A30EC8"/>
    <w:rsid w:val="00A31CEA"/>
    <w:rsid w:val="00A31D19"/>
    <w:rsid w:val="00A32A83"/>
    <w:rsid w:val="00A32FBE"/>
    <w:rsid w:val="00A3492A"/>
    <w:rsid w:val="00A368AD"/>
    <w:rsid w:val="00A368DB"/>
    <w:rsid w:val="00A37C62"/>
    <w:rsid w:val="00A42048"/>
    <w:rsid w:val="00A421EE"/>
    <w:rsid w:val="00A423AA"/>
    <w:rsid w:val="00A43375"/>
    <w:rsid w:val="00A44325"/>
    <w:rsid w:val="00A4463D"/>
    <w:rsid w:val="00A4564D"/>
    <w:rsid w:val="00A45DA6"/>
    <w:rsid w:val="00A519F6"/>
    <w:rsid w:val="00A51B04"/>
    <w:rsid w:val="00A52391"/>
    <w:rsid w:val="00A53EC6"/>
    <w:rsid w:val="00A555A3"/>
    <w:rsid w:val="00A55C0F"/>
    <w:rsid w:val="00A57F10"/>
    <w:rsid w:val="00A607E6"/>
    <w:rsid w:val="00A60A3E"/>
    <w:rsid w:val="00A612B7"/>
    <w:rsid w:val="00A62212"/>
    <w:rsid w:val="00A63198"/>
    <w:rsid w:val="00A64D02"/>
    <w:rsid w:val="00A655DA"/>
    <w:rsid w:val="00A65C8B"/>
    <w:rsid w:val="00A65EDD"/>
    <w:rsid w:val="00A6629C"/>
    <w:rsid w:val="00A66E99"/>
    <w:rsid w:val="00A67E7A"/>
    <w:rsid w:val="00A72DFD"/>
    <w:rsid w:val="00A73411"/>
    <w:rsid w:val="00A734E5"/>
    <w:rsid w:val="00A7382C"/>
    <w:rsid w:val="00A73B0B"/>
    <w:rsid w:val="00A740C7"/>
    <w:rsid w:val="00A74483"/>
    <w:rsid w:val="00A7486F"/>
    <w:rsid w:val="00A749BA"/>
    <w:rsid w:val="00A74A68"/>
    <w:rsid w:val="00A75846"/>
    <w:rsid w:val="00A7646D"/>
    <w:rsid w:val="00A77E2D"/>
    <w:rsid w:val="00A80042"/>
    <w:rsid w:val="00A80F0E"/>
    <w:rsid w:val="00A818FA"/>
    <w:rsid w:val="00A836B2"/>
    <w:rsid w:val="00A843FE"/>
    <w:rsid w:val="00A84E00"/>
    <w:rsid w:val="00A86318"/>
    <w:rsid w:val="00A870A2"/>
    <w:rsid w:val="00A8713F"/>
    <w:rsid w:val="00A87389"/>
    <w:rsid w:val="00A90BA1"/>
    <w:rsid w:val="00A91538"/>
    <w:rsid w:val="00A9249C"/>
    <w:rsid w:val="00A9251C"/>
    <w:rsid w:val="00A92DE6"/>
    <w:rsid w:val="00A932EF"/>
    <w:rsid w:val="00A9378D"/>
    <w:rsid w:val="00A9429F"/>
    <w:rsid w:val="00A95A3E"/>
    <w:rsid w:val="00A968E2"/>
    <w:rsid w:val="00A97A9A"/>
    <w:rsid w:val="00AA0671"/>
    <w:rsid w:val="00AA0AE8"/>
    <w:rsid w:val="00AA0D46"/>
    <w:rsid w:val="00AA2531"/>
    <w:rsid w:val="00AA2635"/>
    <w:rsid w:val="00AA623D"/>
    <w:rsid w:val="00AA664B"/>
    <w:rsid w:val="00AA7163"/>
    <w:rsid w:val="00AB060F"/>
    <w:rsid w:val="00AB137B"/>
    <w:rsid w:val="00AB1484"/>
    <w:rsid w:val="00AB1786"/>
    <w:rsid w:val="00AB1E09"/>
    <w:rsid w:val="00AB2467"/>
    <w:rsid w:val="00AB5124"/>
    <w:rsid w:val="00AB5330"/>
    <w:rsid w:val="00AB5C00"/>
    <w:rsid w:val="00AB71B9"/>
    <w:rsid w:val="00AB7747"/>
    <w:rsid w:val="00AB7777"/>
    <w:rsid w:val="00AC074A"/>
    <w:rsid w:val="00AC0F68"/>
    <w:rsid w:val="00AC128C"/>
    <w:rsid w:val="00AC14CE"/>
    <w:rsid w:val="00AC2A56"/>
    <w:rsid w:val="00AC2AB1"/>
    <w:rsid w:val="00AC2C1D"/>
    <w:rsid w:val="00AC3A14"/>
    <w:rsid w:val="00AC466C"/>
    <w:rsid w:val="00AD055E"/>
    <w:rsid w:val="00AD06E1"/>
    <w:rsid w:val="00AD0BCC"/>
    <w:rsid w:val="00AD147D"/>
    <w:rsid w:val="00AD47A7"/>
    <w:rsid w:val="00AD5416"/>
    <w:rsid w:val="00AE0296"/>
    <w:rsid w:val="00AE1787"/>
    <w:rsid w:val="00AE2BA5"/>
    <w:rsid w:val="00AE32B5"/>
    <w:rsid w:val="00AE3E2B"/>
    <w:rsid w:val="00AE4094"/>
    <w:rsid w:val="00AE5C4B"/>
    <w:rsid w:val="00AF0CBF"/>
    <w:rsid w:val="00AF0EFD"/>
    <w:rsid w:val="00AF257F"/>
    <w:rsid w:val="00AF27A1"/>
    <w:rsid w:val="00AF33CF"/>
    <w:rsid w:val="00AF3F2F"/>
    <w:rsid w:val="00AF4C39"/>
    <w:rsid w:val="00AF4CC2"/>
    <w:rsid w:val="00AF4D50"/>
    <w:rsid w:val="00AF4DB0"/>
    <w:rsid w:val="00AF569A"/>
    <w:rsid w:val="00AF5FAD"/>
    <w:rsid w:val="00AF6179"/>
    <w:rsid w:val="00AF7E42"/>
    <w:rsid w:val="00B00DA5"/>
    <w:rsid w:val="00B00DCF"/>
    <w:rsid w:val="00B013B9"/>
    <w:rsid w:val="00B03918"/>
    <w:rsid w:val="00B06CCE"/>
    <w:rsid w:val="00B11038"/>
    <w:rsid w:val="00B115D3"/>
    <w:rsid w:val="00B117BD"/>
    <w:rsid w:val="00B11CC4"/>
    <w:rsid w:val="00B123A7"/>
    <w:rsid w:val="00B1295A"/>
    <w:rsid w:val="00B12B1A"/>
    <w:rsid w:val="00B13992"/>
    <w:rsid w:val="00B14BAA"/>
    <w:rsid w:val="00B16E46"/>
    <w:rsid w:val="00B171A6"/>
    <w:rsid w:val="00B20A45"/>
    <w:rsid w:val="00B20BDD"/>
    <w:rsid w:val="00B221AE"/>
    <w:rsid w:val="00B22C5C"/>
    <w:rsid w:val="00B23D0A"/>
    <w:rsid w:val="00B24F30"/>
    <w:rsid w:val="00B266A9"/>
    <w:rsid w:val="00B26B9E"/>
    <w:rsid w:val="00B272A2"/>
    <w:rsid w:val="00B31ABF"/>
    <w:rsid w:val="00B33022"/>
    <w:rsid w:val="00B330AC"/>
    <w:rsid w:val="00B33BE3"/>
    <w:rsid w:val="00B33F86"/>
    <w:rsid w:val="00B341D0"/>
    <w:rsid w:val="00B353EC"/>
    <w:rsid w:val="00B35EB2"/>
    <w:rsid w:val="00B36168"/>
    <w:rsid w:val="00B367B3"/>
    <w:rsid w:val="00B40FDD"/>
    <w:rsid w:val="00B4340E"/>
    <w:rsid w:val="00B43598"/>
    <w:rsid w:val="00B445F1"/>
    <w:rsid w:val="00B45249"/>
    <w:rsid w:val="00B45861"/>
    <w:rsid w:val="00B45CF8"/>
    <w:rsid w:val="00B4684C"/>
    <w:rsid w:val="00B46D06"/>
    <w:rsid w:val="00B475CA"/>
    <w:rsid w:val="00B50818"/>
    <w:rsid w:val="00B50DA9"/>
    <w:rsid w:val="00B53B5D"/>
    <w:rsid w:val="00B54D34"/>
    <w:rsid w:val="00B55242"/>
    <w:rsid w:val="00B561C4"/>
    <w:rsid w:val="00B6037C"/>
    <w:rsid w:val="00B60498"/>
    <w:rsid w:val="00B6055E"/>
    <w:rsid w:val="00B60B22"/>
    <w:rsid w:val="00B612BD"/>
    <w:rsid w:val="00B623F0"/>
    <w:rsid w:val="00B6317D"/>
    <w:rsid w:val="00B63699"/>
    <w:rsid w:val="00B63F3A"/>
    <w:rsid w:val="00B64EEB"/>
    <w:rsid w:val="00B6504C"/>
    <w:rsid w:val="00B6550D"/>
    <w:rsid w:val="00B66CDF"/>
    <w:rsid w:val="00B67D01"/>
    <w:rsid w:val="00B734F3"/>
    <w:rsid w:val="00B73552"/>
    <w:rsid w:val="00B75955"/>
    <w:rsid w:val="00B76490"/>
    <w:rsid w:val="00B76E9C"/>
    <w:rsid w:val="00B7723F"/>
    <w:rsid w:val="00B80534"/>
    <w:rsid w:val="00B80743"/>
    <w:rsid w:val="00B81B22"/>
    <w:rsid w:val="00B81C6C"/>
    <w:rsid w:val="00B826CD"/>
    <w:rsid w:val="00B8433C"/>
    <w:rsid w:val="00B843BB"/>
    <w:rsid w:val="00B84A7A"/>
    <w:rsid w:val="00B85584"/>
    <w:rsid w:val="00B8626F"/>
    <w:rsid w:val="00B87491"/>
    <w:rsid w:val="00B91F6D"/>
    <w:rsid w:val="00B92181"/>
    <w:rsid w:val="00B93E04"/>
    <w:rsid w:val="00B969C9"/>
    <w:rsid w:val="00B97CA7"/>
    <w:rsid w:val="00B97FB0"/>
    <w:rsid w:val="00BA117A"/>
    <w:rsid w:val="00BA29E9"/>
    <w:rsid w:val="00BA4DB9"/>
    <w:rsid w:val="00BA5798"/>
    <w:rsid w:val="00BA599C"/>
    <w:rsid w:val="00BA7142"/>
    <w:rsid w:val="00BB1EC2"/>
    <w:rsid w:val="00BB22C4"/>
    <w:rsid w:val="00BB237C"/>
    <w:rsid w:val="00BB272C"/>
    <w:rsid w:val="00BB3A25"/>
    <w:rsid w:val="00BB41A3"/>
    <w:rsid w:val="00BB4628"/>
    <w:rsid w:val="00BB5123"/>
    <w:rsid w:val="00BB5E4F"/>
    <w:rsid w:val="00BB61CF"/>
    <w:rsid w:val="00BB62A0"/>
    <w:rsid w:val="00BB63A5"/>
    <w:rsid w:val="00BB63DF"/>
    <w:rsid w:val="00BB7647"/>
    <w:rsid w:val="00BC01D0"/>
    <w:rsid w:val="00BC1871"/>
    <w:rsid w:val="00BC2B21"/>
    <w:rsid w:val="00BC32DC"/>
    <w:rsid w:val="00BC35B6"/>
    <w:rsid w:val="00BC3A08"/>
    <w:rsid w:val="00BC4D2F"/>
    <w:rsid w:val="00BC7CC8"/>
    <w:rsid w:val="00BD082E"/>
    <w:rsid w:val="00BD16EF"/>
    <w:rsid w:val="00BD1B51"/>
    <w:rsid w:val="00BD3730"/>
    <w:rsid w:val="00BD3985"/>
    <w:rsid w:val="00BD4596"/>
    <w:rsid w:val="00BD7133"/>
    <w:rsid w:val="00BE003D"/>
    <w:rsid w:val="00BE0859"/>
    <w:rsid w:val="00BE1405"/>
    <w:rsid w:val="00BE1743"/>
    <w:rsid w:val="00BE18EF"/>
    <w:rsid w:val="00BE2A4D"/>
    <w:rsid w:val="00BE2A85"/>
    <w:rsid w:val="00BE312D"/>
    <w:rsid w:val="00BE3262"/>
    <w:rsid w:val="00BE5414"/>
    <w:rsid w:val="00BE6421"/>
    <w:rsid w:val="00BE7250"/>
    <w:rsid w:val="00BF0042"/>
    <w:rsid w:val="00BF12C6"/>
    <w:rsid w:val="00BF1C20"/>
    <w:rsid w:val="00BF1D99"/>
    <w:rsid w:val="00BF282B"/>
    <w:rsid w:val="00BF528E"/>
    <w:rsid w:val="00BF53E1"/>
    <w:rsid w:val="00BF5B71"/>
    <w:rsid w:val="00BF6DAD"/>
    <w:rsid w:val="00BF7035"/>
    <w:rsid w:val="00C009DC"/>
    <w:rsid w:val="00C00DD4"/>
    <w:rsid w:val="00C03783"/>
    <w:rsid w:val="00C03982"/>
    <w:rsid w:val="00C039B6"/>
    <w:rsid w:val="00C0743D"/>
    <w:rsid w:val="00C07448"/>
    <w:rsid w:val="00C07982"/>
    <w:rsid w:val="00C10203"/>
    <w:rsid w:val="00C10446"/>
    <w:rsid w:val="00C10578"/>
    <w:rsid w:val="00C128C2"/>
    <w:rsid w:val="00C135BC"/>
    <w:rsid w:val="00C14226"/>
    <w:rsid w:val="00C146D8"/>
    <w:rsid w:val="00C14C2B"/>
    <w:rsid w:val="00C1539D"/>
    <w:rsid w:val="00C15468"/>
    <w:rsid w:val="00C15C95"/>
    <w:rsid w:val="00C164BF"/>
    <w:rsid w:val="00C16847"/>
    <w:rsid w:val="00C173F5"/>
    <w:rsid w:val="00C2003F"/>
    <w:rsid w:val="00C22426"/>
    <w:rsid w:val="00C2549E"/>
    <w:rsid w:val="00C2596A"/>
    <w:rsid w:val="00C2725E"/>
    <w:rsid w:val="00C27537"/>
    <w:rsid w:val="00C301B8"/>
    <w:rsid w:val="00C3206B"/>
    <w:rsid w:val="00C328FE"/>
    <w:rsid w:val="00C33507"/>
    <w:rsid w:val="00C33A8B"/>
    <w:rsid w:val="00C34D02"/>
    <w:rsid w:val="00C364BA"/>
    <w:rsid w:val="00C40789"/>
    <w:rsid w:val="00C4108D"/>
    <w:rsid w:val="00C412C9"/>
    <w:rsid w:val="00C41732"/>
    <w:rsid w:val="00C429C8"/>
    <w:rsid w:val="00C43966"/>
    <w:rsid w:val="00C43E01"/>
    <w:rsid w:val="00C4409D"/>
    <w:rsid w:val="00C44DA1"/>
    <w:rsid w:val="00C44E72"/>
    <w:rsid w:val="00C45A06"/>
    <w:rsid w:val="00C45FF4"/>
    <w:rsid w:val="00C47E5B"/>
    <w:rsid w:val="00C5077F"/>
    <w:rsid w:val="00C51720"/>
    <w:rsid w:val="00C5217B"/>
    <w:rsid w:val="00C52E3B"/>
    <w:rsid w:val="00C540B3"/>
    <w:rsid w:val="00C56327"/>
    <w:rsid w:val="00C565A0"/>
    <w:rsid w:val="00C56B84"/>
    <w:rsid w:val="00C60A03"/>
    <w:rsid w:val="00C60D5B"/>
    <w:rsid w:val="00C61E4B"/>
    <w:rsid w:val="00C6457F"/>
    <w:rsid w:val="00C64BFF"/>
    <w:rsid w:val="00C64EEE"/>
    <w:rsid w:val="00C65FCD"/>
    <w:rsid w:val="00C67FEA"/>
    <w:rsid w:val="00C7041B"/>
    <w:rsid w:val="00C704E9"/>
    <w:rsid w:val="00C71221"/>
    <w:rsid w:val="00C725EF"/>
    <w:rsid w:val="00C728D2"/>
    <w:rsid w:val="00C72C79"/>
    <w:rsid w:val="00C73419"/>
    <w:rsid w:val="00C763C9"/>
    <w:rsid w:val="00C7643E"/>
    <w:rsid w:val="00C77AE4"/>
    <w:rsid w:val="00C80057"/>
    <w:rsid w:val="00C80D3A"/>
    <w:rsid w:val="00C80DE6"/>
    <w:rsid w:val="00C814D8"/>
    <w:rsid w:val="00C82232"/>
    <w:rsid w:val="00C82913"/>
    <w:rsid w:val="00C82F2D"/>
    <w:rsid w:val="00C83229"/>
    <w:rsid w:val="00C83D3E"/>
    <w:rsid w:val="00C8693F"/>
    <w:rsid w:val="00C86EBD"/>
    <w:rsid w:val="00C86FA7"/>
    <w:rsid w:val="00C87D2A"/>
    <w:rsid w:val="00C90AAE"/>
    <w:rsid w:val="00C91540"/>
    <w:rsid w:val="00C96C32"/>
    <w:rsid w:val="00C972B1"/>
    <w:rsid w:val="00C97E5C"/>
    <w:rsid w:val="00CA191E"/>
    <w:rsid w:val="00CA2CCE"/>
    <w:rsid w:val="00CA3B90"/>
    <w:rsid w:val="00CA3FC0"/>
    <w:rsid w:val="00CA43FD"/>
    <w:rsid w:val="00CA45EF"/>
    <w:rsid w:val="00CA49B9"/>
    <w:rsid w:val="00CA610D"/>
    <w:rsid w:val="00CA6BCB"/>
    <w:rsid w:val="00CA7CFF"/>
    <w:rsid w:val="00CA7EF8"/>
    <w:rsid w:val="00CB141A"/>
    <w:rsid w:val="00CB38A4"/>
    <w:rsid w:val="00CB4AE4"/>
    <w:rsid w:val="00CB62D3"/>
    <w:rsid w:val="00CC0E22"/>
    <w:rsid w:val="00CC4270"/>
    <w:rsid w:val="00CC489B"/>
    <w:rsid w:val="00CC58E0"/>
    <w:rsid w:val="00CC60BE"/>
    <w:rsid w:val="00CC69FF"/>
    <w:rsid w:val="00CC7648"/>
    <w:rsid w:val="00CC7D42"/>
    <w:rsid w:val="00CD1AD8"/>
    <w:rsid w:val="00CD2605"/>
    <w:rsid w:val="00CD2763"/>
    <w:rsid w:val="00CD2767"/>
    <w:rsid w:val="00CD2BCD"/>
    <w:rsid w:val="00CD38B1"/>
    <w:rsid w:val="00CD3A4C"/>
    <w:rsid w:val="00CD3C7E"/>
    <w:rsid w:val="00CD4170"/>
    <w:rsid w:val="00CD41AD"/>
    <w:rsid w:val="00CD5C7A"/>
    <w:rsid w:val="00CD77B7"/>
    <w:rsid w:val="00CE08EC"/>
    <w:rsid w:val="00CE0CB5"/>
    <w:rsid w:val="00CE0DFD"/>
    <w:rsid w:val="00CE10E9"/>
    <w:rsid w:val="00CE14EF"/>
    <w:rsid w:val="00CE194C"/>
    <w:rsid w:val="00CE1F76"/>
    <w:rsid w:val="00CE2910"/>
    <w:rsid w:val="00CE2CFC"/>
    <w:rsid w:val="00CE3482"/>
    <w:rsid w:val="00CE3CC3"/>
    <w:rsid w:val="00CE5393"/>
    <w:rsid w:val="00CE5FB4"/>
    <w:rsid w:val="00CE6B53"/>
    <w:rsid w:val="00CE774D"/>
    <w:rsid w:val="00CE7F12"/>
    <w:rsid w:val="00CF05F8"/>
    <w:rsid w:val="00CF079F"/>
    <w:rsid w:val="00CF1093"/>
    <w:rsid w:val="00CF16C1"/>
    <w:rsid w:val="00CF327A"/>
    <w:rsid w:val="00CF36BE"/>
    <w:rsid w:val="00CF37FD"/>
    <w:rsid w:val="00CF3B17"/>
    <w:rsid w:val="00CF42E1"/>
    <w:rsid w:val="00CF46E8"/>
    <w:rsid w:val="00CF4D60"/>
    <w:rsid w:val="00CF6000"/>
    <w:rsid w:val="00CF7A86"/>
    <w:rsid w:val="00D003F3"/>
    <w:rsid w:val="00D016C3"/>
    <w:rsid w:val="00D01969"/>
    <w:rsid w:val="00D0364F"/>
    <w:rsid w:val="00D0365E"/>
    <w:rsid w:val="00D038E0"/>
    <w:rsid w:val="00D04ED5"/>
    <w:rsid w:val="00D06834"/>
    <w:rsid w:val="00D07800"/>
    <w:rsid w:val="00D107F2"/>
    <w:rsid w:val="00D1457D"/>
    <w:rsid w:val="00D149AD"/>
    <w:rsid w:val="00D178B0"/>
    <w:rsid w:val="00D23293"/>
    <w:rsid w:val="00D23ABE"/>
    <w:rsid w:val="00D249F2"/>
    <w:rsid w:val="00D25381"/>
    <w:rsid w:val="00D27C1C"/>
    <w:rsid w:val="00D308ED"/>
    <w:rsid w:val="00D32A25"/>
    <w:rsid w:val="00D32D58"/>
    <w:rsid w:val="00D3374E"/>
    <w:rsid w:val="00D33FCC"/>
    <w:rsid w:val="00D34640"/>
    <w:rsid w:val="00D34F0F"/>
    <w:rsid w:val="00D354E2"/>
    <w:rsid w:val="00D358F9"/>
    <w:rsid w:val="00D36C9E"/>
    <w:rsid w:val="00D36D86"/>
    <w:rsid w:val="00D373F3"/>
    <w:rsid w:val="00D4276A"/>
    <w:rsid w:val="00D428AA"/>
    <w:rsid w:val="00D473F2"/>
    <w:rsid w:val="00D47C85"/>
    <w:rsid w:val="00D50A34"/>
    <w:rsid w:val="00D51252"/>
    <w:rsid w:val="00D51EC0"/>
    <w:rsid w:val="00D5392C"/>
    <w:rsid w:val="00D53EFA"/>
    <w:rsid w:val="00D54465"/>
    <w:rsid w:val="00D569E1"/>
    <w:rsid w:val="00D5714C"/>
    <w:rsid w:val="00D61FF1"/>
    <w:rsid w:val="00D62AF0"/>
    <w:rsid w:val="00D643DD"/>
    <w:rsid w:val="00D650F4"/>
    <w:rsid w:val="00D6688D"/>
    <w:rsid w:val="00D6755F"/>
    <w:rsid w:val="00D70615"/>
    <w:rsid w:val="00D70647"/>
    <w:rsid w:val="00D71076"/>
    <w:rsid w:val="00D72D0B"/>
    <w:rsid w:val="00D75A4B"/>
    <w:rsid w:val="00D75B6E"/>
    <w:rsid w:val="00D75D98"/>
    <w:rsid w:val="00D76B69"/>
    <w:rsid w:val="00D80488"/>
    <w:rsid w:val="00D81D53"/>
    <w:rsid w:val="00D81EE9"/>
    <w:rsid w:val="00D82255"/>
    <w:rsid w:val="00D8260D"/>
    <w:rsid w:val="00D82D9E"/>
    <w:rsid w:val="00D83624"/>
    <w:rsid w:val="00D83A95"/>
    <w:rsid w:val="00D83AF0"/>
    <w:rsid w:val="00D83D78"/>
    <w:rsid w:val="00D84941"/>
    <w:rsid w:val="00D90547"/>
    <w:rsid w:val="00D91598"/>
    <w:rsid w:val="00D93087"/>
    <w:rsid w:val="00D93932"/>
    <w:rsid w:val="00D93F94"/>
    <w:rsid w:val="00D9418E"/>
    <w:rsid w:val="00D94A7C"/>
    <w:rsid w:val="00D95896"/>
    <w:rsid w:val="00D960FC"/>
    <w:rsid w:val="00D9623C"/>
    <w:rsid w:val="00D96C1B"/>
    <w:rsid w:val="00DA1810"/>
    <w:rsid w:val="00DA20BC"/>
    <w:rsid w:val="00DA2ABF"/>
    <w:rsid w:val="00DA2B1E"/>
    <w:rsid w:val="00DA4A8F"/>
    <w:rsid w:val="00DA4AF4"/>
    <w:rsid w:val="00DA60D4"/>
    <w:rsid w:val="00DB1271"/>
    <w:rsid w:val="00DB176D"/>
    <w:rsid w:val="00DB2983"/>
    <w:rsid w:val="00DB5BF9"/>
    <w:rsid w:val="00DC1257"/>
    <w:rsid w:val="00DC1CC5"/>
    <w:rsid w:val="00DC1FB4"/>
    <w:rsid w:val="00DC3346"/>
    <w:rsid w:val="00DC3DC0"/>
    <w:rsid w:val="00DC5B2B"/>
    <w:rsid w:val="00DC65E7"/>
    <w:rsid w:val="00DC67CB"/>
    <w:rsid w:val="00DD318D"/>
    <w:rsid w:val="00DD6BE2"/>
    <w:rsid w:val="00DE3A70"/>
    <w:rsid w:val="00DE721F"/>
    <w:rsid w:val="00DE75C2"/>
    <w:rsid w:val="00DE76CF"/>
    <w:rsid w:val="00DF0023"/>
    <w:rsid w:val="00DF0E68"/>
    <w:rsid w:val="00DF113B"/>
    <w:rsid w:val="00DF2E12"/>
    <w:rsid w:val="00DF3D8E"/>
    <w:rsid w:val="00DF514A"/>
    <w:rsid w:val="00DF5AEA"/>
    <w:rsid w:val="00DF619A"/>
    <w:rsid w:val="00DF6690"/>
    <w:rsid w:val="00DF6804"/>
    <w:rsid w:val="00DF7390"/>
    <w:rsid w:val="00DF7BF1"/>
    <w:rsid w:val="00DF7E73"/>
    <w:rsid w:val="00E024F4"/>
    <w:rsid w:val="00E0358D"/>
    <w:rsid w:val="00E04323"/>
    <w:rsid w:val="00E04611"/>
    <w:rsid w:val="00E06403"/>
    <w:rsid w:val="00E06432"/>
    <w:rsid w:val="00E070A2"/>
    <w:rsid w:val="00E103F0"/>
    <w:rsid w:val="00E1083A"/>
    <w:rsid w:val="00E10A2F"/>
    <w:rsid w:val="00E10C44"/>
    <w:rsid w:val="00E119A9"/>
    <w:rsid w:val="00E14320"/>
    <w:rsid w:val="00E151B7"/>
    <w:rsid w:val="00E15676"/>
    <w:rsid w:val="00E1675F"/>
    <w:rsid w:val="00E17AB6"/>
    <w:rsid w:val="00E204DD"/>
    <w:rsid w:val="00E216C3"/>
    <w:rsid w:val="00E2227B"/>
    <w:rsid w:val="00E228D6"/>
    <w:rsid w:val="00E23F33"/>
    <w:rsid w:val="00E25556"/>
    <w:rsid w:val="00E26444"/>
    <w:rsid w:val="00E2656A"/>
    <w:rsid w:val="00E26616"/>
    <w:rsid w:val="00E27FFC"/>
    <w:rsid w:val="00E30FB1"/>
    <w:rsid w:val="00E319CF"/>
    <w:rsid w:val="00E32D47"/>
    <w:rsid w:val="00E3315E"/>
    <w:rsid w:val="00E3349C"/>
    <w:rsid w:val="00E33B6E"/>
    <w:rsid w:val="00E37B96"/>
    <w:rsid w:val="00E412D0"/>
    <w:rsid w:val="00E418E9"/>
    <w:rsid w:val="00E447CF"/>
    <w:rsid w:val="00E44FE2"/>
    <w:rsid w:val="00E45DB7"/>
    <w:rsid w:val="00E5061D"/>
    <w:rsid w:val="00E5214B"/>
    <w:rsid w:val="00E526CF"/>
    <w:rsid w:val="00E54928"/>
    <w:rsid w:val="00E54978"/>
    <w:rsid w:val="00E557AE"/>
    <w:rsid w:val="00E56322"/>
    <w:rsid w:val="00E575C4"/>
    <w:rsid w:val="00E57C6D"/>
    <w:rsid w:val="00E602DB"/>
    <w:rsid w:val="00E60982"/>
    <w:rsid w:val="00E60AB0"/>
    <w:rsid w:val="00E61DC4"/>
    <w:rsid w:val="00E62C62"/>
    <w:rsid w:val="00E639A9"/>
    <w:rsid w:val="00E63F60"/>
    <w:rsid w:val="00E654A7"/>
    <w:rsid w:val="00E654C1"/>
    <w:rsid w:val="00E65D97"/>
    <w:rsid w:val="00E71421"/>
    <w:rsid w:val="00E71756"/>
    <w:rsid w:val="00E71FF8"/>
    <w:rsid w:val="00E72881"/>
    <w:rsid w:val="00E72A5A"/>
    <w:rsid w:val="00E73354"/>
    <w:rsid w:val="00E73BED"/>
    <w:rsid w:val="00E73C23"/>
    <w:rsid w:val="00E73F47"/>
    <w:rsid w:val="00E763F9"/>
    <w:rsid w:val="00E806C4"/>
    <w:rsid w:val="00E80A44"/>
    <w:rsid w:val="00E8253A"/>
    <w:rsid w:val="00E825F5"/>
    <w:rsid w:val="00E82A1C"/>
    <w:rsid w:val="00E8394D"/>
    <w:rsid w:val="00E85664"/>
    <w:rsid w:val="00E909E5"/>
    <w:rsid w:val="00E9242D"/>
    <w:rsid w:val="00E94128"/>
    <w:rsid w:val="00E958D9"/>
    <w:rsid w:val="00E96E36"/>
    <w:rsid w:val="00EA1561"/>
    <w:rsid w:val="00EA1A54"/>
    <w:rsid w:val="00EA3393"/>
    <w:rsid w:val="00EA6575"/>
    <w:rsid w:val="00EA6F48"/>
    <w:rsid w:val="00EA761B"/>
    <w:rsid w:val="00EB0A98"/>
    <w:rsid w:val="00EB0FC0"/>
    <w:rsid w:val="00EB1F36"/>
    <w:rsid w:val="00EB5255"/>
    <w:rsid w:val="00EB5380"/>
    <w:rsid w:val="00EB5793"/>
    <w:rsid w:val="00EB5C47"/>
    <w:rsid w:val="00EB64C1"/>
    <w:rsid w:val="00EB7BD3"/>
    <w:rsid w:val="00EC2799"/>
    <w:rsid w:val="00EC4BC8"/>
    <w:rsid w:val="00EC56B2"/>
    <w:rsid w:val="00EC75B1"/>
    <w:rsid w:val="00EC76DF"/>
    <w:rsid w:val="00ED029C"/>
    <w:rsid w:val="00ED02E3"/>
    <w:rsid w:val="00ED047A"/>
    <w:rsid w:val="00ED0639"/>
    <w:rsid w:val="00ED17CF"/>
    <w:rsid w:val="00ED18C9"/>
    <w:rsid w:val="00ED2906"/>
    <w:rsid w:val="00ED798F"/>
    <w:rsid w:val="00EE2B98"/>
    <w:rsid w:val="00EE412E"/>
    <w:rsid w:val="00EE493D"/>
    <w:rsid w:val="00EE4E17"/>
    <w:rsid w:val="00EE5DD5"/>
    <w:rsid w:val="00EE66FC"/>
    <w:rsid w:val="00EF16A4"/>
    <w:rsid w:val="00EF253B"/>
    <w:rsid w:val="00EF2D42"/>
    <w:rsid w:val="00EF39B1"/>
    <w:rsid w:val="00EF4426"/>
    <w:rsid w:val="00EF4755"/>
    <w:rsid w:val="00EF4B3D"/>
    <w:rsid w:val="00EF61DB"/>
    <w:rsid w:val="00EF7135"/>
    <w:rsid w:val="00EF78C7"/>
    <w:rsid w:val="00F00650"/>
    <w:rsid w:val="00F023FF"/>
    <w:rsid w:val="00F027DB"/>
    <w:rsid w:val="00F054A1"/>
    <w:rsid w:val="00F05B96"/>
    <w:rsid w:val="00F05D8E"/>
    <w:rsid w:val="00F06394"/>
    <w:rsid w:val="00F06EC9"/>
    <w:rsid w:val="00F075C1"/>
    <w:rsid w:val="00F100BE"/>
    <w:rsid w:val="00F105E4"/>
    <w:rsid w:val="00F1090F"/>
    <w:rsid w:val="00F11FD0"/>
    <w:rsid w:val="00F12921"/>
    <w:rsid w:val="00F12E17"/>
    <w:rsid w:val="00F13089"/>
    <w:rsid w:val="00F1316D"/>
    <w:rsid w:val="00F1481B"/>
    <w:rsid w:val="00F1495A"/>
    <w:rsid w:val="00F14A7A"/>
    <w:rsid w:val="00F150EA"/>
    <w:rsid w:val="00F16EC2"/>
    <w:rsid w:val="00F1706E"/>
    <w:rsid w:val="00F20C92"/>
    <w:rsid w:val="00F22023"/>
    <w:rsid w:val="00F223C9"/>
    <w:rsid w:val="00F22779"/>
    <w:rsid w:val="00F22985"/>
    <w:rsid w:val="00F23562"/>
    <w:rsid w:val="00F246AB"/>
    <w:rsid w:val="00F25827"/>
    <w:rsid w:val="00F25A6B"/>
    <w:rsid w:val="00F27D59"/>
    <w:rsid w:val="00F321B7"/>
    <w:rsid w:val="00F3250D"/>
    <w:rsid w:val="00F3337D"/>
    <w:rsid w:val="00F33527"/>
    <w:rsid w:val="00F3383E"/>
    <w:rsid w:val="00F34525"/>
    <w:rsid w:val="00F35FB4"/>
    <w:rsid w:val="00F360A3"/>
    <w:rsid w:val="00F372C1"/>
    <w:rsid w:val="00F4464D"/>
    <w:rsid w:val="00F4630D"/>
    <w:rsid w:val="00F463F9"/>
    <w:rsid w:val="00F465A7"/>
    <w:rsid w:val="00F466D6"/>
    <w:rsid w:val="00F471ED"/>
    <w:rsid w:val="00F476AD"/>
    <w:rsid w:val="00F50B7C"/>
    <w:rsid w:val="00F52A9B"/>
    <w:rsid w:val="00F54EEA"/>
    <w:rsid w:val="00F550E6"/>
    <w:rsid w:val="00F567CA"/>
    <w:rsid w:val="00F56C72"/>
    <w:rsid w:val="00F61F72"/>
    <w:rsid w:val="00F61FED"/>
    <w:rsid w:val="00F62921"/>
    <w:rsid w:val="00F62B4E"/>
    <w:rsid w:val="00F64077"/>
    <w:rsid w:val="00F641DD"/>
    <w:rsid w:val="00F64E3E"/>
    <w:rsid w:val="00F65838"/>
    <w:rsid w:val="00F66CBB"/>
    <w:rsid w:val="00F67244"/>
    <w:rsid w:val="00F705B3"/>
    <w:rsid w:val="00F71B2C"/>
    <w:rsid w:val="00F739B5"/>
    <w:rsid w:val="00F73FB1"/>
    <w:rsid w:val="00F74345"/>
    <w:rsid w:val="00F74BC3"/>
    <w:rsid w:val="00F76CF8"/>
    <w:rsid w:val="00F77856"/>
    <w:rsid w:val="00F779DD"/>
    <w:rsid w:val="00F80A0A"/>
    <w:rsid w:val="00F81A46"/>
    <w:rsid w:val="00F82505"/>
    <w:rsid w:val="00F82B19"/>
    <w:rsid w:val="00F830A4"/>
    <w:rsid w:val="00F83C69"/>
    <w:rsid w:val="00F849F0"/>
    <w:rsid w:val="00F85D61"/>
    <w:rsid w:val="00F86BA0"/>
    <w:rsid w:val="00F87974"/>
    <w:rsid w:val="00F87A33"/>
    <w:rsid w:val="00F87B29"/>
    <w:rsid w:val="00F900B6"/>
    <w:rsid w:val="00F90DEB"/>
    <w:rsid w:val="00F9212D"/>
    <w:rsid w:val="00F9503C"/>
    <w:rsid w:val="00F965DA"/>
    <w:rsid w:val="00F97A6D"/>
    <w:rsid w:val="00FA1B75"/>
    <w:rsid w:val="00FA1F57"/>
    <w:rsid w:val="00FA350F"/>
    <w:rsid w:val="00FA3F3E"/>
    <w:rsid w:val="00FA406A"/>
    <w:rsid w:val="00FA4ADF"/>
    <w:rsid w:val="00FA4FD5"/>
    <w:rsid w:val="00FA7DF1"/>
    <w:rsid w:val="00FB0A97"/>
    <w:rsid w:val="00FB10C0"/>
    <w:rsid w:val="00FB11AF"/>
    <w:rsid w:val="00FB503A"/>
    <w:rsid w:val="00FB516C"/>
    <w:rsid w:val="00FB5A63"/>
    <w:rsid w:val="00FB62F5"/>
    <w:rsid w:val="00FC0C46"/>
    <w:rsid w:val="00FC303E"/>
    <w:rsid w:val="00FC3CB2"/>
    <w:rsid w:val="00FC4226"/>
    <w:rsid w:val="00FC6491"/>
    <w:rsid w:val="00FC6917"/>
    <w:rsid w:val="00FC6C83"/>
    <w:rsid w:val="00FC7DAA"/>
    <w:rsid w:val="00FD0236"/>
    <w:rsid w:val="00FD1059"/>
    <w:rsid w:val="00FD18F4"/>
    <w:rsid w:val="00FD2F67"/>
    <w:rsid w:val="00FD4A68"/>
    <w:rsid w:val="00FD54DB"/>
    <w:rsid w:val="00FD5A0F"/>
    <w:rsid w:val="00FD5B13"/>
    <w:rsid w:val="00FD619F"/>
    <w:rsid w:val="00FD654C"/>
    <w:rsid w:val="00FD7DFA"/>
    <w:rsid w:val="00FD7E16"/>
    <w:rsid w:val="00FE233F"/>
    <w:rsid w:val="00FE3728"/>
    <w:rsid w:val="00FE4F56"/>
    <w:rsid w:val="00FE66E2"/>
    <w:rsid w:val="00FE79CD"/>
    <w:rsid w:val="00FE7B94"/>
    <w:rsid w:val="00FF0B53"/>
    <w:rsid w:val="00FF0B77"/>
    <w:rsid w:val="00FF2676"/>
    <w:rsid w:val="00FF37BE"/>
    <w:rsid w:val="00FF60D7"/>
    <w:rsid w:val="010B5592"/>
    <w:rsid w:val="01117A34"/>
    <w:rsid w:val="01290F7E"/>
    <w:rsid w:val="012A4E2C"/>
    <w:rsid w:val="01385D77"/>
    <w:rsid w:val="0145721A"/>
    <w:rsid w:val="015D1E09"/>
    <w:rsid w:val="016C090A"/>
    <w:rsid w:val="01735414"/>
    <w:rsid w:val="018976C9"/>
    <w:rsid w:val="018A73B0"/>
    <w:rsid w:val="018D1931"/>
    <w:rsid w:val="019D47B9"/>
    <w:rsid w:val="019D759C"/>
    <w:rsid w:val="01A56261"/>
    <w:rsid w:val="01D027EB"/>
    <w:rsid w:val="01D67534"/>
    <w:rsid w:val="01E4322D"/>
    <w:rsid w:val="01EE04AE"/>
    <w:rsid w:val="0204742C"/>
    <w:rsid w:val="02146517"/>
    <w:rsid w:val="022641C2"/>
    <w:rsid w:val="022E3E2F"/>
    <w:rsid w:val="02532D0C"/>
    <w:rsid w:val="025C30E2"/>
    <w:rsid w:val="02630935"/>
    <w:rsid w:val="02697903"/>
    <w:rsid w:val="026D3223"/>
    <w:rsid w:val="028A2D40"/>
    <w:rsid w:val="02900702"/>
    <w:rsid w:val="02931E56"/>
    <w:rsid w:val="0298594A"/>
    <w:rsid w:val="02A46519"/>
    <w:rsid w:val="02B60FA7"/>
    <w:rsid w:val="02C1045F"/>
    <w:rsid w:val="02C11DCF"/>
    <w:rsid w:val="02D52B76"/>
    <w:rsid w:val="02DF3E3F"/>
    <w:rsid w:val="02F96569"/>
    <w:rsid w:val="030B1A7E"/>
    <w:rsid w:val="030C7685"/>
    <w:rsid w:val="03155B55"/>
    <w:rsid w:val="031C67B3"/>
    <w:rsid w:val="03407427"/>
    <w:rsid w:val="03451FBF"/>
    <w:rsid w:val="0347397E"/>
    <w:rsid w:val="034C1790"/>
    <w:rsid w:val="035B1DDE"/>
    <w:rsid w:val="036964FC"/>
    <w:rsid w:val="03843986"/>
    <w:rsid w:val="038E07EA"/>
    <w:rsid w:val="03960557"/>
    <w:rsid w:val="039960EC"/>
    <w:rsid w:val="03A8129D"/>
    <w:rsid w:val="03B20EA7"/>
    <w:rsid w:val="03B73B02"/>
    <w:rsid w:val="03BE3AD0"/>
    <w:rsid w:val="03C74BB5"/>
    <w:rsid w:val="03D8291E"/>
    <w:rsid w:val="03EA7B21"/>
    <w:rsid w:val="03EC1FC7"/>
    <w:rsid w:val="04015589"/>
    <w:rsid w:val="0405748B"/>
    <w:rsid w:val="043F2B55"/>
    <w:rsid w:val="04461F09"/>
    <w:rsid w:val="04536D05"/>
    <w:rsid w:val="04554A98"/>
    <w:rsid w:val="04727041"/>
    <w:rsid w:val="04812FB5"/>
    <w:rsid w:val="048D4468"/>
    <w:rsid w:val="04B97507"/>
    <w:rsid w:val="04C82992"/>
    <w:rsid w:val="04D46F81"/>
    <w:rsid w:val="04E82021"/>
    <w:rsid w:val="04EC7835"/>
    <w:rsid w:val="050B3749"/>
    <w:rsid w:val="050E6601"/>
    <w:rsid w:val="05353DA0"/>
    <w:rsid w:val="05431265"/>
    <w:rsid w:val="057523EE"/>
    <w:rsid w:val="05790131"/>
    <w:rsid w:val="057B0CF5"/>
    <w:rsid w:val="05865D5D"/>
    <w:rsid w:val="05896C5A"/>
    <w:rsid w:val="05965B48"/>
    <w:rsid w:val="05AD532C"/>
    <w:rsid w:val="05D9472B"/>
    <w:rsid w:val="05EC4085"/>
    <w:rsid w:val="05F83EAE"/>
    <w:rsid w:val="05FA6F1D"/>
    <w:rsid w:val="060A0903"/>
    <w:rsid w:val="061004C5"/>
    <w:rsid w:val="06127C3D"/>
    <w:rsid w:val="061A560A"/>
    <w:rsid w:val="062B48CF"/>
    <w:rsid w:val="063E7D85"/>
    <w:rsid w:val="06532730"/>
    <w:rsid w:val="0659586C"/>
    <w:rsid w:val="067712B3"/>
    <w:rsid w:val="067B63A1"/>
    <w:rsid w:val="0685789D"/>
    <w:rsid w:val="06A62BA9"/>
    <w:rsid w:val="06C2658B"/>
    <w:rsid w:val="06D65BE8"/>
    <w:rsid w:val="06EE1A11"/>
    <w:rsid w:val="0706063A"/>
    <w:rsid w:val="071255C4"/>
    <w:rsid w:val="071D4AEC"/>
    <w:rsid w:val="07293586"/>
    <w:rsid w:val="07295285"/>
    <w:rsid w:val="0753364C"/>
    <w:rsid w:val="07571D9E"/>
    <w:rsid w:val="07636392"/>
    <w:rsid w:val="07690BEE"/>
    <w:rsid w:val="076B52CA"/>
    <w:rsid w:val="076F7ED3"/>
    <w:rsid w:val="07770C56"/>
    <w:rsid w:val="078A6498"/>
    <w:rsid w:val="07A0125C"/>
    <w:rsid w:val="07C5243B"/>
    <w:rsid w:val="07DD49A7"/>
    <w:rsid w:val="07EA02AB"/>
    <w:rsid w:val="07F74071"/>
    <w:rsid w:val="07F804B6"/>
    <w:rsid w:val="07FD7DEB"/>
    <w:rsid w:val="080C76BA"/>
    <w:rsid w:val="083D5445"/>
    <w:rsid w:val="084120E9"/>
    <w:rsid w:val="084F33CB"/>
    <w:rsid w:val="08514A4D"/>
    <w:rsid w:val="085409E1"/>
    <w:rsid w:val="08571D21"/>
    <w:rsid w:val="085C35B7"/>
    <w:rsid w:val="08616C16"/>
    <w:rsid w:val="086334B4"/>
    <w:rsid w:val="0865674A"/>
    <w:rsid w:val="086E1AA3"/>
    <w:rsid w:val="08780E2D"/>
    <w:rsid w:val="087B5F6E"/>
    <w:rsid w:val="08856DEC"/>
    <w:rsid w:val="08865476"/>
    <w:rsid w:val="08900CB2"/>
    <w:rsid w:val="089164A2"/>
    <w:rsid w:val="089B6044"/>
    <w:rsid w:val="08B03E69"/>
    <w:rsid w:val="08BF68A7"/>
    <w:rsid w:val="08D32B0B"/>
    <w:rsid w:val="08D4742C"/>
    <w:rsid w:val="08E25FED"/>
    <w:rsid w:val="08FD6A61"/>
    <w:rsid w:val="090E6DE2"/>
    <w:rsid w:val="091060D5"/>
    <w:rsid w:val="092217DD"/>
    <w:rsid w:val="09273A00"/>
    <w:rsid w:val="093078A1"/>
    <w:rsid w:val="093A7294"/>
    <w:rsid w:val="093F045B"/>
    <w:rsid w:val="094D16F1"/>
    <w:rsid w:val="09626BF0"/>
    <w:rsid w:val="096F5AD2"/>
    <w:rsid w:val="097314F5"/>
    <w:rsid w:val="09756E61"/>
    <w:rsid w:val="09794674"/>
    <w:rsid w:val="09797DD4"/>
    <w:rsid w:val="099472E7"/>
    <w:rsid w:val="09A432A2"/>
    <w:rsid w:val="09A81073"/>
    <w:rsid w:val="09B63701"/>
    <w:rsid w:val="09C6146A"/>
    <w:rsid w:val="09E70F8B"/>
    <w:rsid w:val="09EF539F"/>
    <w:rsid w:val="09FC0C0E"/>
    <w:rsid w:val="09FE178A"/>
    <w:rsid w:val="0A263993"/>
    <w:rsid w:val="0A2D3AC2"/>
    <w:rsid w:val="0A3D797F"/>
    <w:rsid w:val="0A4C7BC2"/>
    <w:rsid w:val="0A617D3D"/>
    <w:rsid w:val="0A696B96"/>
    <w:rsid w:val="0A876E4C"/>
    <w:rsid w:val="0AA2474B"/>
    <w:rsid w:val="0AA755DF"/>
    <w:rsid w:val="0AC0235E"/>
    <w:rsid w:val="0ACC239D"/>
    <w:rsid w:val="0ACF4FB3"/>
    <w:rsid w:val="0ADB7197"/>
    <w:rsid w:val="0AF67C54"/>
    <w:rsid w:val="0AF76FEA"/>
    <w:rsid w:val="0AFB0C85"/>
    <w:rsid w:val="0AFD0EBC"/>
    <w:rsid w:val="0AFF46F4"/>
    <w:rsid w:val="0AFF4C34"/>
    <w:rsid w:val="0B120D44"/>
    <w:rsid w:val="0B1B7A70"/>
    <w:rsid w:val="0B311469"/>
    <w:rsid w:val="0B476D29"/>
    <w:rsid w:val="0B54466A"/>
    <w:rsid w:val="0B6269AF"/>
    <w:rsid w:val="0B68658B"/>
    <w:rsid w:val="0B7102DF"/>
    <w:rsid w:val="0B892750"/>
    <w:rsid w:val="0B981976"/>
    <w:rsid w:val="0B9F2076"/>
    <w:rsid w:val="0BAC19CD"/>
    <w:rsid w:val="0BCA3494"/>
    <w:rsid w:val="0BD27BF6"/>
    <w:rsid w:val="0BDA2FAB"/>
    <w:rsid w:val="0BDA3FD4"/>
    <w:rsid w:val="0BF4069F"/>
    <w:rsid w:val="0BFE4688"/>
    <w:rsid w:val="0C036D14"/>
    <w:rsid w:val="0C3544FE"/>
    <w:rsid w:val="0C381612"/>
    <w:rsid w:val="0C3B3C7D"/>
    <w:rsid w:val="0C4A0131"/>
    <w:rsid w:val="0C547201"/>
    <w:rsid w:val="0C59200B"/>
    <w:rsid w:val="0C5E5EFE"/>
    <w:rsid w:val="0C665DD1"/>
    <w:rsid w:val="0C6C350D"/>
    <w:rsid w:val="0C8C0749"/>
    <w:rsid w:val="0CAB2EAE"/>
    <w:rsid w:val="0CC02231"/>
    <w:rsid w:val="0CC06645"/>
    <w:rsid w:val="0CCE0D62"/>
    <w:rsid w:val="0CEC32A8"/>
    <w:rsid w:val="0CF32EA4"/>
    <w:rsid w:val="0D1D3CF3"/>
    <w:rsid w:val="0D2B61B4"/>
    <w:rsid w:val="0D2F50B7"/>
    <w:rsid w:val="0D305579"/>
    <w:rsid w:val="0D4373D3"/>
    <w:rsid w:val="0D47341C"/>
    <w:rsid w:val="0D621C7D"/>
    <w:rsid w:val="0D6276FC"/>
    <w:rsid w:val="0D9E11E4"/>
    <w:rsid w:val="0DBF7CD2"/>
    <w:rsid w:val="0DD52CE6"/>
    <w:rsid w:val="0DED16BC"/>
    <w:rsid w:val="0DF76096"/>
    <w:rsid w:val="0DFD3997"/>
    <w:rsid w:val="0E142835"/>
    <w:rsid w:val="0E3B1C35"/>
    <w:rsid w:val="0E526F19"/>
    <w:rsid w:val="0E5D6EA0"/>
    <w:rsid w:val="0E5E7EC3"/>
    <w:rsid w:val="0E5F13EE"/>
    <w:rsid w:val="0E6C5F86"/>
    <w:rsid w:val="0E73034D"/>
    <w:rsid w:val="0E80608C"/>
    <w:rsid w:val="0E941B37"/>
    <w:rsid w:val="0EB42DE4"/>
    <w:rsid w:val="0EB75395"/>
    <w:rsid w:val="0F083607"/>
    <w:rsid w:val="0F13775A"/>
    <w:rsid w:val="0F140F51"/>
    <w:rsid w:val="0F1517C2"/>
    <w:rsid w:val="0F2661C0"/>
    <w:rsid w:val="0F386966"/>
    <w:rsid w:val="0F3B1FB3"/>
    <w:rsid w:val="0F4B4695"/>
    <w:rsid w:val="0F5E2A0F"/>
    <w:rsid w:val="0F5F45FE"/>
    <w:rsid w:val="0F69307C"/>
    <w:rsid w:val="0F9A112B"/>
    <w:rsid w:val="0F9C1A87"/>
    <w:rsid w:val="0FB54AE7"/>
    <w:rsid w:val="0FC10487"/>
    <w:rsid w:val="0FD50659"/>
    <w:rsid w:val="0FF24D67"/>
    <w:rsid w:val="0FF860F6"/>
    <w:rsid w:val="0FFF56D6"/>
    <w:rsid w:val="100A5921"/>
    <w:rsid w:val="101231B6"/>
    <w:rsid w:val="1017513A"/>
    <w:rsid w:val="1039189F"/>
    <w:rsid w:val="104D60AB"/>
    <w:rsid w:val="10554357"/>
    <w:rsid w:val="10563295"/>
    <w:rsid w:val="106C4C87"/>
    <w:rsid w:val="106D2F64"/>
    <w:rsid w:val="106F4735"/>
    <w:rsid w:val="10726ACE"/>
    <w:rsid w:val="10880C6B"/>
    <w:rsid w:val="10964C08"/>
    <w:rsid w:val="10987EED"/>
    <w:rsid w:val="10B262A5"/>
    <w:rsid w:val="10B60B86"/>
    <w:rsid w:val="10B63710"/>
    <w:rsid w:val="10BC7123"/>
    <w:rsid w:val="10C20F6D"/>
    <w:rsid w:val="10D76532"/>
    <w:rsid w:val="10DD6559"/>
    <w:rsid w:val="10E85D69"/>
    <w:rsid w:val="10F10820"/>
    <w:rsid w:val="10F70556"/>
    <w:rsid w:val="11056D1C"/>
    <w:rsid w:val="11071A15"/>
    <w:rsid w:val="111C2F7A"/>
    <w:rsid w:val="112D10B0"/>
    <w:rsid w:val="114474B7"/>
    <w:rsid w:val="11501512"/>
    <w:rsid w:val="115D4462"/>
    <w:rsid w:val="11665CA1"/>
    <w:rsid w:val="1169441B"/>
    <w:rsid w:val="11765E59"/>
    <w:rsid w:val="11967974"/>
    <w:rsid w:val="11A65A30"/>
    <w:rsid w:val="11CE0C2B"/>
    <w:rsid w:val="11D0732A"/>
    <w:rsid w:val="1209283C"/>
    <w:rsid w:val="121028B6"/>
    <w:rsid w:val="12163CE1"/>
    <w:rsid w:val="12217476"/>
    <w:rsid w:val="1223332E"/>
    <w:rsid w:val="12303925"/>
    <w:rsid w:val="12317D70"/>
    <w:rsid w:val="12321116"/>
    <w:rsid w:val="123548E0"/>
    <w:rsid w:val="123959CD"/>
    <w:rsid w:val="12421618"/>
    <w:rsid w:val="125C69A1"/>
    <w:rsid w:val="12706417"/>
    <w:rsid w:val="12802AFE"/>
    <w:rsid w:val="128402E9"/>
    <w:rsid w:val="12840907"/>
    <w:rsid w:val="12975FD1"/>
    <w:rsid w:val="12AB5A1E"/>
    <w:rsid w:val="12B51DEE"/>
    <w:rsid w:val="12C3749A"/>
    <w:rsid w:val="12DF6902"/>
    <w:rsid w:val="12F459DB"/>
    <w:rsid w:val="12F80A44"/>
    <w:rsid w:val="12FF4CC4"/>
    <w:rsid w:val="131865C8"/>
    <w:rsid w:val="13187787"/>
    <w:rsid w:val="1319260B"/>
    <w:rsid w:val="13300448"/>
    <w:rsid w:val="133A4152"/>
    <w:rsid w:val="135D43F8"/>
    <w:rsid w:val="138F10FE"/>
    <w:rsid w:val="13951726"/>
    <w:rsid w:val="13AB57BF"/>
    <w:rsid w:val="13C95DDF"/>
    <w:rsid w:val="13CB7DA9"/>
    <w:rsid w:val="140D629E"/>
    <w:rsid w:val="14257B5E"/>
    <w:rsid w:val="142962DD"/>
    <w:rsid w:val="142F3C34"/>
    <w:rsid w:val="14345D68"/>
    <w:rsid w:val="14377928"/>
    <w:rsid w:val="14396509"/>
    <w:rsid w:val="144E09DA"/>
    <w:rsid w:val="14520577"/>
    <w:rsid w:val="14634486"/>
    <w:rsid w:val="146B158C"/>
    <w:rsid w:val="14771D21"/>
    <w:rsid w:val="14B0543B"/>
    <w:rsid w:val="14B46A8F"/>
    <w:rsid w:val="14BC7B0B"/>
    <w:rsid w:val="14CD2209"/>
    <w:rsid w:val="14D700F7"/>
    <w:rsid w:val="14DD2C3C"/>
    <w:rsid w:val="14EB174E"/>
    <w:rsid w:val="14F90946"/>
    <w:rsid w:val="14FC201D"/>
    <w:rsid w:val="15107D17"/>
    <w:rsid w:val="15206278"/>
    <w:rsid w:val="1525173B"/>
    <w:rsid w:val="1528122B"/>
    <w:rsid w:val="153C6003"/>
    <w:rsid w:val="154F0566"/>
    <w:rsid w:val="15673B02"/>
    <w:rsid w:val="156822D2"/>
    <w:rsid w:val="15763D45"/>
    <w:rsid w:val="157B1CCE"/>
    <w:rsid w:val="157D50D3"/>
    <w:rsid w:val="159D39C7"/>
    <w:rsid w:val="15A120AC"/>
    <w:rsid w:val="15AA0868"/>
    <w:rsid w:val="15AA7E92"/>
    <w:rsid w:val="15AE5ACD"/>
    <w:rsid w:val="15D35728"/>
    <w:rsid w:val="15D9035D"/>
    <w:rsid w:val="15E63943"/>
    <w:rsid w:val="15EC6D4C"/>
    <w:rsid w:val="16087E1D"/>
    <w:rsid w:val="16094BB9"/>
    <w:rsid w:val="160C46A9"/>
    <w:rsid w:val="160F2880"/>
    <w:rsid w:val="162C08A7"/>
    <w:rsid w:val="162E0FED"/>
    <w:rsid w:val="163C0AC6"/>
    <w:rsid w:val="163E2A24"/>
    <w:rsid w:val="16571DC8"/>
    <w:rsid w:val="16695657"/>
    <w:rsid w:val="1677009D"/>
    <w:rsid w:val="16796819"/>
    <w:rsid w:val="16821794"/>
    <w:rsid w:val="168B3820"/>
    <w:rsid w:val="168D3A3C"/>
    <w:rsid w:val="168D7598"/>
    <w:rsid w:val="1699565E"/>
    <w:rsid w:val="16EC4FE1"/>
    <w:rsid w:val="16F4453F"/>
    <w:rsid w:val="16FE0813"/>
    <w:rsid w:val="172D7071"/>
    <w:rsid w:val="17384862"/>
    <w:rsid w:val="173A37E4"/>
    <w:rsid w:val="174A7650"/>
    <w:rsid w:val="174F1860"/>
    <w:rsid w:val="17701D14"/>
    <w:rsid w:val="17735226"/>
    <w:rsid w:val="1784744F"/>
    <w:rsid w:val="1788427F"/>
    <w:rsid w:val="17A32DEB"/>
    <w:rsid w:val="17AC7A8C"/>
    <w:rsid w:val="17CE6D57"/>
    <w:rsid w:val="17D91CAE"/>
    <w:rsid w:val="17E4768B"/>
    <w:rsid w:val="17E624B1"/>
    <w:rsid w:val="17EB7A4D"/>
    <w:rsid w:val="1808230B"/>
    <w:rsid w:val="180A2E6A"/>
    <w:rsid w:val="183A07EC"/>
    <w:rsid w:val="183C0D01"/>
    <w:rsid w:val="185B4F76"/>
    <w:rsid w:val="185E7C51"/>
    <w:rsid w:val="186F34B2"/>
    <w:rsid w:val="187379FD"/>
    <w:rsid w:val="188D3F2D"/>
    <w:rsid w:val="1896066C"/>
    <w:rsid w:val="189F624C"/>
    <w:rsid w:val="18AB2DF4"/>
    <w:rsid w:val="18CD4A8F"/>
    <w:rsid w:val="18D63049"/>
    <w:rsid w:val="18F36C98"/>
    <w:rsid w:val="18FE38BD"/>
    <w:rsid w:val="190478B9"/>
    <w:rsid w:val="190E6D59"/>
    <w:rsid w:val="190F3767"/>
    <w:rsid w:val="19217014"/>
    <w:rsid w:val="19377EED"/>
    <w:rsid w:val="19427C2C"/>
    <w:rsid w:val="19486A34"/>
    <w:rsid w:val="19566367"/>
    <w:rsid w:val="1957088A"/>
    <w:rsid w:val="195775C3"/>
    <w:rsid w:val="19A07753"/>
    <w:rsid w:val="19B33439"/>
    <w:rsid w:val="19DD0836"/>
    <w:rsid w:val="19F9531E"/>
    <w:rsid w:val="19FC3140"/>
    <w:rsid w:val="19FF41D6"/>
    <w:rsid w:val="1A023DF9"/>
    <w:rsid w:val="1A0C6C72"/>
    <w:rsid w:val="1A116732"/>
    <w:rsid w:val="1A1C66C0"/>
    <w:rsid w:val="1A402B73"/>
    <w:rsid w:val="1A42393B"/>
    <w:rsid w:val="1A7C5F3D"/>
    <w:rsid w:val="1A7D4307"/>
    <w:rsid w:val="1A8011C2"/>
    <w:rsid w:val="1A807DD1"/>
    <w:rsid w:val="1A817E7E"/>
    <w:rsid w:val="1A864953"/>
    <w:rsid w:val="1A8C1DD9"/>
    <w:rsid w:val="1A923BA0"/>
    <w:rsid w:val="1AAD45DE"/>
    <w:rsid w:val="1AD104D1"/>
    <w:rsid w:val="1ADD0B94"/>
    <w:rsid w:val="1ADF584B"/>
    <w:rsid w:val="1AE6196C"/>
    <w:rsid w:val="1AF40C41"/>
    <w:rsid w:val="1AFA4C23"/>
    <w:rsid w:val="1AFF2A2E"/>
    <w:rsid w:val="1AFF5617"/>
    <w:rsid w:val="1B046F80"/>
    <w:rsid w:val="1B1107D6"/>
    <w:rsid w:val="1B2606DC"/>
    <w:rsid w:val="1B2908B7"/>
    <w:rsid w:val="1B2D735C"/>
    <w:rsid w:val="1B3267B5"/>
    <w:rsid w:val="1B3F40A1"/>
    <w:rsid w:val="1B40161D"/>
    <w:rsid w:val="1B441859"/>
    <w:rsid w:val="1B6606B1"/>
    <w:rsid w:val="1B684130"/>
    <w:rsid w:val="1B6D18C5"/>
    <w:rsid w:val="1B733202"/>
    <w:rsid w:val="1B75684C"/>
    <w:rsid w:val="1B8B4E82"/>
    <w:rsid w:val="1B9709BC"/>
    <w:rsid w:val="1B9D672E"/>
    <w:rsid w:val="1BA50634"/>
    <w:rsid w:val="1BA979E5"/>
    <w:rsid w:val="1BB075FD"/>
    <w:rsid w:val="1BB92BDD"/>
    <w:rsid w:val="1BB93EB8"/>
    <w:rsid w:val="1BF105C9"/>
    <w:rsid w:val="1BF14125"/>
    <w:rsid w:val="1C0A168B"/>
    <w:rsid w:val="1C2344FA"/>
    <w:rsid w:val="1C2C421E"/>
    <w:rsid w:val="1C2D14AB"/>
    <w:rsid w:val="1C363C6B"/>
    <w:rsid w:val="1C4D2EEC"/>
    <w:rsid w:val="1C4F16D7"/>
    <w:rsid w:val="1C550800"/>
    <w:rsid w:val="1C5E7925"/>
    <w:rsid w:val="1C6030CE"/>
    <w:rsid w:val="1C7F42FD"/>
    <w:rsid w:val="1C927E45"/>
    <w:rsid w:val="1C99656B"/>
    <w:rsid w:val="1C9D0174"/>
    <w:rsid w:val="1CA66DBA"/>
    <w:rsid w:val="1CC23D13"/>
    <w:rsid w:val="1CCC0A20"/>
    <w:rsid w:val="1CCF709F"/>
    <w:rsid w:val="1CD032BA"/>
    <w:rsid w:val="1CD75A11"/>
    <w:rsid w:val="1CE26164"/>
    <w:rsid w:val="1CFD070F"/>
    <w:rsid w:val="1D0E0D07"/>
    <w:rsid w:val="1D1F4CC2"/>
    <w:rsid w:val="1D202672"/>
    <w:rsid w:val="1D4A4435"/>
    <w:rsid w:val="1D5F6196"/>
    <w:rsid w:val="1D6132A5"/>
    <w:rsid w:val="1D67661D"/>
    <w:rsid w:val="1D6C357F"/>
    <w:rsid w:val="1D737D0F"/>
    <w:rsid w:val="1D875576"/>
    <w:rsid w:val="1D8A3BFB"/>
    <w:rsid w:val="1D8C1E01"/>
    <w:rsid w:val="1D8D2B80"/>
    <w:rsid w:val="1D8E56D5"/>
    <w:rsid w:val="1D90796E"/>
    <w:rsid w:val="1DA06B03"/>
    <w:rsid w:val="1DB7139E"/>
    <w:rsid w:val="1DCC1D71"/>
    <w:rsid w:val="1DEB01B8"/>
    <w:rsid w:val="1DED6B6E"/>
    <w:rsid w:val="1DF0665E"/>
    <w:rsid w:val="1DF15FD0"/>
    <w:rsid w:val="1E0075F0"/>
    <w:rsid w:val="1E036392"/>
    <w:rsid w:val="1E162B7D"/>
    <w:rsid w:val="1E262080"/>
    <w:rsid w:val="1E2D1C4F"/>
    <w:rsid w:val="1E2F68D5"/>
    <w:rsid w:val="1E370533"/>
    <w:rsid w:val="1E621476"/>
    <w:rsid w:val="1E7101D1"/>
    <w:rsid w:val="1E747D2D"/>
    <w:rsid w:val="1E7A43DA"/>
    <w:rsid w:val="1E7C27E8"/>
    <w:rsid w:val="1E7D6144"/>
    <w:rsid w:val="1E9A6CF6"/>
    <w:rsid w:val="1EA81514"/>
    <w:rsid w:val="1EC12AD3"/>
    <w:rsid w:val="1ED06A9D"/>
    <w:rsid w:val="1F225D43"/>
    <w:rsid w:val="1F2D0591"/>
    <w:rsid w:val="1F2D17F3"/>
    <w:rsid w:val="1F3B254F"/>
    <w:rsid w:val="1F4E622E"/>
    <w:rsid w:val="1F686DF4"/>
    <w:rsid w:val="1F78151A"/>
    <w:rsid w:val="1F881CE0"/>
    <w:rsid w:val="1F933643"/>
    <w:rsid w:val="1F9B25EB"/>
    <w:rsid w:val="1FAC5C31"/>
    <w:rsid w:val="1FB355EB"/>
    <w:rsid w:val="1FB715AB"/>
    <w:rsid w:val="1FCD3B59"/>
    <w:rsid w:val="1FD04999"/>
    <w:rsid w:val="1FE7539E"/>
    <w:rsid w:val="1FEF4E1F"/>
    <w:rsid w:val="1FFE0318"/>
    <w:rsid w:val="200F54C2"/>
    <w:rsid w:val="200F62AF"/>
    <w:rsid w:val="204727BE"/>
    <w:rsid w:val="2050776E"/>
    <w:rsid w:val="20573441"/>
    <w:rsid w:val="20671BE0"/>
    <w:rsid w:val="207558D8"/>
    <w:rsid w:val="20784E15"/>
    <w:rsid w:val="208732AA"/>
    <w:rsid w:val="209029D8"/>
    <w:rsid w:val="20963CB8"/>
    <w:rsid w:val="209E65E7"/>
    <w:rsid w:val="20A53730"/>
    <w:rsid w:val="20A81A1B"/>
    <w:rsid w:val="20A84338"/>
    <w:rsid w:val="20B07FB6"/>
    <w:rsid w:val="20B646FB"/>
    <w:rsid w:val="20C37B0C"/>
    <w:rsid w:val="20C7629D"/>
    <w:rsid w:val="20CA3197"/>
    <w:rsid w:val="20CE2C87"/>
    <w:rsid w:val="20D858B3"/>
    <w:rsid w:val="212E7BF8"/>
    <w:rsid w:val="21374CD0"/>
    <w:rsid w:val="21396E8B"/>
    <w:rsid w:val="213B2595"/>
    <w:rsid w:val="213B74B1"/>
    <w:rsid w:val="21527283"/>
    <w:rsid w:val="21537630"/>
    <w:rsid w:val="215417A8"/>
    <w:rsid w:val="215A2310"/>
    <w:rsid w:val="21603961"/>
    <w:rsid w:val="2160732D"/>
    <w:rsid w:val="217810BE"/>
    <w:rsid w:val="21A5198C"/>
    <w:rsid w:val="21B416CC"/>
    <w:rsid w:val="21BA320B"/>
    <w:rsid w:val="21D02A2F"/>
    <w:rsid w:val="21DA38AD"/>
    <w:rsid w:val="21DE318A"/>
    <w:rsid w:val="21DF4849"/>
    <w:rsid w:val="21E2678B"/>
    <w:rsid w:val="21E7559A"/>
    <w:rsid w:val="21EF5B80"/>
    <w:rsid w:val="21FC6962"/>
    <w:rsid w:val="22235683"/>
    <w:rsid w:val="224D3971"/>
    <w:rsid w:val="22511DC1"/>
    <w:rsid w:val="22576990"/>
    <w:rsid w:val="22645EEA"/>
    <w:rsid w:val="2272773F"/>
    <w:rsid w:val="228850B7"/>
    <w:rsid w:val="228A52D3"/>
    <w:rsid w:val="2298325A"/>
    <w:rsid w:val="22CF0F38"/>
    <w:rsid w:val="22D319D0"/>
    <w:rsid w:val="22D510D2"/>
    <w:rsid w:val="22DB5B2F"/>
    <w:rsid w:val="22EE2033"/>
    <w:rsid w:val="22F47480"/>
    <w:rsid w:val="22F56643"/>
    <w:rsid w:val="22FA4207"/>
    <w:rsid w:val="22FD1C51"/>
    <w:rsid w:val="23507F7E"/>
    <w:rsid w:val="2351421E"/>
    <w:rsid w:val="23763F4C"/>
    <w:rsid w:val="23865FE4"/>
    <w:rsid w:val="23985FD7"/>
    <w:rsid w:val="23993C5A"/>
    <w:rsid w:val="239F0AB2"/>
    <w:rsid w:val="23A81DAC"/>
    <w:rsid w:val="23B56380"/>
    <w:rsid w:val="23BB6BBF"/>
    <w:rsid w:val="23C71516"/>
    <w:rsid w:val="23D613AE"/>
    <w:rsid w:val="23DE1C48"/>
    <w:rsid w:val="23FF7385"/>
    <w:rsid w:val="240210CD"/>
    <w:rsid w:val="24526729"/>
    <w:rsid w:val="24613EA2"/>
    <w:rsid w:val="24681644"/>
    <w:rsid w:val="24747FE9"/>
    <w:rsid w:val="24773635"/>
    <w:rsid w:val="247753E3"/>
    <w:rsid w:val="247B0214"/>
    <w:rsid w:val="247C629F"/>
    <w:rsid w:val="247E3C8E"/>
    <w:rsid w:val="247E76DD"/>
    <w:rsid w:val="248D4EF2"/>
    <w:rsid w:val="249B7F2C"/>
    <w:rsid w:val="24B13C82"/>
    <w:rsid w:val="24B91EA0"/>
    <w:rsid w:val="24BE3012"/>
    <w:rsid w:val="24BF09F7"/>
    <w:rsid w:val="24C74FB8"/>
    <w:rsid w:val="24D4041D"/>
    <w:rsid w:val="24D66E91"/>
    <w:rsid w:val="24FE5B05"/>
    <w:rsid w:val="2503311B"/>
    <w:rsid w:val="25174F24"/>
    <w:rsid w:val="251C178F"/>
    <w:rsid w:val="252D53FE"/>
    <w:rsid w:val="25351150"/>
    <w:rsid w:val="255B416F"/>
    <w:rsid w:val="25877244"/>
    <w:rsid w:val="25B17608"/>
    <w:rsid w:val="25B56323"/>
    <w:rsid w:val="25BD469F"/>
    <w:rsid w:val="25CB19DA"/>
    <w:rsid w:val="25DB28FA"/>
    <w:rsid w:val="25E76599"/>
    <w:rsid w:val="25EC2D81"/>
    <w:rsid w:val="26065BCC"/>
    <w:rsid w:val="260809E9"/>
    <w:rsid w:val="26145057"/>
    <w:rsid w:val="263C7598"/>
    <w:rsid w:val="263F7ABD"/>
    <w:rsid w:val="2657371E"/>
    <w:rsid w:val="265E2CFF"/>
    <w:rsid w:val="266059D5"/>
    <w:rsid w:val="26686113"/>
    <w:rsid w:val="266F72AB"/>
    <w:rsid w:val="2670627B"/>
    <w:rsid w:val="26757AAC"/>
    <w:rsid w:val="26C2534E"/>
    <w:rsid w:val="26CA0327"/>
    <w:rsid w:val="26CD1C32"/>
    <w:rsid w:val="26D11723"/>
    <w:rsid w:val="26D258EE"/>
    <w:rsid w:val="26D42FC1"/>
    <w:rsid w:val="26D5436F"/>
    <w:rsid w:val="26F251F5"/>
    <w:rsid w:val="270D0281"/>
    <w:rsid w:val="2711620C"/>
    <w:rsid w:val="2720370E"/>
    <w:rsid w:val="2742617D"/>
    <w:rsid w:val="274F0899"/>
    <w:rsid w:val="275119F2"/>
    <w:rsid w:val="275773C6"/>
    <w:rsid w:val="27633147"/>
    <w:rsid w:val="27663B81"/>
    <w:rsid w:val="277057A2"/>
    <w:rsid w:val="27796570"/>
    <w:rsid w:val="279369D8"/>
    <w:rsid w:val="27B668BE"/>
    <w:rsid w:val="27BA2BD8"/>
    <w:rsid w:val="27DF1C1D"/>
    <w:rsid w:val="27FF0087"/>
    <w:rsid w:val="28013942"/>
    <w:rsid w:val="2804422C"/>
    <w:rsid w:val="280772B0"/>
    <w:rsid w:val="280E2503"/>
    <w:rsid w:val="282633A8"/>
    <w:rsid w:val="282F7010"/>
    <w:rsid w:val="28385106"/>
    <w:rsid w:val="283933A9"/>
    <w:rsid w:val="28414686"/>
    <w:rsid w:val="28550131"/>
    <w:rsid w:val="28694363"/>
    <w:rsid w:val="286E33A7"/>
    <w:rsid w:val="287F3925"/>
    <w:rsid w:val="288822B5"/>
    <w:rsid w:val="288B18E3"/>
    <w:rsid w:val="289A78F2"/>
    <w:rsid w:val="28A56F26"/>
    <w:rsid w:val="28B906C0"/>
    <w:rsid w:val="28F2659B"/>
    <w:rsid w:val="29153267"/>
    <w:rsid w:val="29206EB8"/>
    <w:rsid w:val="29332221"/>
    <w:rsid w:val="2939144B"/>
    <w:rsid w:val="2943504D"/>
    <w:rsid w:val="294978E1"/>
    <w:rsid w:val="29595666"/>
    <w:rsid w:val="295B3526"/>
    <w:rsid w:val="29622D86"/>
    <w:rsid w:val="29657F00"/>
    <w:rsid w:val="29874881"/>
    <w:rsid w:val="298C055B"/>
    <w:rsid w:val="299802D6"/>
    <w:rsid w:val="299A22A0"/>
    <w:rsid w:val="29AF138D"/>
    <w:rsid w:val="29D37560"/>
    <w:rsid w:val="29DD02BE"/>
    <w:rsid w:val="29E325E0"/>
    <w:rsid w:val="29F8703B"/>
    <w:rsid w:val="2A266AD9"/>
    <w:rsid w:val="2A2B114A"/>
    <w:rsid w:val="2A377BD6"/>
    <w:rsid w:val="2A3A0527"/>
    <w:rsid w:val="2A452503"/>
    <w:rsid w:val="2A4915D0"/>
    <w:rsid w:val="2A4F3BE0"/>
    <w:rsid w:val="2A582DE2"/>
    <w:rsid w:val="2A583058"/>
    <w:rsid w:val="2A5E4242"/>
    <w:rsid w:val="2A6102E1"/>
    <w:rsid w:val="2A7C0B78"/>
    <w:rsid w:val="2A7E3970"/>
    <w:rsid w:val="2A8E16D9"/>
    <w:rsid w:val="2A9C3E4A"/>
    <w:rsid w:val="2AAA5685"/>
    <w:rsid w:val="2AAB5DE7"/>
    <w:rsid w:val="2ABD7820"/>
    <w:rsid w:val="2AD96DF8"/>
    <w:rsid w:val="2AEF75E6"/>
    <w:rsid w:val="2AF676B8"/>
    <w:rsid w:val="2AFB4FC0"/>
    <w:rsid w:val="2AFF1807"/>
    <w:rsid w:val="2B010C4A"/>
    <w:rsid w:val="2B036FFA"/>
    <w:rsid w:val="2B0A6FB1"/>
    <w:rsid w:val="2B163DB4"/>
    <w:rsid w:val="2B370D8D"/>
    <w:rsid w:val="2B4B1C94"/>
    <w:rsid w:val="2B867AF1"/>
    <w:rsid w:val="2B8A3EC7"/>
    <w:rsid w:val="2B940F71"/>
    <w:rsid w:val="2B9E594C"/>
    <w:rsid w:val="2BA56CDA"/>
    <w:rsid w:val="2BA936A8"/>
    <w:rsid w:val="2BAC7BFB"/>
    <w:rsid w:val="2BB71400"/>
    <w:rsid w:val="2BB73BF6"/>
    <w:rsid w:val="2BBC5615"/>
    <w:rsid w:val="2BC02037"/>
    <w:rsid w:val="2BC2788C"/>
    <w:rsid w:val="2BC96E6C"/>
    <w:rsid w:val="2BE71791"/>
    <w:rsid w:val="2C0559CB"/>
    <w:rsid w:val="2C063C1D"/>
    <w:rsid w:val="2C0B2FE1"/>
    <w:rsid w:val="2C1E68CA"/>
    <w:rsid w:val="2C1E7C10"/>
    <w:rsid w:val="2C1F4CDE"/>
    <w:rsid w:val="2C275941"/>
    <w:rsid w:val="2C2E7758"/>
    <w:rsid w:val="2C315A5A"/>
    <w:rsid w:val="2C3E69A1"/>
    <w:rsid w:val="2C4B1C25"/>
    <w:rsid w:val="2C55425C"/>
    <w:rsid w:val="2C57338F"/>
    <w:rsid w:val="2C760D0B"/>
    <w:rsid w:val="2C7C7A3B"/>
    <w:rsid w:val="2C85655A"/>
    <w:rsid w:val="2C967313"/>
    <w:rsid w:val="2C994A91"/>
    <w:rsid w:val="2C9B105B"/>
    <w:rsid w:val="2CA972A9"/>
    <w:rsid w:val="2CBA6B82"/>
    <w:rsid w:val="2CBF1EDA"/>
    <w:rsid w:val="2CC13E88"/>
    <w:rsid w:val="2CCA30ED"/>
    <w:rsid w:val="2CCD4E38"/>
    <w:rsid w:val="2CDA7F1A"/>
    <w:rsid w:val="2CEF78CA"/>
    <w:rsid w:val="2CF00429"/>
    <w:rsid w:val="2CFC6DCE"/>
    <w:rsid w:val="2D012636"/>
    <w:rsid w:val="2D233FE0"/>
    <w:rsid w:val="2D246F51"/>
    <w:rsid w:val="2D271494"/>
    <w:rsid w:val="2D2D51D9"/>
    <w:rsid w:val="2D2E06FF"/>
    <w:rsid w:val="2D4A7B39"/>
    <w:rsid w:val="2D4F60C0"/>
    <w:rsid w:val="2D542766"/>
    <w:rsid w:val="2D5664DE"/>
    <w:rsid w:val="2D6D1A79"/>
    <w:rsid w:val="2D7D6852"/>
    <w:rsid w:val="2D8172D3"/>
    <w:rsid w:val="2D9E56F5"/>
    <w:rsid w:val="2DA21723"/>
    <w:rsid w:val="2DAC7B67"/>
    <w:rsid w:val="2DB304BB"/>
    <w:rsid w:val="2DBF0527"/>
    <w:rsid w:val="2DC72F38"/>
    <w:rsid w:val="2DC828C4"/>
    <w:rsid w:val="2DDE0ED0"/>
    <w:rsid w:val="2DE75388"/>
    <w:rsid w:val="2E007139"/>
    <w:rsid w:val="2E075163"/>
    <w:rsid w:val="2E156399"/>
    <w:rsid w:val="2E315BC9"/>
    <w:rsid w:val="2E585DC2"/>
    <w:rsid w:val="2E5B2EA9"/>
    <w:rsid w:val="2E6115DE"/>
    <w:rsid w:val="2E6177F8"/>
    <w:rsid w:val="2E667F96"/>
    <w:rsid w:val="2E6A16CE"/>
    <w:rsid w:val="2E8226AB"/>
    <w:rsid w:val="2E8D7F49"/>
    <w:rsid w:val="2E923DEF"/>
    <w:rsid w:val="2E933762"/>
    <w:rsid w:val="2EA65243"/>
    <w:rsid w:val="2EA94D33"/>
    <w:rsid w:val="2EC97183"/>
    <w:rsid w:val="2ECC04AD"/>
    <w:rsid w:val="2ECE479A"/>
    <w:rsid w:val="2EDC5AA0"/>
    <w:rsid w:val="2EFF2BA5"/>
    <w:rsid w:val="2F0568D7"/>
    <w:rsid w:val="2F3740ED"/>
    <w:rsid w:val="2F443C0A"/>
    <w:rsid w:val="2F4C0517"/>
    <w:rsid w:val="2F7E397D"/>
    <w:rsid w:val="2F827A5E"/>
    <w:rsid w:val="2F84187D"/>
    <w:rsid w:val="2F8D28EC"/>
    <w:rsid w:val="2F927575"/>
    <w:rsid w:val="2FA3568B"/>
    <w:rsid w:val="2FA61BBB"/>
    <w:rsid w:val="2FAE0FC6"/>
    <w:rsid w:val="2FB35E69"/>
    <w:rsid w:val="2FD065E6"/>
    <w:rsid w:val="2FD96870"/>
    <w:rsid w:val="2FEF49C8"/>
    <w:rsid w:val="2FF97C4B"/>
    <w:rsid w:val="30021656"/>
    <w:rsid w:val="30547245"/>
    <w:rsid w:val="30580BC9"/>
    <w:rsid w:val="306929CC"/>
    <w:rsid w:val="30A0640D"/>
    <w:rsid w:val="30A6777C"/>
    <w:rsid w:val="30AA5742"/>
    <w:rsid w:val="30B53D5A"/>
    <w:rsid w:val="30C020C1"/>
    <w:rsid w:val="30C23E8A"/>
    <w:rsid w:val="30C37274"/>
    <w:rsid w:val="30C61666"/>
    <w:rsid w:val="30E11B57"/>
    <w:rsid w:val="30E43759"/>
    <w:rsid w:val="30FD39D4"/>
    <w:rsid w:val="31066077"/>
    <w:rsid w:val="310B5831"/>
    <w:rsid w:val="310B5A98"/>
    <w:rsid w:val="310E38A4"/>
    <w:rsid w:val="311E2ED7"/>
    <w:rsid w:val="31374DAA"/>
    <w:rsid w:val="31405FEE"/>
    <w:rsid w:val="31532D34"/>
    <w:rsid w:val="315619EE"/>
    <w:rsid w:val="315C449C"/>
    <w:rsid w:val="31821B16"/>
    <w:rsid w:val="31991D77"/>
    <w:rsid w:val="319C589C"/>
    <w:rsid w:val="31B732C3"/>
    <w:rsid w:val="31B82709"/>
    <w:rsid w:val="31CB34FB"/>
    <w:rsid w:val="31CF4AB1"/>
    <w:rsid w:val="31D05482"/>
    <w:rsid w:val="31D73465"/>
    <w:rsid w:val="31DD5420"/>
    <w:rsid w:val="31E96CA7"/>
    <w:rsid w:val="31F11DE1"/>
    <w:rsid w:val="31FD007E"/>
    <w:rsid w:val="31FE46EF"/>
    <w:rsid w:val="31FE65A8"/>
    <w:rsid w:val="321772A1"/>
    <w:rsid w:val="321D40D5"/>
    <w:rsid w:val="322E6E8A"/>
    <w:rsid w:val="323056F7"/>
    <w:rsid w:val="323E301A"/>
    <w:rsid w:val="32400B34"/>
    <w:rsid w:val="32485E37"/>
    <w:rsid w:val="32494863"/>
    <w:rsid w:val="324E146B"/>
    <w:rsid w:val="325E1462"/>
    <w:rsid w:val="326D3B9B"/>
    <w:rsid w:val="3279207D"/>
    <w:rsid w:val="327F4353"/>
    <w:rsid w:val="32815A6F"/>
    <w:rsid w:val="329E6876"/>
    <w:rsid w:val="32A80A7D"/>
    <w:rsid w:val="32B12408"/>
    <w:rsid w:val="32C75788"/>
    <w:rsid w:val="32D3412D"/>
    <w:rsid w:val="32DA195F"/>
    <w:rsid w:val="32FC2BC8"/>
    <w:rsid w:val="33032CB6"/>
    <w:rsid w:val="330973E9"/>
    <w:rsid w:val="33122395"/>
    <w:rsid w:val="33273196"/>
    <w:rsid w:val="332C4A18"/>
    <w:rsid w:val="333015F2"/>
    <w:rsid w:val="333252F7"/>
    <w:rsid w:val="334B6320"/>
    <w:rsid w:val="337124F0"/>
    <w:rsid w:val="33843610"/>
    <w:rsid w:val="33A60F4B"/>
    <w:rsid w:val="33AD2FC4"/>
    <w:rsid w:val="33AD64C3"/>
    <w:rsid w:val="33B94C82"/>
    <w:rsid w:val="33CD4A91"/>
    <w:rsid w:val="33D934D4"/>
    <w:rsid w:val="33F6261A"/>
    <w:rsid w:val="33FB3D4A"/>
    <w:rsid w:val="33FE2F6A"/>
    <w:rsid w:val="340824FC"/>
    <w:rsid w:val="340E07E5"/>
    <w:rsid w:val="341D61C9"/>
    <w:rsid w:val="341F1E29"/>
    <w:rsid w:val="34235BF7"/>
    <w:rsid w:val="34297C85"/>
    <w:rsid w:val="34396275"/>
    <w:rsid w:val="34576805"/>
    <w:rsid w:val="34AF19FC"/>
    <w:rsid w:val="34B556B5"/>
    <w:rsid w:val="34C37D1E"/>
    <w:rsid w:val="34CE54F3"/>
    <w:rsid w:val="34D01CEF"/>
    <w:rsid w:val="34D20A5B"/>
    <w:rsid w:val="34F32864"/>
    <w:rsid w:val="34F36D08"/>
    <w:rsid w:val="350047B4"/>
    <w:rsid w:val="35043AF2"/>
    <w:rsid w:val="35074ACE"/>
    <w:rsid w:val="355E0625"/>
    <w:rsid w:val="35763EBD"/>
    <w:rsid w:val="35782A6E"/>
    <w:rsid w:val="35817C74"/>
    <w:rsid w:val="358C5FA8"/>
    <w:rsid w:val="35AB07CE"/>
    <w:rsid w:val="35AE0533"/>
    <w:rsid w:val="35B77D36"/>
    <w:rsid w:val="35C15DF1"/>
    <w:rsid w:val="35CD57CD"/>
    <w:rsid w:val="35D22DC1"/>
    <w:rsid w:val="35D8162A"/>
    <w:rsid w:val="35E17369"/>
    <w:rsid w:val="35F25212"/>
    <w:rsid w:val="35F920FC"/>
    <w:rsid w:val="36074A7F"/>
    <w:rsid w:val="36214A2E"/>
    <w:rsid w:val="36333195"/>
    <w:rsid w:val="36394BEF"/>
    <w:rsid w:val="364F325A"/>
    <w:rsid w:val="365732C7"/>
    <w:rsid w:val="36582B23"/>
    <w:rsid w:val="367A7B72"/>
    <w:rsid w:val="3683427B"/>
    <w:rsid w:val="36923549"/>
    <w:rsid w:val="36974BA7"/>
    <w:rsid w:val="36A02F26"/>
    <w:rsid w:val="36B75FBF"/>
    <w:rsid w:val="36BB50CB"/>
    <w:rsid w:val="36BD0C45"/>
    <w:rsid w:val="36D47D18"/>
    <w:rsid w:val="36D81A68"/>
    <w:rsid w:val="36E022FF"/>
    <w:rsid w:val="36E32978"/>
    <w:rsid w:val="36FF7BE6"/>
    <w:rsid w:val="37001BE1"/>
    <w:rsid w:val="37040CD0"/>
    <w:rsid w:val="37080180"/>
    <w:rsid w:val="372E0CF4"/>
    <w:rsid w:val="372F77E4"/>
    <w:rsid w:val="373F696B"/>
    <w:rsid w:val="37610C2B"/>
    <w:rsid w:val="378305A9"/>
    <w:rsid w:val="37841E99"/>
    <w:rsid w:val="378A63DB"/>
    <w:rsid w:val="37902F95"/>
    <w:rsid w:val="37916D8F"/>
    <w:rsid w:val="37963E29"/>
    <w:rsid w:val="37976071"/>
    <w:rsid w:val="379C3687"/>
    <w:rsid w:val="37A71FAA"/>
    <w:rsid w:val="37CB0D10"/>
    <w:rsid w:val="37CB5724"/>
    <w:rsid w:val="37D20DA1"/>
    <w:rsid w:val="37D3697D"/>
    <w:rsid w:val="37E00298"/>
    <w:rsid w:val="38130C12"/>
    <w:rsid w:val="381476C1"/>
    <w:rsid w:val="38173AC6"/>
    <w:rsid w:val="383107CC"/>
    <w:rsid w:val="3833314B"/>
    <w:rsid w:val="383638C8"/>
    <w:rsid w:val="3837726B"/>
    <w:rsid w:val="385B0E4C"/>
    <w:rsid w:val="385C4BC4"/>
    <w:rsid w:val="387E3538"/>
    <w:rsid w:val="388A508E"/>
    <w:rsid w:val="38923516"/>
    <w:rsid w:val="38A650A1"/>
    <w:rsid w:val="38A722E3"/>
    <w:rsid w:val="38A8605B"/>
    <w:rsid w:val="38B302F9"/>
    <w:rsid w:val="38B82EB4"/>
    <w:rsid w:val="38C033A5"/>
    <w:rsid w:val="38C2711D"/>
    <w:rsid w:val="38CA5FD2"/>
    <w:rsid w:val="38D155B2"/>
    <w:rsid w:val="38D60F9A"/>
    <w:rsid w:val="38DA1581"/>
    <w:rsid w:val="38E46126"/>
    <w:rsid w:val="38F12CD3"/>
    <w:rsid w:val="38F94775"/>
    <w:rsid w:val="390255C2"/>
    <w:rsid w:val="39114018"/>
    <w:rsid w:val="391F00CC"/>
    <w:rsid w:val="3925145A"/>
    <w:rsid w:val="392971ED"/>
    <w:rsid w:val="392C27E9"/>
    <w:rsid w:val="39325651"/>
    <w:rsid w:val="393A2BBF"/>
    <w:rsid w:val="393D4B4A"/>
    <w:rsid w:val="394F0285"/>
    <w:rsid w:val="39610C12"/>
    <w:rsid w:val="39695A15"/>
    <w:rsid w:val="396B5912"/>
    <w:rsid w:val="3977431A"/>
    <w:rsid w:val="39916AF0"/>
    <w:rsid w:val="39C329C3"/>
    <w:rsid w:val="39CF468B"/>
    <w:rsid w:val="39D42485"/>
    <w:rsid w:val="39DE3610"/>
    <w:rsid w:val="39F34670"/>
    <w:rsid w:val="39F52A1B"/>
    <w:rsid w:val="39FD0783"/>
    <w:rsid w:val="39FE6173"/>
    <w:rsid w:val="3A184B1B"/>
    <w:rsid w:val="3A1C383B"/>
    <w:rsid w:val="3A330E70"/>
    <w:rsid w:val="3A3F7873"/>
    <w:rsid w:val="3A410516"/>
    <w:rsid w:val="3A415444"/>
    <w:rsid w:val="3A452C42"/>
    <w:rsid w:val="3A825EC0"/>
    <w:rsid w:val="3A872856"/>
    <w:rsid w:val="3A97532C"/>
    <w:rsid w:val="3AAD7959"/>
    <w:rsid w:val="3AB40CE8"/>
    <w:rsid w:val="3AC01DBC"/>
    <w:rsid w:val="3ADB77F2"/>
    <w:rsid w:val="3AE43D43"/>
    <w:rsid w:val="3AE559A4"/>
    <w:rsid w:val="3AFC677B"/>
    <w:rsid w:val="3B0260D3"/>
    <w:rsid w:val="3B1A14A3"/>
    <w:rsid w:val="3B1C0294"/>
    <w:rsid w:val="3B2C4D22"/>
    <w:rsid w:val="3B3763D1"/>
    <w:rsid w:val="3B413D54"/>
    <w:rsid w:val="3B427E5C"/>
    <w:rsid w:val="3B457B92"/>
    <w:rsid w:val="3B7010B2"/>
    <w:rsid w:val="3B742FF2"/>
    <w:rsid w:val="3B8567E1"/>
    <w:rsid w:val="3B934DA1"/>
    <w:rsid w:val="3BA23E01"/>
    <w:rsid w:val="3BB07701"/>
    <w:rsid w:val="3BBD0467"/>
    <w:rsid w:val="3BD3519D"/>
    <w:rsid w:val="3BDB3434"/>
    <w:rsid w:val="3BDD601C"/>
    <w:rsid w:val="3C081B09"/>
    <w:rsid w:val="3C0B4DD9"/>
    <w:rsid w:val="3C1C0565"/>
    <w:rsid w:val="3C2F6E1E"/>
    <w:rsid w:val="3C3255A1"/>
    <w:rsid w:val="3C394C36"/>
    <w:rsid w:val="3C3C71E7"/>
    <w:rsid w:val="3C3D6ABB"/>
    <w:rsid w:val="3C406845"/>
    <w:rsid w:val="3C4B11D8"/>
    <w:rsid w:val="3C4D13F4"/>
    <w:rsid w:val="3C4F64BA"/>
    <w:rsid w:val="3C526A0A"/>
    <w:rsid w:val="3C6109FB"/>
    <w:rsid w:val="3C7324DC"/>
    <w:rsid w:val="3C771FCD"/>
    <w:rsid w:val="3C7B4680"/>
    <w:rsid w:val="3C90308E"/>
    <w:rsid w:val="3CAC4B61"/>
    <w:rsid w:val="3CBC3E83"/>
    <w:rsid w:val="3CD059C8"/>
    <w:rsid w:val="3CDA245A"/>
    <w:rsid w:val="3CF26C23"/>
    <w:rsid w:val="3CFD7124"/>
    <w:rsid w:val="3D02190C"/>
    <w:rsid w:val="3D0E7A18"/>
    <w:rsid w:val="3D1305E8"/>
    <w:rsid w:val="3D1E06B7"/>
    <w:rsid w:val="3D1E1A76"/>
    <w:rsid w:val="3D235CB1"/>
    <w:rsid w:val="3D2C1009"/>
    <w:rsid w:val="3D2F1E5D"/>
    <w:rsid w:val="3D4A4FA9"/>
    <w:rsid w:val="3D4C5A57"/>
    <w:rsid w:val="3D51281E"/>
    <w:rsid w:val="3D634693"/>
    <w:rsid w:val="3D7B789B"/>
    <w:rsid w:val="3D7F6BA9"/>
    <w:rsid w:val="3DA61A25"/>
    <w:rsid w:val="3DA83C1E"/>
    <w:rsid w:val="3DB42DAD"/>
    <w:rsid w:val="3DC93344"/>
    <w:rsid w:val="3DCB5E8A"/>
    <w:rsid w:val="3DDF7E2A"/>
    <w:rsid w:val="3DF11955"/>
    <w:rsid w:val="3DF323C8"/>
    <w:rsid w:val="3E0922D3"/>
    <w:rsid w:val="3E22661F"/>
    <w:rsid w:val="3E2B12C1"/>
    <w:rsid w:val="3E463134"/>
    <w:rsid w:val="3E546A69"/>
    <w:rsid w:val="3E7B6404"/>
    <w:rsid w:val="3E8A41C2"/>
    <w:rsid w:val="3E8E2DB7"/>
    <w:rsid w:val="3E9A33D1"/>
    <w:rsid w:val="3EA6303D"/>
    <w:rsid w:val="3EB53D7D"/>
    <w:rsid w:val="3EBE0387"/>
    <w:rsid w:val="3ECD5369"/>
    <w:rsid w:val="3ECF1F8D"/>
    <w:rsid w:val="3ED01E68"/>
    <w:rsid w:val="3EDA0523"/>
    <w:rsid w:val="3EDE4585"/>
    <w:rsid w:val="3EE940A2"/>
    <w:rsid w:val="3EF142B8"/>
    <w:rsid w:val="3EFA7FC6"/>
    <w:rsid w:val="3EFB0C93"/>
    <w:rsid w:val="3F0F3D1E"/>
    <w:rsid w:val="3F140532"/>
    <w:rsid w:val="3F1D32FF"/>
    <w:rsid w:val="3F4C3337"/>
    <w:rsid w:val="3F88629F"/>
    <w:rsid w:val="3FAD4136"/>
    <w:rsid w:val="3FAE0059"/>
    <w:rsid w:val="3FB82EB6"/>
    <w:rsid w:val="3FBB2933"/>
    <w:rsid w:val="3FC63C13"/>
    <w:rsid w:val="3FD8425A"/>
    <w:rsid w:val="3FDC26AA"/>
    <w:rsid w:val="3FE77299"/>
    <w:rsid w:val="3FF81CEA"/>
    <w:rsid w:val="3FFE1D6B"/>
    <w:rsid w:val="400929E9"/>
    <w:rsid w:val="401526BF"/>
    <w:rsid w:val="401D7B2E"/>
    <w:rsid w:val="40244591"/>
    <w:rsid w:val="405C176B"/>
    <w:rsid w:val="406171CB"/>
    <w:rsid w:val="4066403F"/>
    <w:rsid w:val="4071000B"/>
    <w:rsid w:val="40736F4F"/>
    <w:rsid w:val="407A6407"/>
    <w:rsid w:val="407D392A"/>
    <w:rsid w:val="4089597C"/>
    <w:rsid w:val="409741EB"/>
    <w:rsid w:val="409B0664"/>
    <w:rsid w:val="409D33F8"/>
    <w:rsid w:val="40A435AC"/>
    <w:rsid w:val="40A86BF9"/>
    <w:rsid w:val="40BB6C9A"/>
    <w:rsid w:val="40BE01CA"/>
    <w:rsid w:val="40C12153"/>
    <w:rsid w:val="40D3171C"/>
    <w:rsid w:val="40DC5260"/>
    <w:rsid w:val="40FC2287"/>
    <w:rsid w:val="40FF6EBE"/>
    <w:rsid w:val="41044264"/>
    <w:rsid w:val="41076015"/>
    <w:rsid w:val="410F0A26"/>
    <w:rsid w:val="4117496F"/>
    <w:rsid w:val="411A73CB"/>
    <w:rsid w:val="412A13B6"/>
    <w:rsid w:val="41354204"/>
    <w:rsid w:val="41421D5F"/>
    <w:rsid w:val="41452A7E"/>
    <w:rsid w:val="4147403D"/>
    <w:rsid w:val="41487C37"/>
    <w:rsid w:val="41687DA8"/>
    <w:rsid w:val="417B430D"/>
    <w:rsid w:val="41834359"/>
    <w:rsid w:val="41A872D6"/>
    <w:rsid w:val="41AB6823"/>
    <w:rsid w:val="41AE3607"/>
    <w:rsid w:val="41BF26DA"/>
    <w:rsid w:val="41D025F0"/>
    <w:rsid w:val="41E57306"/>
    <w:rsid w:val="41EF57BD"/>
    <w:rsid w:val="4200449D"/>
    <w:rsid w:val="4206515C"/>
    <w:rsid w:val="422229DB"/>
    <w:rsid w:val="422C63EB"/>
    <w:rsid w:val="42334BE8"/>
    <w:rsid w:val="423A3BCC"/>
    <w:rsid w:val="424219C4"/>
    <w:rsid w:val="424E57D2"/>
    <w:rsid w:val="42572AFB"/>
    <w:rsid w:val="425F3C2F"/>
    <w:rsid w:val="42672AE3"/>
    <w:rsid w:val="426E45CA"/>
    <w:rsid w:val="42703746"/>
    <w:rsid w:val="427712E5"/>
    <w:rsid w:val="42781771"/>
    <w:rsid w:val="42881AA6"/>
    <w:rsid w:val="429038F8"/>
    <w:rsid w:val="429852FF"/>
    <w:rsid w:val="429A7734"/>
    <w:rsid w:val="429C278D"/>
    <w:rsid w:val="42A71CF6"/>
    <w:rsid w:val="42AE2BFA"/>
    <w:rsid w:val="42B26C49"/>
    <w:rsid w:val="42C052ED"/>
    <w:rsid w:val="42C2423B"/>
    <w:rsid w:val="42CE4911"/>
    <w:rsid w:val="433557CD"/>
    <w:rsid w:val="43394480"/>
    <w:rsid w:val="433A6FE6"/>
    <w:rsid w:val="43476CB6"/>
    <w:rsid w:val="43480868"/>
    <w:rsid w:val="434E3DD4"/>
    <w:rsid w:val="4350713C"/>
    <w:rsid w:val="4356566F"/>
    <w:rsid w:val="435F0C7D"/>
    <w:rsid w:val="436653E0"/>
    <w:rsid w:val="43716024"/>
    <w:rsid w:val="43730CC1"/>
    <w:rsid w:val="4396542E"/>
    <w:rsid w:val="439C7F9A"/>
    <w:rsid w:val="43AF32DF"/>
    <w:rsid w:val="43AF6E6A"/>
    <w:rsid w:val="43C339D2"/>
    <w:rsid w:val="43C4431A"/>
    <w:rsid w:val="43C95804"/>
    <w:rsid w:val="43E24223"/>
    <w:rsid w:val="44020D16"/>
    <w:rsid w:val="441647C1"/>
    <w:rsid w:val="44330ECF"/>
    <w:rsid w:val="44370CBF"/>
    <w:rsid w:val="44437BC7"/>
    <w:rsid w:val="4454372B"/>
    <w:rsid w:val="445C6678"/>
    <w:rsid w:val="44715D6A"/>
    <w:rsid w:val="448E3D1D"/>
    <w:rsid w:val="449D459A"/>
    <w:rsid w:val="44B951CC"/>
    <w:rsid w:val="44CD14E0"/>
    <w:rsid w:val="44D47A4A"/>
    <w:rsid w:val="44E93A5D"/>
    <w:rsid w:val="44F168F2"/>
    <w:rsid w:val="44F20B0B"/>
    <w:rsid w:val="450E5003"/>
    <w:rsid w:val="4523044E"/>
    <w:rsid w:val="452E5F4C"/>
    <w:rsid w:val="45374A76"/>
    <w:rsid w:val="45417747"/>
    <w:rsid w:val="4543180A"/>
    <w:rsid w:val="455A0335"/>
    <w:rsid w:val="45612018"/>
    <w:rsid w:val="456908BB"/>
    <w:rsid w:val="4570698B"/>
    <w:rsid w:val="457E1CB3"/>
    <w:rsid w:val="45833790"/>
    <w:rsid w:val="458946E9"/>
    <w:rsid w:val="458D0AB3"/>
    <w:rsid w:val="458F5039"/>
    <w:rsid w:val="459B4B29"/>
    <w:rsid w:val="45A47C0E"/>
    <w:rsid w:val="45BE0C6C"/>
    <w:rsid w:val="45C80314"/>
    <w:rsid w:val="45E06E35"/>
    <w:rsid w:val="45E71912"/>
    <w:rsid w:val="45EB27C2"/>
    <w:rsid w:val="45EC43C4"/>
    <w:rsid w:val="46077168"/>
    <w:rsid w:val="46153825"/>
    <w:rsid w:val="46186134"/>
    <w:rsid w:val="46192BC4"/>
    <w:rsid w:val="46207231"/>
    <w:rsid w:val="46385EE9"/>
    <w:rsid w:val="464F5D68"/>
    <w:rsid w:val="46537E03"/>
    <w:rsid w:val="46562663"/>
    <w:rsid w:val="46577FD6"/>
    <w:rsid w:val="465A72B1"/>
    <w:rsid w:val="4669507C"/>
    <w:rsid w:val="46696E2A"/>
    <w:rsid w:val="46731974"/>
    <w:rsid w:val="469770BD"/>
    <w:rsid w:val="46B42853"/>
    <w:rsid w:val="46D955A7"/>
    <w:rsid w:val="46DA3884"/>
    <w:rsid w:val="46EC04F8"/>
    <w:rsid w:val="46FE4680"/>
    <w:rsid w:val="47094169"/>
    <w:rsid w:val="47133957"/>
    <w:rsid w:val="47137FAD"/>
    <w:rsid w:val="471D3996"/>
    <w:rsid w:val="472162E4"/>
    <w:rsid w:val="474358CD"/>
    <w:rsid w:val="474A246F"/>
    <w:rsid w:val="47541888"/>
    <w:rsid w:val="476B4E24"/>
    <w:rsid w:val="47712C01"/>
    <w:rsid w:val="477B5F15"/>
    <w:rsid w:val="478D6B48"/>
    <w:rsid w:val="479C322F"/>
    <w:rsid w:val="47A07E0C"/>
    <w:rsid w:val="47C4797F"/>
    <w:rsid w:val="47C5192B"/>
    <w:rsid w:val="47D66741"/>
    <w:rsid w:val="47D93B3C"/>
    <w:rsid w:val="47DC50FD"/>
    <w:rsid w:val="48030BB8"/>
    <w:rsid w:val="48110134"/>
    <w:rsid w:val="4813052E"/>
    <w:rsid w:val="48166B3E"/>
    <w:rsid w:val="482245B9"/>
    <w:rsid w:val="4870272E"/>
    <w:rsid w:val="487148FF"/>
    <w:rsid w:val="488E7654"/>
    <w:rsid w:val="48911A8A"/>
    <w:rsid w:val="48975774"/>
    <w:rsid w:val="489B0D10"/>
    <w:rsid w:val="489B5B0A"/>
    <w:rsid w:val="48A24875"/>
    <w:rsid w:val="48CC18F2"/>
    <w:rsid w:val="48DC100B"/>
    <w:rsid w:val="48E5096A"/>
    <w:rsid w:val="48E705C4"/>
    <w:rsid w:val="48F00CFF"/>
    <w:rsid w:val="48F549A5"/>
    <w:rsid w:val="49014AED"/>
    <w:rsid w:val="49117305"/>
    <w:rsid w:val="49137521"/>
    <w:rsid w:val="49320E3E"/>
    <w:rsid w:val="497F0713"/>
    <w:rsid w:val="498530BE"/>
    <w:rsid w:val="498F38BE"/>
    <w:rsid w:val="49A85EBB"/>
    <w:rsid w:val="49B54BA8"/>
    <w:rsid w:val="49B67CA8"/>
    <w:rsid w:val="49D767A1"/>
    <w:rsid w:val="49D813F7"/>
    <w:rsid w:val="49DC7715"/>
    <w:rsid w:val="49E05097"/>
    <w:rsid w:val="49E95662"/>
    <w:rsid w:val="49EF5898"/>
    <w:rsid w:val="4A023139"/>
    <w:rsid w:val="4A3D6020"/>
    <w:rsid w:val="4A5716F8"/>
    <w:rsid w:val="4A5A3051"/>
    <w:rsid w:val="4A743FEF"/>
    <w:rsid w:val="4A7B576F"/>
    <w:rsid w:val="4A8F4DF6"/>
    <w:rsid w:val="4A981C28"/>
    <w:rsid w:val="4A983CDB"/>
    <w:rsid w:val="4AB60164"/>
    <w:rsid w:val="4AE45B2B"/>
    <w:rsid w:val="4AF3760A"/>
    <w:rsid w:val="4AF55B4A"/>
    <w:rsid w:val="4AF561A9"/>
    <w:rsid w:val="4AFA031C"/>
    <w:rsid w:val="4AFC2B80"/>
    <w:rsid w:val="4B056603"/>
    <w:rsid w:val="4B0E78FD"/>
    <w:rsid w:val="4B1B446B"/>
    <w:rsid w:val="4B425E94"/>
    <w:rsid w:val="4B4B2FA2"/>
    <w:rsid w:val="4B53129C"/>
    <w:rsid w:val="4B6422B6"/>
    <w:rsid w:val="4B6B49B0"/>
    <w:rsid w:val="4B7A0E8F"/>
    <w:rsid w:val="4B894B82"/>
    <w:rsid w:val="4BB453FF"/>
    <w:rsid w:val="4BB862E6"/>
    <w:rsid w:val="4BCA036B"/>
    <w:rsid w:val="4BD415B0"/>
    <w:rsid w:val="4BDC5725"/>
    <w:rsid w:val="4BEC745B"/>
    <w:rsid w:val="4BEF39E7"/>
    <w:rsid w:val="4BF74ED8"/>
    <w:rsid w:val="4BF962AD"/>
    <w:rsid w:val="4C0F51A9"/>
    <w:rsid w:val="4C1E7726"/>
    <w:rsid w:val="4C210271"/>
    <w:rsid w:val="4C3A4765"/>
    <w:rsid w:val="4C4A0649"/>
    <w:rsid w:val="4C4F68C2"/>
    <w:rsid w:val="4C5B7727"/>
    <w:rsid w:val="4C7A26F4"/>
    <w:rsid w:val="4C7D53DD"/>
    <w:rsid w:val="4C7E5ECA"/>
    <w:rsid w:val="4C7F0446"/>
    <w:rsid w:val="4C854817"/>
    <w:rsid w:val="4C856040"/>
    <w:rsid w:val="4C876AA5"/>
    <w:rsid w:val="4CB50AC1"/>
    <w:rsid w:val="4CB71CDB"/>
    <w:rsid w:val="4CBC51DD"/>
    <w:rsid w:val="4CF57C64"/>
    <w:rsid w:val="4CF6725C"/>
    <w:rsid w:val="4CF829AE"/>
    <w:rsid w:val="4D035956"/>
    <w:rsid w:val="4D08244C"/>
    <w:rsid w:val="4D0E00FB"/>
    <w:rsid w:val="4D176606"/>
    <w:rsid w:val="4D2546D0"/>
    <w:rsid w:val="4D29163E"/>
    <w:rsid w:val="4D2D20A3"/>
    <w:rsid w:val="4D3D5F9A"/>
    <w:rsid w:val="4D6445F1"/>
    <w:rsid w:val="4D7367E0"/>
    <w:rsid w:val="4D77007F"/>
    <w:rsid w:val="4D886B44"/>
    <w:rsid w:val="4D9508EF"/>
    <w:rsid w:val="4D9F3131"/>
    <w:rsid w:val="4DAA338D"/>
    <w:rsid w:val="4DD059E1"/>
    <w:rsid w:val="4DEC4FB0"/>
    <w:rsid w:val="4E075D8A"/>
    <w:rsid w:val="4E09200C"/>
    <w:rsid w:val="4E125518"/>
    <w:rsid w:val="4E157897"/>
    <w:rsid w:val="4E1E04FA"/>
    <w:rsid w:val="4E3E4D42"/>
    <w:rsid w:val="4E442054"/>
    <w:rsid w:val="4E473EF5"/>
    <w:rsid w:val="4E4D2213"/>
    <w:rsid w:val="4E4F2A50"/>
    <w:rsid w:val="4E83397C"/>
    <w:rsid w:val="4E83548F"/>
    <w:rsid w:val="4E8A40BE"/>
    <w:rsid w:val="4E902622"/>
    <w:rsid w:val="4E9D724F"/>
    <w:rsid w:val="4EC00FAD"/>
    <w:rsid w:val="4EF52F4C"/>
    <w:rsid w:val="4F007B20"/>
    <w:rsid w:val="4F027A6E"/>
    <w:rsid w:val="4F6939F7"/>
    <w:rsid w:val="4F697814"/>
    <w:rsid w:val="4F876A67"/>
    <w:rsid w:val="4F927E37"/>
    <w:rsid w:val="4F9843DC"/>
    <w:rsid w:val="4FA26F09"/>
    <w:rsid w:val="4FA84938"/>
    <w:rsid w:val="4FAD422B"/>
    <w:rsid w:val="4FB96E6B"/>
    <w:rsid w:val="4FC62A8C"/>
    <w:rsid w:val="4FE20F0D"/>
    <w:rsid w:val="4FE51552"/>
    <w:rsid w:val="4FED4628"/>
    <w:rsid w:val="4FFA0AF3"/>
    <w:rsid w:val="4FFE509E"/>
    <w:rsid w:val="4FFE5101"/>
    <w:rsid w:val="501674B0"/>
    <w:rsid w:val="50245B70"/>
    <w:rsid w:val="502913D8"/>
    <w:rsid w:val="503E5ED5"/>
    <w:rsid w:val="5040654F"/>
    <w:rsid w:val="5050433D"/>
    <w:rsid w:val="50504C4B"/>
    <w:rsid w:val="50662B74"/>
    <w:rsid w:val="50697A27"/>
    <w:rsid w:val="50826F9D"/>
    <w:rsid w:val="5083312A"/>
    <w:rsid w:val="50901457"/>
    <w:rsid w:val="509166B3"/>
    <w:rsid w:val="5099030C"/>
    <w:rsid w:val="509B22D6"/>
    <w:rsid w:val="509C6E7C"/>
    <w:rsid w:val="50B514C6"/>
    <w:rsid w:val="50CE392A"/>
    <w:rsid w:val="50FD540C"/>
    <w:rsid w:val="51002FBB"/>
    <w:rsid w:val="51157B6D"/>
    <w:rsid w:val="51164EBB"/>
    <w:rsid w:val="512C2345"/>
    <w:rsid w:val="513A7409"/>
    <w:rsid w:val="5140693D"/>
    <w:rsid w:val="5162104E"/>
    <w:rsid w:val="51624E1C"/>
    <w:rsid w:val="5165658D"/>
    <w:rsid w:val="51761FDE"/>
    <w:rsid w:val="517F6D7E"/>
    <w:rsid w:val="518279A9"/>
    <w:rsid w:val="51873098"/>
    <w:rsid w:val="5192537A"/>
    <w:rsid w:val="51972CF4"/>
    <w:rsid w:val="51976F41"/>
    <w:rsid w:val="51AA7A04"/>
    <w:rsid w:val="51BD0E90"/>
    <w:rsid w:val="51DC193F"/>
    <w:rsid w:val="51F003FF"/>
    <w:rsid w:val="52023DC5"/>
    <w:rsid w:val="52052D1F"/>
    <w:rsid w:val="52311D3F"/>
    <w:rsid w:val="52320A18"/>
    <w:rsid w:val="523C53F3"/>
    <w:rsid w:val="5249422C"/>
    <w:rsid w:val="524E4C50"/>
    <w:rsid w:val="5253273C"/>
    <w:rsid w:val="525F49CC"/>
    <w:rsid w:val="52694EC1"/>
    <w:rsid w:val="52907045"/>
    <w:rsid w:val="52A0301F"/>
    <w:rsid w:val="52AA2CA4"/>
    <w:rsid w:val="52B51504"/>
    <w:rsid w:val="52B96E6E"/>
    <w:rsid w:val="52D675F5"/>
    <w:rsid w:val="52E340AB"/>
    <w:rsid w:val="52F67C97"/>
    <w:rsid w:val="52F77B70"/>
    <w:rsid w:val="52FB3500"/>
    <w:rsid w:val="52FD03A7"/>
    <w:rsid w:val="52FD1026"/>
    <w:rsid w:val="52FE6B4C"/>
    <w:rsid w:val="532E0F86"/>
    <w:rsid w:val="532F30EC"/>
    <w:rsid w:val="5334256E"/>
    <w:rsid w:val="53390E17"/>
    <w:rsid w:val="534B068A"/>
    <w:rsid w:val="537B019D"/>
    <w:rsid w:val="539232B3"/>
    <w:rsid w:val="53A039CC"/>
    <w:rsid w:val="53A1505A"/>
    <w:rsid w:val="53A95FD1"/>
    <w:rsid w:val="53B822B2"/>
    <w:rsid w:val="53DA5AFE"/>
    <w:rsid w:val="54022FCE"/>
    <w:rsid w:val="54063E08"/>
    <w:rsid w:val="54181E8F"/>
    <w:rsid w:val="541A79B6"/>
    <w:rsid w:val="541C372E"/>
    <w:rsid w:val="54280325"/>
    <w:rsid w:val="54326EA4"/>
    <w:rsid w:val="54342435"/>
    <w:rsid w:val="543437E8"/>
    <w:rsid w:val="543C654A"/>
    <w:rsid w:val="54890159"/>
    <w:rsid w:val="549459BA"/>
    <w:rsid w:val="54A674F1"/>
    <w:rsid w:val="54B707B4"/>
    <w:rsid w:val="54B87E75"/>
    <w:rsid w:val="54CB4FB3"/>
    <w:rsid w:val="54DE2F24"/>
    <w:rsid w:val="54E2107C"/>
    <w:rsid w:val="54F621D1"/>
    <w:rsid w:val="54F70F79"/>
    <w:rsid w:val="54F73313"/>
    <w:rsid w:val="54F80955"/>
    <w:rsid w:val="54FF2AFB"/>
    <w:rsid w:val="550A7804"/>
    <w:rsid w:val="552E7C91"/>
    <w:rsid w:val="55361F11"/>
    <w:rsid w:val="553859B4"/>
    <w:rsid w:val="55474E28"/>
    <w:rsid w:val="55483836"/>
    <w:rsid w:val="554F7B33"/>
    <w:rsid w:val="555170A7"/>
    <w:rsid w:val="55574CCF"/>
    <w:rsid w:val="556E7FB9"/>
    <w:rsid w:val="558660AA"/>
    <w:rsid w:val="5587536D"/>
    <w:rsid w:val="558F7DC5"/>
    <w:rsid w:val="559B174B"/>
    <w:rsid w:val="559F4616"/>
    <w:rsid w:val="55A7171D"/>
    <w:rsid w:val="55BE254A"/>
    <w:rsid w:val="55CE0CF4"/>
    <w:rsid w:val="55E40DAC"/>
    <w:rsid w:val="55E738C7"/>
    <w:rsid w:val="55E73CE1"/>
    <w:rsid w:val="55F03B15"/>
    <w:rsid w:val="55F23FBB"/>
    <w:rsid w:val="56060BDC"/>
    <w:rsid w:val="56150435"/>
    <w:rsid w:val="56393B78"/>
    <w:rsid w:val="563E2BBB"/>
    <w:rsid w:val="56633896"/>
    <w:rsid w:val="56717635"/>
    <w:rsid w:val="567322BA"/>
    <w:rsid w:val="56755377"/>
    <w:rsid w:val="56884FC8"/>
    <w:rsid w:val="568B727B"/>
    <w:rsid w:val="569D6149"/>
    <w:rsid w:val="569E6823"/>
    <w:rsid w:val="569F1CFC"/>
    <w:rsid w:val="56AD10C8"/>
    <w:rsid w:val="56B22A9C"/>
    <w:rsid w:val="56BB13F5"/>
    <w:rsid w:val="56BB6C22"/>
    <w:rsid w:val="56BE087D"/>
    <w:rsid w:val="56D67B97"/>
    <w:rsid w:val="56E147BB"/>
    <w:rsid w:val="56E4757B"/>
    <w:rsid w:val="57011A7B"/>
    <w:rsid w:val="570A3D11"/>
    <w:rsid w:val="572340BB"/>
    <w:rsid w:val="572C3F3F"/>
    <w:rsid w:val="57352F44"/>
    <w:rsid w:val="5745493A"/>
    <w:rsid w:val="574F7505"/>
    <w:rsid w:val="5753390A"/>
    <w:rsid w:val="57563CB6"/>
    <w:rsid w:val="575E6FFD"/>
    <w:rsid w:val="57602988"/>
    <w:rsid w:val="576E3DB8"/>
    <w:rsid w:val="57863EE4"/>
    <w:rsid w:val="57982E9C"/>
    <w:rsid w:val="57B72A76"/>
    <w:rsid w:val="57B7532A"/>
    <w:rsid w:val="57C3426C"/>
    <w:rsid w:val="57CE1F93"/>
    <w:rsid w:val="57D0621E"/>
    <w:rsid w:val="57D95BB1"/>
    <w:rsid w:val="57DD4959"/>
    <w:rsid w:val="57E14298"/>
    <w:rsid w:val="57FF139C"/>
    <w:rsid w:val="580A773B"/>
    <w:rsid w:val="580C3AB9"/>
    <w:rsid w:val="58160494"/>
    <w:rsid w:val="581B5AAA"/>
    <w:rsid w:val="586F5D6C"/>
    <w:rsid w:val="588743D1"/>
    <w:rsid w:val="5887701A"/>
    <w:rsid w:val="589D2963"/>
    <w:rsid w:val="58A8054E"/>
    <w:rsid w:val="58AE2DC2"/>
    <w:rsid w:val="58AF094F"/>
    <w:rsid w:val="58C114B4"/>
    <w:rsid w:val="58F96265"/>
    <w:rsid w:val="58FB75DE"/>
    <w:rsid w:val="58FF28DE"/>
    <w:rsid w:val="59030A26"/>
    <w:rsid w:val="590B22B6"/>
    <w:rsid w:val="590F7FA3"/>
    <w:rsid w:val="591C4E0E"/>
    <w:rsid w:val="59203EBC"/>
    <w:rsid w:val="592B4067"/>
    <w:rsid w:val="595B0854"/>
    <w:rsid w:val="59676679"/>
    <w:rsid w:val="59817DB2"/>
    <w:rsid w:val="59883613"/>
    <w:rsid w:val="598D6A8B"/>
    <w:rsid w:val="598E6955"/>
    <w:rsid w:val="599014A9"/>
    <w:rsid w:val="599B6EA3"/>
    <w:rsid w:val="59B2573B"/>
    <w:rsid w:val="59BB5797"/>
    <w:rsid w:val="59BD150F"/>
    <w:rsid w:val="59C0439F"/>
    <w:rsid w:val="59C55518"/>
    <w:rsid w:val="59D14FBA"/>
    <w:rsid w:val="59D36007"/>
    <w:rsid w:val="5A0A5FE9"/>
    <w:rsid w:val="5A1A3FE3"/>
    <w:rsid w:val="5A2151EA"/>
    <w:rsid w:val="5A467CA8"/>
    <w:rsid w:val="5A4F5EDF"/>
    <w:rsid w:val="5A542060"/>
    <w:rsid w:val="5A5B363C"/>
    <w:rsid w:val="5A766A68"/>
    <w:rsid w:val="5A767910"/>
    <w:rsid w:val="5A781B28"/>
    <w:rsid w:val="5A816250"/>
    <w:rsid w:val="5A8E79AB"/>
    <w:rsid w:val="5A9E57BB"/>
    <w:rsid w:val="5AA846AB"/>
    <w:rsid w:val="5AB34587"/>
    <w:rsid w:val="5AB86ED3"/>
    <w:rsid w:val="5ABE2233"/>
    <w:rsid w:val="5AC1330B"/>
    <w:rsid w:val="5AD3413E"/>
    <w:rsid w:val="5AE139C7"/>
    <w:rsid w:val="5AE900E2"/>
    <w:rsid w:val="5AF00494"/>
    <w:rsid w:val="5AF0321E"/>
    <w:rsid w:val="5AFD593B"/>
    <w:rsid w:val="5B083913"/>
    <w:rsid w:val="5B18348D"/>
    <w:rsid w:val="5B1C1AF7"/>
    <w:rsid w:val="5B512782"/>
    <w:rsid w:val="5B7C6694"/>
    <w:rsid w:val="5B9D14DA"/>
    <w:rsid w:val="5BA32FE4"/>
    <w:rsid w:val="5BA655D1"/>
    <w:rsid w:val="5BAA7871"/>
    <w:rsid w:val="5BAF4E87"/>
    <w:rsid w:val="5BB478E2"/>
    <w:rsid w:val="5BB77E12"/>
    <w:rsid w:val="5BBD57F6"/>
    <w:rsid w:val="5BBF6F1B"/>
    <w:rsid w:val="5BC0241E"/>
    <w:rsid w:val="5BC07095"/>
    <w:rsid w:val="5BC1147D"/>
    <w:rsid w:val="5BC158FB"/>
    <w:rsid w:val="5BCC74AF"/>
    <w:rsid w:val="5BCF536E"/>
    <w:rsid w:val="5BDF5D95"/>
    <w:rsid w:val="5BFE7528"/>
    <w:rsid w:val="5C007CAF"/>
    <w:rsid w:val="5C0827EA"/>
    <w:rsid w:val="5C1B2D56"/>
    <w:rsid w:val="5C6E6AF1"/>
    <w:rsid w:val="5C7A49B3"/>
    <w:rsid w:val="5C7B120D"/>
    <w:rsid w:val="5C7D52E9"/>
    <w:rsid w:val="5C7D6D34"/>
    <w:rsid w:val="5CAC586B"/>
    <w:rsid w:val="5CB306AB"/>
    <w:rsid w:val="5CBB2094"/>
    <w:rsid w:val="5CBC5AAE"/>
    <w:rsid w:val="5CC36D1E"/>
    <w:rsid w:val="5CD61820"/>
    <w:rsid w:val="5CD943F7"/>
    <w:rsid w:val="5CDE7648"/>
    <w:rsid w:val="5CE61203"/>
    <w:rsid w:val="5D0336DD"/>
    <w:rsid w:val="5D2101B1"/>
    <w:rsid w:val="5D270949"/>
    <w:rsid w:val="5D347D3A"/>
    <w:rsid w:val="5D3715D8"/>
    <w:rsid w:val="5D485594"/>
    <w:rsid w:val="5D4930BA"/>
    <w:rsid w:val="5D5418FE"/>
    <w:rsid w:val="5D5568DA"/>
    <w:rsid w:val="5D604B0B"/>
    <w:rsid w:val="5D606C47"/>
    <w:rsid w:val="5D7B180B"/>
    <w:rsid w:val="5D8875C1"/>
    <w:rsid w:val="5D980B8C"/>
    <w:rsid w:val="5DA16CAF"/>
    <w:rsid w:val="5DA402F0"/>
    <w:rsid w:val="5DB54270"/>
    <w:rsid w:val="5DB63794"/>
    <w:rsid w:val="5DBE76BD"/>
    <w:rsid w:val="5DD22096"/>
    <w:rsid w:val="5DD5494D"/>
    <w:rsid w:val="5DED1C97"/>
    <w:rsid w:val="5E004BFD"/>
    <w:rsid w:val="5E0C1350"/>
    <w:rsid w:val="5E0D40E7"/>
    <w:rsid w:val="5E195734"/>
    <w:rsid w:val="5E1F4A20"/>
    <w:rsid w:val="5E2467F1"/>
    <w:rsid w:val="5E2F64E9"/>
    <w:rsid w:val="5E3D49CC"/>
    <w:rsid w:val="5E435999"/>
    <w:rsid w:val="5E4D3610"/>
    <w:rsid w:val="5E654344"/>
    <w:rsid w:val="5E804073"/>
    <w:rsid w:val="5E856BD1"/>
    <w:rsid w:val="5E8E347A"/>
    <w:rsid w:val="5EBB7FE7"/>
    <w:rsid w:val="5EC70711"/>
    <w:rsid w:val="5EE57575"/>
    <w:rsid w:val="5EFD5F0A"/>
    <w:rsid w:val="5F1527E7"/>
    <w:rsid w:val="5F153A04"/>
    <w:rsid w:val="5F1A2B43"/>
    <w:rsid w:val="5F322E09"/>
    <w:rsid w:val="5F323EEB"/>
    <w:rsid w:val="5F367F01"/>
    <w:rsid w:val="5F3C6B9F"/>
    <w:rsid w:val="5F3E3A9F"/>
    <w:rsid w:val="5F5A4BBD"/>
    <w:rsid w:val="5F6B7317"/>
    <w:rsid w:val="5F750471"/>
    <w:rsid w:val="5F8159E5"/>
    <w:rsid w:val="5F907B68"/>
    <w:rsid w:val="5F944AC0"/>
    <w:rsid w:val="5FA97E40"/>
    <w:rsid w:val="5FB76A00"/>
    <w:rsid w:val="5FB837BB"/>
    <w:rsid w:val="5FC16118"/>
    <w:rsid w:val="5FCF5AF8"/>
    <w:rsid w:val="5FD90725"/>
    <w:rsid w:val="5FE13A7D"/>
    <w:rsid w:val="6009355C"/>
    <w:rsid w:val="600E7F5D"/>
    <w:rsid w:val="602D281F"/>
    <w:rsid w:val="603718EF"/>
    <w:rsid w:val="603D01E4"/>
    <w:rsid w:val="607466A0"/>
    <w:rsid w:val="607923C2"/>
    <w:rsid w:val="60827C38"/>
    <w:rsid w:val="6099704E"/>
    <w:rsid w:val="609A4358"/>
    <w:rsid w:val="60A96349"/>
    <w:rsid w:val="60B052E1"/>
    <w:rsid w:val="60BC500A"/>
    <w:rsid w:val="60C70EC5"/>
    <w:rsid w:val="60CC028A"/>
    <w:rsid w:val="60CC405A"/>
    <w:rsid w:val="60DB6099"/>
    <w:rsid w:val="60DD778C"/>
    <w:rsid w:val="60FB691F"/>
    <w:rsid w:val="61025A59"/>
    <w:rsid w:val="611C2337"/>
    <w:rsid w:val="613146C1"/>
    <w:rsid w:val="61343CE2"/>
    <w:rsid w:val="61461DEA"/>
    <w:rsid w:val="614B3697"/>
    <w:rsid w:val="615158B3"/>
    <w:rsid w:val="616E2D5E"/>
    <w:rsid w:val="61715597"/>
    <w:rsid w:val="61850577"/>
    <w:rsid w:val="6197270E"/>
    <w:rsid w:val="619A0388"/>
    <w:rsid w:val="61A11716"/>
    <w:rsid w:val="61BE0410"/>
    <w:rsid w:val="61D04CEA"/>
    <w:rsid w:val="61E215D8"/>
    <w:rsid w:val="61EF227D"/>
    <w:rsid w:val="61F8684D"/>
    <w:rsid w:val="621B3775"/>
    <w:rsid w:val="622720EB"/>
    <w:rsid w:val="62364782"/>
    <w:rsid w:val="624A317C"/>
    <w:rsid w:val="625A2EEB"/>
    <w:rsid w:val="625A3B56"/>
    <w:rsid w:val="62625CF2"/>
    <w:rsid w:val="6263077A"/>
    <w:rsid w:val="62645BED"/>
    <w:rsid w:val="628202AE"/>
    <w:rsid w:val="62897021"/>
    <w:rsid w:val="628F5A13"/>
    <w:rsid w:val="629D0130"/>
    <w:rsid w:val="62CB609F"/>
    <w:rsid w:val="62CB6B38"/>
    <w:rsid w:val="62D32401"/>
    <w:rsid w:val="62DA4EE0"/>
    <w:rsid w:val="62F87FB3"/>
    <w:rsid w:val="62FA10DE"/>
    <w:rsid w:val="62FB72E3"/>
    <w:rsid w:val="63247F09"/>
    <w:rsid w:val="632F0827"/>
    <w:rsid w:val="634A0DD6"/>
    <w:rsid w:val="634B1DCB"/>
    <w:rsid w:val="635D233B"/>
    <w:rsid w:val="6373518F"/>
    <w:rsid w:val="63835FBF"/>
    <w:rsid w:val="6394356A"/>
    <w:rsid w:val="63950E07"/>
    <w:rsid w:val="63977A57"/>
    <w:rsid w:val="639A05E4"/>
    <w:rsid w:val="63A4052C"/>
    <w:rsid w:val="63AF5C83"/>
    <w:rsid w:val="63C065F8"/>
    <w:rsid w:val="63C61B2C"/>
    <w:rsid w:val="63D40BE9"/>
    <w:rsid w:val="63D53B77"/>
    <w:rsid w:val="63D94EDB"/>
    <w:rsid w:val="63E63605"/>
    <w:rsid w:val="63E80775"/>
    <w:rsid w:val="63F11ECC"/>
    <w:rsid w:val="63FA72E8"/>
    <w:rsid w:val="64102431"/>
    <w:rsid w:val="64223BEF"/>
    <w:rsid w:val="642751A1"/>
    <w:rsid w:val="64301754"/>
    <w:rsid w:val="64357EF4"/>
    <w:rsid w:val="6445221C"/>
    <w:rsid w:val="6472739A"/>
    <w:rsid w:val="64831199"/>
    <w:rsid w:val="64971E0A"/>
    <w:rsid w:val="64A12DA7"/>
    <w:rsid w:val="64A347E8"/>
    <w:rsid w:val="64A5243A"/>
    <w:rsid w:val="64D8391C"/>
    <w:rsid w:val="64DA0943"/>
    <w:rsid w:val="64E57735"/>
    <w:rsid w:val="64F531DE"/>
    <w:rsid w:val="650376BA"/>
    <w:rsid w:val="6516562F"/>
    <w:rsid w:val="65181CEF"/>
    <w:rsid w:val="651A5A67"/>
    <w:rsid w:val="65256B3E"/>
    <w:rsid w:val="65373578"/>
    <w:rsid w:val="653A6768"/>
    <w:rsid w:val="65441FC3"/>
    <w:rsid w:val="654A67B3"/>
    <w:rsid w:val="655068C5"/>
    <w:rsid w:val="656951D6"/>
    <w:rsid w:val="656E5DB3"/>
    <w:rsid w:val="656F460A"/>
    <w:rsid w:val="657F3B1C"/>
    <w:rsid w:val="65AE58D2"/>
    <w:rsid w:val="65B42E1D"/>
    <w:rsid w:val="65BD1F06"/>
    <w:rsid w:val="65D5198E"/>
    <w:rsid w:val="65E776A0"/>
    <w:rsid w:val="65E9368C"/>
    <w:rsid w:val="65F90E7C"/>
    <w:rsid w:val="65FA31A3"/>
    <w:rsid w:val="66020B4E"/>
    <w:rsid w:val="660C498C"/>
    <w:rsid w:val="660D2ED6"/>
    <w:rsid w:val="662E109F"/>
    <w:rsid w:val="662E277A"/>
    <w:rsid w:val="66415276"/>
    <w:rsid w:val="664D3C1B"/>
    <w:rsid w:val="667C1434"/>
    <w:rsid w:val="668A09CB"/>
    <w:rsid w:val="668B2FD9"/>
    <w:rsid w:val="66AD0763"/>
    <w:rsid w:val="66B141AA"/>
    <w:rsid w:val="66BF00F7"/>
    <w:rsid w:val="66D449CF"/>
    <w:rsid w:val="66E71A47"/>
    <w:rsid w:val="66E8359C"/>
    <w:rsid w:val="66E856F1"/>
    <w:rsid w:val="67002A3B"/>
    <w:rsid w:val="670E3995"/>
    <w:rsid w:val="671F124A"/>
    <w:rsid w:val="672D7213"/>
    <w:rsid w:val="6740022A"/>
    <w:rsid w:val="67446533"/>
    <w:rsid w:val="675016AD"/>
    <w:rsid w:val="676254A4"/>
    <w:rsid w:val="67713939"/>
    <w:rsid w:val="67727B30"/>
    <w:rsid w:val="677A33C6"/>
    <w:rsid w:val="67D363A2"/>
    <w:rsid w:val="67D95381"/>
    <w:rsid w:val="67E57B10"/>
    <w:rsid w:val="67E65BEA"/>
    <w:rsid w:val="67EB5240"/>
    <w:rsid w:val="67EF2937"/>
    <w:rsid w:val="67F45FB1"/>
    <w:rsid w:val="67F85E08"/>
    <w:rsid w:val="68025295"/>
    <w:rsid w:val="68026250"/>
    <w:rsid w:val="6817016F"/>
    <w:rsid w:val="681F6961"/>
    <w:rsid w:val="683A6742"/>
    <w:rsid w:val="68467AF2"/>
    <w:rsid w:val="685516C9"/>
    <w:rsid w:val="68594AF9"/>
    <w:rsid w:val="68610A2F"/>
    <w:rsid w:val="686F6420"/>
    <w:rsid w:val="68701E42"/>
    <w:rsid w:val="68805514"/>
    <w:rsid w:val="689C6793"/>
    <w:rsid w:val="68C83A2C"/>
    <w:rsid w:val="68E62D9B"/>
    <w:rsid w:val="68EE1667"/>
    <w:rsid w:val="68F14DB5"/>
    <w:rsid w:val="69070247"/>
    <w:rsid w:val="69140A20"/>
    <w:rsid w:val="691517E4"/>
    <w:rsid w:val="691F1760"/>
    <w:rsid w:val="691F3B13"/>
    <w:rsid w:val="692D19E3"/>
    <w:rsid w:val="69316E2F"/>
    <w:rsid w:val="6933534A"/>
    <w:rsid w:val="69414646"/>
    <w:rsid w:val="6946137B"/>
    <w:rsid w:val="694E2071"/>
    <w:rsid w:val="695A0B28"/>
    <w:rsid w:val="696475DC"/>
    <w:rsid w:val="696574CD"/>
    <w:rsid w:val="69766163"/>
    <w:rsid w:val="697802E0"/>
    <w:rsid w:val="697A3B33"/>
    <w:rsid w:val="699E714C"/>
    <w:rsid w:val="699F0B6B"/>
    <w:rsid w:val="69A43F48"/>
    <w:rsid w:val="69B0789B"/>
    <w:rsid w:val="69B50EEF"/>
    <w:rsid w:val="69C73CE4"/>
    <w:rsid w:val="69D44760"/>
    <w:rsid w:val="69E50B3A"/>
    <w:rsid w:val="69EB029B"/>
    <w:rsid w:val="6A0445F0"/>
    <w:rsid w:val="6A122BB1"/>
    <w:rsid w:val="6A4B7B6B"/>
    <w:rsid w:val="6A500FC6"/>
    <w:rsid w:val="6A520EC7"/>
    <w:rsid w:val="6A5710F3"/>
    <w:rsid w:val="6A68712F"/>
    <w:rsid w:val="6A8D05A0"/>
    <w:rsid w:val="6ABE4573"/>
    <w:rsid w:val="6AE8261D"/>
    <w:rsid w:val="6AF57C8C"/>
    <w:rsid w:val="6AF87E20"/>
    <w:rsid w:val="6AFC176B"/>
    <w:rsid w:val="6B0B1692"/>
    <w:rsid w:val="6B105BD0"/>
    <w:rsid w:val="6B166CD1"/>
    <w:rsid w:val="6B170F37"/>
    <w:rsid w:val="6B244679"/>
    <w:rsid w:val="6B256F14"/>
    <w:rsid w:val="6B2A63D6"/>
    <w:rsid w:val="6B322639"/>
    <w:rsid w:val="6B4C4AE6"/>
    <w:rsid w:val="6B535628"/>
    <w:rsid w:val="6B535D1B"/>
    <w:rsid w:val="6B61768B"/>
    <w:rsid w:val="6B664BE4"/>
    <w:rsid w:val="6B6D6D93"/>
    <w:rsid w:val="6B797C97"/>
    <w:rsid w:val="6B8F10C1"/>
    <w:rsid w:val="6B9D4CFC"/>
    <w:rsid w:val="6B9F6CC6"/>
    <w:rsid w:val="6BA51E03"/>
    <w:rsid w:val="6BAF228A"/>
    <w:rsid w:val="6BC472FA"/>
    <w:rsid w:val="6BC50FDA"/>
    <w:rsid w:val="6BCF02CD"/>
    <w:rsid w:val="6BD83F86"/>
    <w:rsid w:val="6BDF5315"/>
    <w:rsid w:val="6BE23291"/>
    <w:rsid w:val="6C25069C"/>
    <w:rsid w:val="6C381594"/>
    <w:rsid w:val="6C636C38"/>
    <w:rsid w:val="6C9C2E87"/>
    <w:rsid w:val="6CA031C1"/>
    <w:rsid w:val="6CA248BD"/>
    <w:rsid w:val="6CBA1C8C"/>
    <w:rsid w:val="6CBA6410"/>
    <w:rsid w:val="6CBF1724"/>
    <w:rsid w:val="6CC268D7"/>
    <w:rsid w:val="6CC4275D"/>
    <w:rsid w:val="6CD23F50"/>
    <w:rsid w:val="6CFE4BF8"/>
    <w:rsid w:val="6D176D30"/>
    <w:rsid w:val="6D293E7A"/>
    <w:rsid w:val="6D2F7BD6"/>
    <w:rsid w:val="6D3451EC"/>
    <w:rsid w:val="6D374CDD"/>
    <w:rsid w:val="6D3D1DA9"/>
    <w:rsid w:val="6D4C4C2C"/>
    <w:rsid w:val="6DA2542F"/>
    <w:rsid w:val="6DA5026E"/>
    <w:rsid w:val="6DA95C7F"/>
    <w:rsid w:val="6DB34098"/>
    <w:rsid w:val="6DB545B6"/>
    <w:rsid w:val="6DD212A7"/>
    <w:rsid w:val="6DE02FB4"/>
    <w:rsid w:val="6DF24B25"/>
    <w:rsid w:val="6DF260F8"/>
    <w:rsid w:val="6DFA6436"/>
    <w:rsid w:val="6E1B015A"/>
    <w:rsid w:val="6E2E57DF"/>
    <w:rsid w:val="6E365DD7"/>
    <w:rsid w:val="6E3D4902"/>
    <w:rsid w:val="6E455F22"/>
    <w:rsid w:val="6E4B4084"/>
    <w:rsid w:val="6E514CED"/>
    <w:rsid w:val="6E6828A9"/>
    <w:rsid w:val="6E9E061F"/>
    <w:rsid w:val="6EB45815"/>
    <w:rsid w:val="6EB563D5"/>
    <w:rsid w:val="6EBA4CB3"/>
    <w:rsid w:val="6EC73688"/>
    <w:rsid w:val="6EC9320D"/>
    <w:rsid w:val="6ECE251B"/>
    <w:rsid w:val="6ED5083E"/>
    <w:rsid w:val="6ED924EF"/>
    <w:rsid w:val="6ED92677"/>
    <w:rsid w:val="6EEB2223"/>
    <w:rsid w:val="6F0E0FA0"/>
    <w:rsid w:val="6F1156CC"/>
    <w:rsid w:val="6F214FC3"/>
    <w:rsid w:val="6F225983"/>
    <w:rsid w:val="6F2B261F"/>
    <w:rsid w:val="6F2C5207"/>
    <w:rsid w:val="6F2E288E"/>
    <w:rsid w:val="6F2E3CB5"/>
    <w:rsid w:val="6F3B2D3A"/>
    <w:rsid w:val="6F3C63C0"/>
    <w:rsid w:val="6F5F3EE0"/>
    <w:rsid w:val="6F676472"/>
    <w:rsid w:val="6F6A28FA"/>
    <w:rsid w:val="6F6B4AB9"/>
    <w:rsid w:val="6F74473E"/>
    <w:rsid w:val="6F886237"/>
    <w:rsid w:val="6F8B154D"/>
    <w:rsid w:val="6F9E1043"/>
    <w:rsid w:val="6FA521ED"/>
    <w:rsid w:val="6FC0545D"/>
    <w:rsid w:val="6FD03FAE"/>
    <w:rsid w:val="6FEA4FEC"/>
    <w:rsid w:val="6FF412F0"/>
    <w:rsid w:val="6FFC5590"/>
    <w:rsid w:val="700B4014"/>
    <w:rsid w:val="701C726D"/>
    <w:rsid w:val="702D7E69"/>
    <w:rsid w:val="703462F3"/>
    <w:rsid w:val="703A0AFE"/>
    <w:rsid w:val="70423458"/>
    <w:rsid w:val="706D1DD0"/>
    <w:rsid w:val="707D2EED"/>
    <w:rsid w:val="70856B87"/>
    <w:rsid w:val="70860455"/>
    <w:rsid w:val="708E2E66"/>
    <w:rsid w:val="70A31314"/>
    <w:rsid w:val="70AD5763"/>
    <w:rsid w:val="70BB7EBB"/>
    <w:rsid w:val="70CD02BD"/>
    <w:rsid w:val="70CD659C"/>
    <w:rsid w:val="70D527EE"/>
    <w:rsid w:val="70DC68F1"/>
    <w:rsid w:val="70E129EA"/>
    <w:rsid w:val="70E94540"/>
    <w:rsid w:val="70FB17FE"/>
    <w:rsid w:val="71080E6A"/>
    <w:rsid w:val="710D6480"/>
    <w:rsid w:val="71162540"/>
    <w:rsid w:val="715B5300"/>
    <w:rsid w:val="715B7BFD"/>
    <w:rsid w:val="716562BC"/>
    <w:rsid w:val="71797903"/>
    <w:rsid w:val="717E2EDA"/>
    <w:rsid w:val="71916308"/>
    <w:rsid w:val="71956476"/>
    <w:rsid w:val="719D0AE2"/>
    <w:rsid w:val="71A91862"/>
    <w:rsid w:val="71C40F54"/>
    <w:rsid w:val="71C5446D"/>
    <w:rsid w:val="71C86406"/>
    <w:rsid w:val="71D27F8A"/>
    <w:rsid w:val="71D65C41"/>
    <w:rsid w:val="71E511AB"/>
    <w:rsid w:val="71E83933"/>
    <w:rsid w:val="71EF5B86"/>
    <w:rsid w:val="71F3502F"/>
    <w:rsid w:val="72093243"/>
    <w:rsid w:val="720D3028"/>
    <w:rsid w:val="720F447A"/>
    <w:rsid w:val="72287FD6"/>
    <w:rsid w:val="724A0CE9"/>
    <w:rsid w:val="72553024"/>
    <w:rsid w:val="72581B15"/>
    <w:rsid w:val="725B146D"/>
    <w:rsid w:val="72605A1C"/>
    <w:rsid w:val="726245AA"/>
    <w:rsid w:val="72677E12"/>
    <w:rsid w:val="727E6F0A"/>
    <w:rsid w:val="728A3B01"/>
    <w:rsid w:val="729A3797"/>
    <w:rsid w:val="729D55E2"/>
    <w:rsid w:val="729E0A00"/>
    <w:rsid w:val="72A071BC"/>
    <w:rsid w:val="72A81BF6"/>
    <w:rsid w:val="72AC5DEC"/>
    <w:rsid w:val="72B55021"/>
    <w:rsid w:val="72BE1FC1"/>
    <w:rsid w:val="72C37153"/>
    <w:rsid w:val="72E96A79"/>
    <w:rsid w:val="72EE5E3E"/>
    <w:rsid w:val="72F20A0A"/>
    <w:rsid w:val="73122968"/>
    <w:rsid w:val="731B42E8"/>
    <w:rsid w:val="731F5D5E"/>
    <w:rsid w:val="73260050"/>
    <w:rsid w:val="73364680"/>
    <w:rsid w:val="7339222D"/>
    <w:rsid w:val="7343262D"/>
    <w:rsid w:val="734816BB"/>
    <w:rsid w:val="7366593F"/>
    <w:rsid w:val="737E5715"/>
    <w:rsid w:val="738A6720"/>
    <w:rsid w:val="738F030F"/>
    <w:rsid w:val="7390017F"/>
    <w:rsid w:val="73A155A6"/>
    <w:rsid w:val="73A34A52"/>
    <w:rsid w:val="73A40BF2"/>
    <w:rsid w:val="73B372FF"/>
    <w:rsid w:val="73BD51B3"/>
    <w:rsid w:val="73C51AD5"/>
    <w:rsid w:val="73D62EFE"/>
    <w:rsid w:val="73D67F13"/>
    <w:rsid w:val="73E16E49"/>
    <w:rsid w:val="73EB45F0"/>
    <w:rsid w:val="740578E3"/>
    <w:rsid w:val="740B4F9D"/>
    <w:rsid w:val="740F6E0E"/>
    <w:rsid w:val="741E793C"/>
    <w:rsid w:val="742A27DA"/>
    <w:rsid w:val="743326A2"/>
    <w:rsid w:val="743F62BB"/>
    <w:rsid w:val="744065B0"/>
    <w:rsid w:val="74514836"/>
    <w:rsid w:val="745E3944"/>
    <w:rsid w:val="746731C5"/>
    <w:rsid w:val="746A386C"/>
    <w:rsid w:val="747646DB"/>
    <w:rsid w:val="748163B3"/>
    <w:rsid w:val="74842BFC"/>
    <w:rsid w:val="748A428C"/>
    <w:rsid w:val="748E414E"/>
    <w:rsid w:val="74985A20"/>
    <w:rsid w:val="7499627D"/>
    <w:rsid w:val="74B675E5"/>
    <w:rsid w:val="74CF0419"/>
    <w:rsid w:val="74DA48CB"/>
    <w:rsid w:val="74E05E61"/>
    <w:rsid w:val="74ED0B04"/>
    <w:rsid w:val="75046BAE"/>
    <w:rsid w:val="752E0831"/>
    <w:rsid w:val="753B54F0"/>
    <w:rsid w:val="754B72C9"/>
    <w:rsid w:val="75693EA1"/>
    <w:rsid w:val="756C0561"/>
    <w:rsid w:val="757D25B4"/>
    <w:rsid w:val="75800C68"/>
    <w:rsid w:val="75A923CE"/>
    <w:rsid w:val="75B42D5B"/>
    <w:rsid w:val="75BC41FA"/>
    <w:rsid w:val="75D05CCE"/>
    <w:rsid w:val="75EF20B7"/>
    <w:rsid w:val="75EF7FE9"/>
    <w:rsid w:val="76114604"/>
    <w:rsid w:val="761A57F0"/>
    <w:rsid w:val="7635099D"/>
    <w:rsid w:val="763628A7"/>
    <w:rsid w:val="763B04FD"/>
    <w:rsid w:val="763C0D8D"/>
    <w:rsid w:val="763E2648"/>
    <w:rsid w:val="76583251"/>
    <w:rsid w:val="765A3416"/>
    <w:rsid w:val="76716610"/>
    <w:rsid w:val="76984DB9"/>
    <w:rsid w:val="76A16046"/>
    <w:rsid w:val="76A205C4"/>
    <w:rsid w:val="76A62EE0"/>
    <w:rsid w:val="76AF7FDA"/>
    <w:rsid w:val="76B25651"/>
    <w:rsid w:val="76BF3E0E"/>
    <w:rsid w:val="76CA6BC2"/>
    <w:rsid w:val="76D76D80"/>
    <w:rsid w:val="76ED2809"/>
    <w:rsid w:val="76F459ED"/>
    <w:rsid w:val="770D1C71"/>
    <w:rsid w:val="77181CE9"/>
    <w:rsid w:val="771F416D"/>
    <w:rsid w:val="77222088"/>
    <w:rsid w:val="7723445D"/>
    <w:rsid w:val="774F4C86"/>
    <w:rsid w:val="775A02A9"/>
    <w:rsid w:val="775C443F"/>
    <w:rsid w:val="776D6D6F"/>
    <w:rsid w:val="77762421"/>
    <w:rsid w:val="777C7EBC"/>
    <w:rsid w:val="778D7494"/>
    <w:rsid w:val="77955421"/>
    <w:rsid w:val="77980A6E"/>
    <w:rsid w:val="77A10A1D"/>
    <w:rsid w:val="77B56B1F"/>
    <w:rsid w:val="77C17FC5"/>
    <w:rsid w:val="77C71A27"/>
    <w:rsid w:val="77C71BAD"/>
    <w:rsid w:val="77D01900"/>
    <w:rsid w:val="77D978CD"/>
    <w:rsid w:val="77E029D6"/>
    <w:rsid w:val="77FE5D92"/>
    <w:rsid w:val="780F09F4"/>
    <w:rsid w:val="78146346"/>
    <w:rsid w:val="78147BBF"/>
    <w:rsid w:val="78160310"/>
    <w:rsid w:val="78206EB2"/>
    <w:rsid w:val="7824158D"/>
    <w:rsid w:val="78283BA0"/>
    <w:rsid w:val="78283E1B"/>
    <w:rsid w:val="782C48FF"/>
    <w:rsid w:val="78607C9D"/>
    <w:rsid w:val="78615304"/>
    <w:rsid w:val="786449EB"/>
    <w:rsid w:val="78986F77"/>
    <w:rsid w:val="78A90480"/>
    <w:rsid w:val="78AE7C3D"/>
    <w:rsid w:val="78CD7E33"/>
    <w:rsid w:val="78E26444"/>
    <w:rsid w:val="79125C43"/>
    <w:rsid w:val="79202912"/>
    <w:rsid w:val="79233D2D"/>
    <w:rsid w:val="792478CA"/>
    <w:rsid w:val="79272AC6"/>
    <w:rsid w:val="792F71B0"/>
    <w:rsid w:val="794E6D4A"/>
    <w:rsid w:val="7975442E"/>
    <w:rsid w:val="798D58F3"/>
    <w:rsid w:val="79B0627E"/>
    <w:rsid w:val="79B5100C"/>
    <w:rsid w:val="79B577B4"/>
    <w:rsid w:val="79C8392B"/>
    <w:rsid w:val="79D375E5"/>
    <w:rsid w:val="79D37644"/>
    <w:rsid w:val="79D70EA4"/>
    <w:rsid w:val="79F24465"/>
    <w:rsid w:val="79F3642F"/>
    <w:rsid w:val="79F5163C"/>
    <w:rsid w:val="7A02074E"/>
    <w:rsid w:val="7A044C7C"/>
    <w:rsid w:val="7A0B6A0F"/>
    <w:rsid w:val="7A0F01B1"/>
    <w:rsid w:val="7A1845EE"/>
    <w:rsid w:val="7A24370C"/>
    <w:rsid w:val="7A2860D9"/>
    <w:rsid w:val="7A2C0B6E"/>
    <w:rsid w:val="7A364017"/>
    <w:rsid w:val="7A39347C"/>
    <w:rsid w:val="7A3A38FF"/>
    <w:rsid w:val="7A563F72"/>
    <w:rsid w:val="7A5A025C"/>
    <w:rsid w:val="7A813A3B"/>
    <w:rsid w:val="7A8265E1"/>
    <w:rsid w:val="7AB21E46"/>
    <w:rsid w:val="7AC027B5"/>
    <w:rsid w:val="7ACC376D"/>
    <w:rsid w:val="7ADC6EC3"/>
    <w:rsid w:val="7AF012B8"/>
    <w:rsid w:val="7B0E374B"/>
    <w:rsid w:val="7B162E21"/>
    <w:rsid w:val="7B3A4316"/>
    <w:rsid w:val="7B4909FD"/>
    <w:rsid w:val="7B512E8E"/>
    <w:rsid w:val="7B59095D"/>
    <w:rsid w:val="7B5A6766"/>
    <w:rsid w:val="7B686D42"/>
    <w:rsid w:val="7B841746"/>
    <w:rsid w:val="7B8C602F"/>
    <w:rsid w:val="7B94601E"/>
    <w:rsid w:val="7B965ED6"/>
    <w:rsid w:val="7BB36ED2"/>
    <w:rsid w:val="7BD5403F"/>
    <w:rsid w:val="7BF17930"/>
    <w:rsid w:val="7C1E6FCE"/>
    <w:rsid w:val="7C2E3131"/>
    <w:rsid w:val="7C34279E"/>
    <w:rsid w:val="7C49114F"/>
    <w:rsid w:val="7C624EA2"/>
    <w:rsid w:val="7C66650D"/>
    <w:rsid w:val="7C6B558A"/>
    <w:rsid w:val="7C6C5AC7"/>
    <w:rsid w:val="7C7B3F5E"/>
    <w:rsid w:val="7C8456D9"/>
    <w:rsid w:val="7CA87DEB"/>
    <w:rsid w:val="7CC06A9D"/>
    <w:rsid w:val="7CC21985"/>
    <w:rsid w:val="7CC6544B"/>
    <w:rsid w:val="7CCB1F54"/>
    <w:rsid w:val="7CD82038"/>
    <w:rsid w:val="7CE41794"/>
    <w:rsid w:val="7D0239FF"/>
    <w:rsid w:val="7D052A0C"/>
    <w:rsid w:val="7D0831F9"/>
    <w:rsid w:val="7D171AF4"/>
    <w:rsid w:val="7D1F73D2"/>
    <w:rsid w:val="7D28155C"/>
    <w:rsid w:val="7D35722D"/>
    <w:rsid w:val="7D3A4FDA"/>
    <w:rsid w:val="7D3D1598"/>
    <w:rsid w:val="7D4067C0"/>
    <w:rsid w:val="7D5D5C27"/>
    <w:rsid w:val="7D5E40CD"/>
    <w:rsid w:val="7D6438CC"/>
    <w:rsid w:val="7D6F6351"/>
    <w:rsid w:val="7D735F23"/>
    <w:rsid w:val="7D7B2B9E"/>
    <w:rsid w:val="7D823D52"/>
    <w:rsid w:val="7D8E0949"/>
    <w:rsid w:val="7D9D40C2"/>
    <w:rsid w:val="7DBB54B6"/>
    <w:rsid w:val="7DCD56F2"/>
    <w:rsid w:val="7DE411E5"/>
    <w:rsid w:val="7DE95B7F"/>
    <w:rsid w:val="7DF0493A"/>
    <w:rsid w:val="7DFC1A33"/>
    <w:rsid w:val="7E09208C"/>
    <w:rsid w:val="7E1A01D8"/>
    <w:rsid w:val="7E2127BA"/>
    <w:rsid w:val="7E380949"/>
    <w:rsid w:val="7E4422CE"/>
    <w:rsid w:val="7E4A3282"/>
    <w:rsid w:val="7E5259DD"/>
    <w:rsid w:val="7E6873EC"/>
    <w:rsid w:val="7E780003"/>
    <w:rsid w:val="7E9A755F"/>
    <w:rsid w:val="7EA26FD4"/>
    <w:rsid w:val="7EAC5EA4"/>
    <w:rsid w:val="7EB31BE7"/>
    <w:rsid w:val="7EB97C47"/>
    <w:rsid w:val="7EBB27AA"/>
    <w:rsid w:val="7EE60311"/>
    <w:rsid w:val="7EFA6281"/>
    <w:rsid w:val="7F001CE7"/>
    <w:rsid w:val="7F1B445E"/>
    <w:rsid w:val="7F2738DA"/>
    <w:rsid w:val="7F583B5A"/>
    <w:rsid w:val="7F62208D"/>
    <w:rsid w:val="7F626C29"/>
    <w:rsid w:val="7F7E679B"/>
    <w:rsid w:val="7F840255"/>
    <w:rsid w:val="7F842003"/>
    <w:rsid w:val="7F8E2E82"/>
    <w:rsid w:val="7F8F09A8"/>
    <w:rsid w:val="7F91249E"/>
    <w:rsid w:val="7F9F1504"/>
    <w:rsid w:val="7FB16B71"/>
    <w:rsid w:val="7FBA2305"/>
    <w:rsid w:val="7FC71EF0"/>
    <w:rsid w:val="7FE47E50"/>
    <w:rsid w:val="7FEC0E6E"/>
    <w:rsid w:val="7FF60A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39"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0" w:semiHidden="0" w:name="Table Grid"/>
    <w:lsdException w:uiPriority="0" w:name="Table Theme" w:locked="1"/>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66"/>
    <w:autoRedefine/>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autoRedefine/>
    <w:semiHidden/>
    <w:unhideWhenUsed/>
    <w:qFormat/>
    <w:locked/>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45"/>
    <w:autoRedefine/>
    <w:qFormat/>
    <w:uiPriority w:val="0"/>
    <w:pPr>
      <w:widowControl/>
      <w:snapToGrid w:val="0"/>
      <w:spacing w:before="60" w:after="160" w:line="259" w:lineRule="auto"/>
      <w:ind w:right="113"/>
    </w:pPr>
    <w:rPr>
      <w:kern w:val="0"/>
      <w:sz w:val="18"/>
      <w:szCs w:val="20"/>
    </w:rPr>
  </w:style>
  <w:style w:type="paragraph" w:styleId="6">
    <w:name w:val="Note Heading"/>
    <w:basedOn w:val="1"/>
    <w:next w:val="1"/>
    <w:autoRedefine/>
    <w:qFormat/>
    <w:locked/>
    <w:uiPriority w:val="0"/>
    <w:pPr>
      <w:adjustRightInd w:val="0"/>
      <w:spacing w:line="360" w:lineRule="auto"/>
      <w:jc w:val="center"/>
    </w:pPr>
    <w:rPr>
      <w:szCs w:val="24"/>
    </w:rPr>
  </w:style>
  <w:style w:type="paragraph" w:styleId="7">
    <w:name w:val="Normal Indent"/>
    <w:basedOn w:val="1"/>
    <w:next w:val="1"/>
    <w:link w:val="64"/>
    <w:autoRedefine/>
    <w:qFormat/>
    <w:locked/>
    <w:uiPriority w:val="0"/>
    <w:pPr>
      <w:ind w:firstLine="420"/>
    </w:pPr>
    <w:rPr>
      <w:rFonts w:ascii="Calibri" w:hAnsi="Calibri"/>
      <w:szCs w:val="20"/>
    </w:rPr>
  </w:style>
  <w:style w:type="paragraph" w:styleId="8">
    <w:name w:val="caption"/>
    <w:basedOn w:val="1"/>
    <w:next w:val="1"/>
    <w:qFormat/>
    <w:locked/>
    <w:uiPriority w:val="0"/>
    <w:pPr>
      <w:widowControl/>
      <w:jc w:val="left"/>
    </w:pPr>
    <w:rPr>
      <w:rFonts w:ascii="Calibri" w:hAnsi="Calibri"/>
      <w:b/>
      <w:bCs/>
      <w:color w:val="2DA2BF"/>
      <w:kern w:val="0"/>
      <w:sz w:val="18"/>
      <w:szCs w:val="18"/>
    </w:rPr>
  </w:style>
  <w:style w:type="paragraph" w:styleId="9">
    <w:name w:val="annotation text"/>
    <w:basedOn w:val="1"/>
    <w:link w:val="46"/>
    <w:autoRedefine/>
    <w:qFormat/>
    <w:uiPriority w:val="0"/>
    <w:pPr>
      <w:jc w:val="left"/>
    </w:pPr>
    <w:rPr>
      <w:kern w:val="0"/>
      <w:sz w:val="24"/>
      <w:szCs w:val="20"/>
    </w:rPr>
  </w:style>
  <w:style w:type="paragraph" w:styleId="10">
    <w:name w:val="Body Text Indent"/>
    <w:basedOn w:val="1"/>
    <w:next w:val="7"/>
    <w:link w:val="55"/>
    <w:autoRedefine/>
    <w:qFormat/>
    <w:uiPriority w:val="0"/>
    <w:pPr>
      <w:spacing w:after="120"/>
      <w:ind w:left="420" w:leftChars="200"/>
    </w:pPr>
    <w:rPr>
      <w:kern w:val="0"/>
      <w:sz w:val="24"/>
      <w:szCs w:val="20"/>
    </w:rPr>
  </w:style>
  <w:style w:type="paragraph" w:styleId="11">
    <w:name w:val="Block Text"/>
    <w:basedOn w:val="1"/>
    <w:autoRedefine/>
    <w:qFormat/>
    <w:locked/>
    <w:uiPriority w:val="0"/>
    <w:pPr>
      <w:spacing w:after="120"/>
      <w:ind w:left="1440" w:leftChars="700" w:right="1440" w:rightChars="700"/>
    </w:pPr>
    <w:rPr>
      <w:rFonts w:ascii="Calibri" w:hAnsi="Calibri"/>
      <w:szCs w:val="20"/>
    </w:rPr>
  </w:style>
  <w:style w:type="paragraph" w:styleId="12">
    <w:name w:val="toc 3"/>
    <w:basedOn w:val="1"/>
    <w:next w:val="1"/>
    <w:qFormat/>
    <w:locked/>
    <w:uiPriority w:val="0"/>
    <w:pPr>
      <w:ind w:left="840" w:leftChars="400"/>
    </w:pPr>
  </w:style>
  <w:style w:type="paragraph" w:styleId="13">
    <w:name w:val="Plain Text"/>
    <w:basedOn w:val="1"/>
    <w:link w:val="67"/>
    <w:autoRedefine/>
    <w:qFormat/>
    <w:locked/>
    <w:uiPriority w:val="0"/>
    <w:rPr>
      <w:rFonts w:ascii="宋体" w:hAnsi="Courier New"/>
      <w:szCs w:val="20"/>
    </w:rPr>
  </w:style>
  <w:style w:type="paragraph" w:styleId="14">
    <w:name w:val="List Bullet 5"/>
    <w:basedOn w:val="1"/>
    <w:autoRedefine/>
    <w:qFormat/>
    <w:locked/>
    <w:uiPriority w:val="0"/>
    <w:pPr>
      <w:numPr>
        <w:ilvl w:val="0"/>
        <w:numId w:val="1"/>
      </w:numPr>
    </w:pPr>
  </w:style>
  <w:style w:type="paragraph" w:styleId="15">
    <w:name w:val="Date"/>
    <w:basedOn w:val="1"/>
    <w:next w:val="1"/>
    <w:link w:val="41"/>
    <w:autoRedefine/>
    <w:qFormat/>
    <w:uiPriority w:val="0"/>
    <w:pPr>
      <w:ind w:left="100" w:leftChars="2500"/>
    </w:pPr>
    <w:rPr>
      <w:kern w:val="0"/>
      <w:sz w:val="24"/>
      <w:szCs w:val="20"/>
    </w:rPr>
  </w:style>
  <w:style w:type="paragraph" w:styleId="16">
    <w:name w:val="Body Text Indent 2"/>
    <w:basedOn w:val="1"/>
    <w:link w:val="68"/>
    <w:autoRedefine/>
    <w:qFormat/>
    <w:locked/>
    <w:uiPriority w:val="0"/>
    <w:pPr>
      <w:spacing w:line="500" w:lineRule="exact"/>
      <w:ind w:firstLine="480" w:firstLineChars="200"/>
    </w:pPr>
    <w:rPr>
      <w:rFonts w:ascii="宋体" w:hAnsi="Calibri"/>
      <w:bCs/>
      <w:sz w:val="24"/>
      <w:szCs w:val="20"/>
    </w:rPr>
  </w:style>
  <w:style w:type="paragraph" w:styleId="17">
    <w:name w:val="Balloon Text"/>
    <w:basedOn w:val="1"/>
    <w:link w:val="51"/>
    <w:autoRedefine/>
    <w:qFormat/>
    <w:uiPriority w:val="0"/>
    <w:rPr>
      <w:kern w:val="0"/>
      <w:sz w:val="18"/>
      <w:szCs w:val="20"/>
    </w:rPr>
  </w:style>
  <w:style w:type="paragraph" w:styleId="18">
    <w:name w:val="footer"/>
    <w:basedOn w:val="1"/>
    <w:link w:val="40"/>
    <w:autoRedefine/>
    <w:qFormat/>
    <w:uiPriority w:val="99"/>
    <w:pPr>
      <w:tabs>
        <w:tab w:val="center" w:pos="4153"/>
        <w:tab w:val="right" w:pos="8306"/>
      </w:tabs>
      <w:snapToGrid w:val="0"/>
      <w:jc w:val="left"/>
    </w:pPr>
    <w:rPr>
      <w:kern w:val="0"/>
      <w:sz w:val="18"/>
      <w:szCs w:val="20"/>
    </w:rPr>
  </w:style>
  <w:style w:type="paragraph" w:styleId="19">
    <w:name w:val="header"/>
    <w:basedOn w:val="1"/>
    <w:link w:val="53"/>
    <w:autoRedefine/>
    <w:qFormat/>
    <w:uiPriority w:val="0"/>
    <w:pPr>
      <w:tabs>
        <w:tab w:val="center" w:pos="4153"/>
        <w:tab w:val="right" w:pos="8306"/>
      </w:tabs>
      <w:snapToGrid w:val="0"/>
      <w:jc w:val="center"/>
    </w:pPr>
    <w:rPr>
      <w:kern w:val="0"/>
      <w:sz w:val="18"/>
      <w:szCs w:val="20"/>
    </w:rPr>
  </w:style>
  <w:style w:type="paragraph" w:styleId="20">
    <w:name w:val="toc 1"/>
    <w:basedOn w:val="1"/>
    <w:next w:val="1"/>
    <w:autoRedefine/>
    <w:qFormat/>
    <w:locked/>
    <w:uiPriority w:val="39"/>
    <w:pPr>
      <w:spacing w:before="120" w:after="120"/>
      <w:jc w:val="left"/>
    </w:pPr>
    <w:rPr>
      <w:rFonts w:ascii="Calibri" w:hAnsi="Calibri"/>
      <w:b/>
      <w:bCs/>
      <w:caps/>
      <w:sz w:val="20"/>
      <w:szCs w:val="20"/>
    </w:rPr>
  </w:style>
  <w:style w:type="paragraph" w:styleId="21">
    <w:name w:val="List"/>
    <w:basedOn w:val="1"/>
    <w:autoRedefine/>
    <w:qFormat/>
    <w:locked/>
    <w:uiPriority w:val="0"/>
    <w:pPr>
      <w:spacing w:line="320" w:lineRule="exact"/>
      <w:jc w:val="center"/>
    </w:pPr>
    <w:rPr>
      <w:sz w:val="20"/>
    </w:rPr>
  </w:style>
  <w:style w:type="paragraph" w:styleId="22">
    <w:name w:val="Body Text Indent 3"/>
    <w:basedOn w:val="1"/>
    <w:link w:val="69"/>
    <w:autoRedefine/>
    <w:qFormat/>
    <w:locked/>
    <w:uiPriority w:val="0"/>
    <w:pPr>
      <w:spacing w:line="360" w:lineRule="auto"/>
      <w:ind w:firstLine="471" w:firstLineChars="200"/>
    </w:pPr>
    <w:rPr>
      <w:rFonts w:ascii="宋体" w:hAnsi="宋体"/>
      <w:sz w:val="24"/>
      <w:szCs w:val="20"/>
    </w:rPr>
  </w:style>
  <w:style w:type="paragraph" w:styleId="23">
    <w:name w:val="toc 2"/>
    <w:basedOn w:val="1"/>
    <w:next w:val="1"/>
    <w:qFormat/>
    <w:locked/>
    <w:uiPriority w:val="39"/>
    <w:pPr>
      <w:widowControl/>
      <w:tabs>
        <w:tab w:val="left" w:pos="840"/>
        <w:tab w:val="right" w:leader="dot" w:pos="8511"/>
      </w:tabs>
      <w:spacing w:line="320" w:lineRule="exact"/>
      <w:ind w:left="210"/>
      <w:jc w:val="left"/>
    </w:pPr>
    <w:rPr>
      <w:rFonts w:ascii="Calibri" w:hAnsi="Calibri"/>
      <w:smallCaps/>
      <w:kern w:val="0"/>
      <w:sz w:val="24"/>
      <w:szCs w:val="22"/>
    </w:rPr>
  </w:style>
  <w:style w:type="paragraph" w:styleId="24">
    <w:name w:val="Body Text 2"/>
    <w:basedOn w:val="1"/>
    <w:link w:val="59"/>
    <w:autoRedefine/>
    <w:qFormat/>
    <w:locked/>
    <w:uiPriority w:val="0"/>
    <w:pPr>
      <w:spacing w:after="120" w:line="480" w:lineRule="auto"/>
    </w:pPr>
  </w:style>
  <w:style w:type="paragraph" w:styleId="25">
    <w:name w:val="Normal (Web)"/>
    <w:basedOn w:val="1"/>
    <w:link w:val="43"/>
    <w:autoRedefine/>
    <w:qFormat/>
    <w:uiPriority w:val="99"/>
    <w:pPr>
      <w:widowControl/>
      <w:spacing w:before="100" w:beforeAutospacing="1" w:after="100" w:afterAutospacing="1"/>
      <w:jc w:val="left"/>
    </w:pPr>
    <w:rPr>
      <w:rFonts w:ascii="宋体" w:hAnsi="宋体"/>
      <w:kern w:val="0"/>
      <w:sz w:val="24"/>
      <w:szCs w:val="20"/>
    </w:rPr>
  </w:style>
  <w:style w:type="paragraph" w:styleId="26">
    <w:name w:val="annotation subject"/>
    <w:basedOn w:val="9"/>
    <w:next w:val="9"/>
    <w:link w:val="52"/>
    <w:autoRedefine/>
    <w:qFormat/>
    <w:uiPriority w:val="0"/>
    <w:rPr>
      <w:b/>
    </w:rPr>
  </w:style>
  <w:style w:type="paragraph" w:styleId="27">
    <w:name w:val="Body Text First Indent"/>
    <w:basedOn w:val="2"/>
    <w:qFormat/>
    <w:locked/>
    <w:uiPriority w:val="0"/>
    <w:pPr>
      <w:ind w:firstLine="420" w:firstLineChars="100"/>
    </w:pPr>
    <w:rPr>
      <w:rFonts w:ascii="Calibri"/>
      <w:szCs w:val="22"/>
    </w:rPr>
  </w:style>
  <w:style w:type="paragraph" w:styleId="28">
    <w:name w:val="Body Text First Indent 2"/>
    <w:basedOn w:val="10"/>
    <w:next w:val="29"/>
    <w:link w:val="70"/>
    <w:autoRedefine/>
    <w:qFormat/>
    <w:locked/>
    <w:uiPriority w:val="0"/>
    <w:pPr>
      <w:ind w:firstLine="420" w:firstLineChars="200"/>
    </w:pPr>
    <w:rPr>
      <w:rFonts w:ascii="Calibri" w:hAnsi="Calibri" w:eastAsia="楷体_GB2312"/>
      <w:color w:val="000000"/>
      <w:kern w:val="2"/>
      <w:sz w:val="21"/>
    </w:rPr>
  </w:style>
  <w:style w:type="paragraph" w:customStyle="1" w:styleId="29">
    <w:name w:val="Default"/>
    <w:basedOn w:val="30"/>
    <w:autoRedefine/>
    <w:qFormat/>
    <w:uiPriority w:val="0"/>
    <w:pPr>
      <w:widowControl w:val="0"/>
      <w:autoSpaceDE w:val="0"/>
      <w:autoSpaceDN w:val="0"/>
      <w:adjustRightInd w:val="0"/>
    </w:pPr>
    <w:rPr>
      <w:rFonts w:ascii=".." w:hAnsi="Times New Roman" w:eastAsia=".." w:cs=".."/>
      <w:color w:val="000000"/>
      <w:sz w:val="24"/>
      <w:szCs w:val="24"/>
      <w:lang w:val="en-US" w:eastAsia="zh-CN" w:bidi="ar-SA"/>
    </w:rPr>
  </w:style>
  <w:style w:type="paragraph" w:customStyle="1" w:styleId="30">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table" w:styleId="32">
    <w:name w:val="Table Grid"/>
    <w:basedOn w:val="3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autoRedefine/>
    <w:qFormat/>
    <w:locked/>
    <w:uiPriority w:val="0"/>
    <w:rPr>
      <w:rFonts w:ascii="Times New Roman" w:hAnsi="Times New Roman" w:eastAsia="宋体" w:cs="Times New Roman"/>
      <w:b/>
      <w:bCs/>
    </w:rPr>
  </w:style>
  <w:style w:type="character" w:styleId="35">
    <w:name w:val="page number"/>
    <w:basedOn w:val="33"/>
    <w:autoRedefine/>
    <w:qFormat/>
    <w:locked/>
    <w:uiPriority w:val="0"/>
  </w:style>
  <w:style w:type="character" w:styleId="36">
    <w:name w:val="Emphasis"/>
    <w:basedOn w:val="33"/>
    <w:autoRedefine/>
    <w:qFormat/>
    <w:locked/>
    <w:uiPriority w:val="0"/>
    <w:rPr>
      <w:i/>
    </w:rPr>
  </w:style>
  <w:style w:type="character" w:styleId="37">
    <w:name w:val="Hyperlink"/>
    <w:basedOn w:val="33"/>
    <w:autoRedefine/>
    <w:unhideWhenUsed/>
    <w:qFormat/>
    <w:locked/>
    <w:uiPriority w:val="99"/>
    <w:rPr>
      <w:color w:val="0000FF"/>
      <w:u w:val="single"/>
    </w:rPr>
  </w:style>
  <w:style w:type="character" w:styleId="38">
    <w:name w:val="annotation reference"/>
    <w:autoRedefine/>
    <w:qFormat/>
    <w:uiPriority w:val="0"/>
    <w:rPr>
      <w:sz w:val="21"/>
    </w:rPr>
  </w:style>
  <w:style w:type="paragraph" w:customStyle="1" w:styleId="39">
    <w:name w:val="BlockQuote"/>
    <w:basedOn w:val="1"/>
    <w:autoRedefine/>
    <w:qFormat/>
    <w:uiPriority w:val="0"/>
    <w:pPr>
      <w:widowControl/>
      <w:spacing w:line="300" w:lineRule="exact"/>
      <w:ind w:left="-96" w:leftChars="-40" w:right="-16" w:firstLine="482" w:firstLineChars="200"/>
      <w:textAlignment w:val="baseline"/>
    </w:pPr>
    <w:rPr>
      <w:rFonts w:ascii="宋体" w:hAnsi="宋体" w:eastAsia="仿宋_GB2312"/>
      <w:sz w:val="28"/>
    </w:rPr>
  </w:style>
  <w:style w:type="character" w:customStyle="1" w:styleId="40">
    <w:name w:val="页脚 字符1"/>
    <w:link w:val="18"/>
    <w:autoRedefine/>
    <w:qFormat/>
    <w:locked/>
    <w:uiPriority w:val="99"/>
    <w:rPr>
      <w:sz w:val="18"/>
    </w:rPr>
  </w:style>
  <w:style w:type="character" w:customStyle="1" w:styleId="41">
    <w:name w:val="日期 字符1"/>
    <w:link w:val="15"/>
    <w:autoRedefine/>
    <w:qFormat/>
    <w:locked/>
    <w:uiPriority w:val="0"/>
    <w:rPr>
      <w:rFonts w:ascii="Times New Roman" w:hAnsi="Times New Roman" w:eastAsia="宋体"/>
      <w:sz w:val="24"/>
    </w:rPr>
  </w:style>
  <w:style w:type="character" w:customStyle="1" w:styleId="42">
    <w:name w:val="页脚 字符"/>
    <w:basedOn w:val="33"/>
    <w:autoRedefine/>
    <w:qFormat/>
    <w:uiPriority w:val="99"/>
  </w:style>
  <w:style w:type="character" w:customStyle="1" w:styleId="43">
    <w:name w:val="普通(网站) 字符"/>
    <w:link w:val="25"/>
    <w:autoRedefine/>
    <w:qFormat/>
    <w:locked/>
    <w:uiPriority w:val="0"/>
    <w:rPr>
      <w:rFonts w:ascii="宋体" w:hAnsi="宋体" w:eastAsia="宋体"/>
      <w:sz w:val="24"/>
    </w:rPr>
  </w:style>
  <w:style w:type="character" w:customStyle="1" w:styleId="44">
    <w:name w:val="正文文本 字符1"/>
    <w:autoRedefine/>
    <w:semiHidden/>
    <w:qFormat/>
    <w:uiPriority w:val="0"/>
    <w:rPr>
      <w:rFonts w:ascii="Times New Roman" w:hAnsi="Times New Roman" w:eastAsia="宋体"/>
      <w:sz w:val="24"/>
    </w:rPr>
  </w:style>
  <w:style w:type="character" w:customStyle="1" w:styleId="45">
    <w:name w:val="正文文本 字符"/>
    <w:link w:val="2"/>
    <w:autoRedefine/>
    <w:qFormat/>
    <w:locked/>
    <w:uiPriority w:val="0"/>
    <w:rPr>
      <w:sz w:val="18"/>
    </w:rPr>
  </w:style>
  <w:style w:type="character" w:customStyle="1" w:styleId="46">
    <w:name w:val="批注文字 字符"/>
    <w:link w:val="9"/>
    <w:autoRedefine/>
    <w:qFormat/>
    <w:locked/>
    <w:uiPriority w:val="0"/>
    <w:rPr>
      <w:rFonts w:ascii="Times New Roman" w:hAnsi="Times New Roman" w:eastAsia="宋体"/>
      <w:sz w:val="24"/>
    </w:rPr>
  </w:style>
  <w:style w:type="character" w:customStyle="1" w:styleId="47">
    <w:name w:val="表格 Char"/>
    <w:link w:val="48"/>
    <w:autoRedefine/>
    <w:qFormat/>
    <w:locked/>
    <w:uiPriority w:val="0"/>
    <w:rPr>
      <w:rFonts w:ascii="宋体"/>
      <w:sz w:val="21"/>
    </w:rPr>
  </w:style>
  <w:style w:type="paragraph" w:customStyle="1" w:styleId="48">
    <w:name w:val="表格"/>
    <w:basedOn w:val="49"/>
    <w:next w:val="1"/>
    <w:link w:val="47"/>
    <w:autoRedefine/>
    <w:qFormat/>
    <w:uiPriority w:val="0"/>
    <w:pPr>
      <w:adjustRightInd w:val="0"/>
      <w:snapToGrid w:val="0"/>
      <w:spacing w:beforeLines="10" w:afterLines="10" w:line="259" w:lineRule="auto"/>
      <w:jc w:val="center"/>
    </w:pPr>
    <w:rPr>
      <w:rFonts w:ascii="宋体"/>
      <w:kern w:val="0"/>
      <w:szCs w:val="20"/>
    </w:rPr>
  </w:style>
  <w:style w:type="paragraph" w:customStyle="1" w:styleId="49">
    <w:name w:val="表格文字"/>
    <w:basedOn w:val="13"/>
    <w:autoRedefine/>
    <w:qFormat/>
    <w:uiPriority w:val="0"/>
    <w:pPr>
      <w:adjustRightInd w:val="0"/>
      <w:snapToGrid w:val="0"/>
      <w:jc w:val="center"/>
    </w:pPr>
    <w:rPr>
      <w:rFonts w:ascii="仿宋_GB2312" w:hAnsi="Arial Black" w:eastAsia="仿宋_GB2312"/>
      <w:kern w:val="44"/>
      <w:sz w:val="24"/>
      <w:szCs w:val="20"/>
    </w:rPr>
  </w:style>
  <w:style w:type="character" w:customStyle="1" w:styleId="50">
    <w:name w:val="日期 字符"/>
    <w:autoRedefine/>
    <w:semiHidden/>
    <w:qFormat/>
    <w:uiPriority w:val="0"/>
    <w:rPr>
      <w:rFonts w:ascii="Times New Roman" w:hAnsi="Times New Roman" w:eastAsia="宋体"/>
      <w:sz w:val="24"/>
    </w:rPr>
  </w:style>
  <w:style w:type="character" w:customStyle="1" w:styleId="51">
    <w:name w:val="批注框文本 字符"/>
    <w:link w:val="17"/>
    <w:autoRedefine/>
    <w:semiHidden/>
    <w:qFormat/>
    <w:locked/>
    <w:uiPriority w:val="0"/>
    <w:rPr>
      <w:rFonts w:ascii="Times New Roman" w:hAnsi="Times New Roman" w:eastAsia="宋体"/>
      <w:sz w:val="18"/>
    </w:rPr>
  </w:style>
  <w:style w:type="character" w:customStyle="1" w:styleId="52">
    <w:name w:val="批注主题 字符"/>
    <w:link w:val="26"/>
    <w:autoRedefine/>
    <w:semiHidden/>
    <w:qFormat/>
    <w:locked/>
    <w:uiPriority w:val="0"/>
    <w:rPr>
      <w:rFonts w:ascii="Times New Roman" w:hAnsi="Times New Roman" w:eastAsia="宋体"/>
      <w:b/>
      <w:kern w:val="2"/>
      <w:sz w:val="24"/>
    </w:rPr>
  </w:style>
  <w:style w:type="character" w:customStyle="1" w:styleId="53">
    <w:name w:val="页眉 字符"/>
    <w:link w:val="19"/>
    <w:autoRedefine/>
    <w:qFormat/>
    <w:locked/>
    <w:uiPriority w:val="0"/>
    <w:rPr>
      <w:sz w:val="18"/>
    </w:rPr>
  </w:style>
  <w:style w:type="character" w:customStyle="1" w:styleId="54">
    <w:name w:val="批注文字 字符1"/>
    <w:autoRedefine/>
    <w:semiHidden/>
    <w:qFormat/>
    <w:uiPriority w:val="0"/>
    <w:rPr>
      <w:rFonts w:ascii="Times New Roman" w:hAnsi="Times New Roman" w:eastAsia="宋体"/>
      <w:sz w:val="24"/>
    </w:rPr>
  </w:style>
  <w:style w:type="character" w:customStyle="1" w:styleId="55">
    <w:name w:val="正文文本缩进 字符"/>
    <w:link w:val="10"/>
    <w:autoRedefine/>
    <w:semiHidden/>
    <w:qFormat/>
    <w:locked/>
    <w:uiPriority w:val="0"/>
    <w:rPr>
      <w:rFonts w:ascii="Times New Roman" w:hAnsi="Times New Roman" w:eastAsia="宋体"/>
      <w:sz w:val="24"/>
    </w:rPr>
  </w:style>
  <w:style w:type="paragraph" w:customStyle="1" w:styleId="56">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7">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58">
    <w:name w:val="表格内文字"/>
    <w:basedOn w:val="1"/>
    <w:autoRedefine/>
    <w:qFormat/>
    <w:uiPriority w:val="0"/>
    <w:pPr>
      <w:widowControl/>
      <w:tabs>
        <w:tab w:val="left" w:pos="0"/>
      </w:tabs>
      <w:snapToGrid w:val="0"/>
      <w:jc w:val="center"/>
    </w:pPr>
    <w:rPr>
      <w:rFonts w:ascii="仿宋_GB2312" w:hAnsi="宋体" w:eastAsia="仿宋_GB2312" w:cs="宋体"/>
      <w:w w:val="90"/>
      <w:kern w:val="18"/>
      <w:sz w:val="24"/>
    </w:rPr>
  </w:style>
  <w:style w:type="character" w:customStyle="1" w:styleId="59">
    <w:name w:val="正文文本 2 字符"/>
    <w:basedOn w:val="33"/>
    <w:link w:val="24"/>
    <w:autoRedefine/>
    <w:qFormat/>
    <w:uiPriority w:val="0"/>
    <w:rPr>
      <w:kern w:val="2"/>
      <w:sz w:val="21"/>
      <w:szCs w:val="24"/>
    </w:rPr>
  </w:style>
  <w:style w:type="character" w:customStyle="1" w:styleId="60">
    <w:name w:val="批注文字 Char"/>
    <w:basedOn w:val="33"/>
    <w:autoRedefine/>
    <w:qFormat/>
    <w:uiPriority w:val="0"/>
    <w:rPr>
      <w:rFonts w:ascii="Calibri" w:hAnsi="Calibri"/>
      <w:kern w:val="2"/>
      <w:sz w:val="21"/>
    </w:rPr>
  </w:style>
  <w:style w:type="paragraph" w:customStyle="1" w:styleId="61">
    <w:name w:val="Table Paragraph"/>
    <w:basedOn w:val="1"/>
    <w:autoRedefine/>
    <w:qFormat/>
    <w:uiPriority w:val="1"/>
    <w:pPr>
      <w:autoSpaceDE w:val="0"/>
      <w:autoSpaceDN w:val="0"/>
      <w:adjustRightInd w:val="0"/>
      <w:jc w:val="left"/>
    </w:pPr>
    <w:rPr>
      <w:rFonts w:ascii="Calibri" w:hAnsi="Calibri"/>
      <w:kern w:val="0"/>
      <w:sz w:val="24"/>
    </w:rPr>
  </w:style>
  <w:style w:type="paragraph" w:customStyle="1" w:styleId="62">
    <w:name w:val="图表文字"/>
    <w:basedOn w:val="1"/>
    <w:link w:val="65"/>
    <w:autoRedefine/>
    <w:qFormat/>
    <w:uiPriority w:val="0"/>
    <w:pPr>
      <w:spacing w:line="300" w:lineRule="exact"/>
      <w:jc w:val="center"/>
    </w:pPr>
    <w:rPr>
      <w:rFonts w:ascii="Calibri" w:hAnsi="Calibri"/>
      <w:bCs/>
      <w:szCs w:val="20"/>
    </w:rPr>
  </w:style>
  <w:style w:type="paragraph" w:customStyle="1" w:styleId="63">
    <w:name w:val="我的样式（正文）"/>
    <w:basedOn w:val="1"/>
    <w:autoRedefine/>
    <w:qFormat/>
    <w:uiPriority w:val="0"/>
    <w:pPr>
      <w:spacing w:line="440" w:lineRule="exact"/>
    </w:pPr>
    <w:rPr>
      <w:rFonts w:ascii="宋体" w:hAnsi="Calibri"/>
      <w:sz w:val="28"/>
    </w:rPr>
  </w:style>
  <w:style w:type="character" w:customStyle="1" w:styleId="64">
    <w:name w:val="正文缩进 字符"/>
    <w:basedOn w:val="33"/>
    <w:link w:val="7"/>
    <w:autoRedefine/>
    <w:qFormat/>
    <w:uiPriority w:val="0"/>
    <w:rPr>
      <w:rFonts w:ascii="Calibri" w:hAnsi="Calibri"/>
      <w:kern w:val="2"/>
      <w:sz w:val="21"/>
    </w:rPr>
  </w:style>
  <w:style w:type="character" w:customStyle="1" w:styleId="65">
    <w:name w:val="图表文字 Char"/>
    <w:link w:val="62"/>
    <w:autoRedefine/>
    <w:qFormat/>
    <w:uiPriority w:val="0"/>
    <w:rPr>
      <w:rFonts w:ascii="Calibri" w:hAnsi="Calibri"/>
      <w:bCs/>
      <w:kern w:val="2"/>
      <w:sz w:val="21"/>
    </w:rPr>
  </w:style>
  <w:style w:type="character" w:customStyle="1" w:styleId="66">
    <w:name w:val="标题 2 字符"/>
    <w:basedOn w:val="33"/>
    <w:link w:val="4"/>
    <w:autoRedefine/>
    <w:semiHidden/>
    <w:qFormat/>
    <w:uiPriority w:val="0"/>
    <w:rPr>
      <w:rFonts w:asciiTheme="majorHAnsi" w:hAnsiTheme="majorHAnsi" w:eastAsiaTheme="majorEastAsia" w:cstheme="majorBidi"/>
      <w:b/>
      <w:bCs/>
      <w:kern w:val="2"/>
      <w:sz w:val="32"/>
      <w:szCs w:val="32"/>
    </w:rPr>
  </w:style>
  <w:style w:type="character" w:customStyle="1" w:styleId="67">
    <w:name w:val="纯文本 字符"/>
    <w:basedOn w:val="33"/>
    <w:link w:val="13"/>
    <w:autoRedefine/>
    <w:qFormat/>
    <w:uiPriority w:val="0"/>
    <w:rPr>
      <w:rFonts w:ascii="宋体" w:hAnsi="Courier New"/>
      <w:kern w:val="2"/>
      <w:sz w:val="21"/>
    </w:rPr>
  </w:style>
  <w:style w:type="character" w:customStyle="1" w:styleId="68">
    <w:name w:val="正文文本缩进 2 字符"/>
    <w:basedOn w:val="33"/>
    <w:link w:val="16"/>
    <w:autoRedefine/>
    <w:qFormat/>
    <w:uiPriority w:val="0"/>
    <w:rPr>
      <w:rFonts w:ascii="宋体" w:hAnsi="Calibri"/>
      <w:bCs/>
      <w:kern w:val="2"/>
      <w:sz w:val="24"/>
    </w:rPr>
  </w:style>
  <w:style w:type="character" w:customStyle="1" w:styleId="69">
    <w:name w:val="正文文本缩进 3 字符"/>
    <w:basedOn w:val="33"/>
    <w:link w:val="22"/>
    <w:autoRedefine/>
    <w:qFormat/>
    <w:uiPriority w:val="0"/>
    <w:rPr>
      <w:rFonts w:ascii="宋体" w:hAnsi="宋体"/>
      <w:kern w:val="2"/>
      <w:sz w:val="24"/>
    </w:rPr>
  </w:style>
  <w:style w:type="character" w:customStyle="1" w:styleId="70">
    <w:name w:val="正文文本首行缩进 2 字符"/>
    <w:basedOn w:val="55"/>
    <w:link w:val="28"/>
    <w:autoRedefine/>
    <w:qFormat/>
    <w:uiPriority w:val="0"/>
    <w:rPr>
      <w:rFonts w:ascii="Calibri" w:hAnsi="Calibri" w:eastAsia="楷体_GB2312"/>
      <w:color w:val="000000"/>
      <w:kern w:val="2"/>
      <w:sz w:val="21"/>
    </w:rPr>
  </w:style>
  <w:style w:type="paragraph" w:customStyle="1" w:styleId="71">
    <w:name w:val="Body Text 21"/>
    <w:basedOn w:val="1"/>
    <w:autoRedefine/>
    <w:qFormat/>
    <w:uiPriority w:val="0"/>
    <w:pPr>
      <w:textAlignment w:val="baseline"/>
    </w:pPr>
    <w:rPr>
      <w:rFonts w:ascii="Calibri" w:hAnsi="Calibri"/>
      <w:color w:val="000000"/>
      <w:sz w:val="24"/>
      <w:szCs w:val="20"/>
    </w:rPr>
  </w:style>
  <w:style w:type="paragraph" w:customStyle="1" w:styleId="72">
    <w:name w:val="图文框"/>
    <w:basedOn w:val="1"/>
    <w:autoRedefine/>
    <w:qFormat/>
    <w:uiPriority w:val="0"/>
    <w:pPr>
      <w:adjustRightInd w:val="0"/>
      <w:snapToGrid w:val="0"/>
      <w:jc w:val="center"/>
    </w:pPr>
    <w:rPr>
      <w:rFonts w:ascii="宋体" w:hAnsi="宋体"/>
      <w:color w:val="000000"/>
      <w:sz w:val="18"/>
    </w:rPr>
  </w:style>
  <w:style w:type="paragraph" w:customStyle="1" w:styleId="73">
    <w:name w:val="表"/>
    <w:basedOn w:val="1"/>
    <w:autoRedefine/>
    <w:qFormat/>
    <w:uiPriority w:val="0"/>
    <w:pPr>
      <w:keepNext/>
      <w:keepLines/>
      <w:adjustRightInd w:val="0"/>
      <w:spacing w:before="60"/>
      <w:jc w:val="center"/>
    </w:pPr>
    <w:rPr>
      <w:rFonts w:ascii="Calibri" w:hAnsi="Calibri" w:eastAsia="仿宋_GB2312"/>
      <w:kern w:val="21"/>
      <w:sz w:val="24"/>
      <w:szCs w:val="20"/>
    </w:rPr>
  </w:style>
  <w:style w:type="paragraph" w:customStyle="1" w:styleId="74">
    <w:name w:val="p0"/>
    <w:basedOn w:val="1"/>
    <w:autoRedefine/>
    <w:qFormat/>
    <w:uiPriority w:val="0"/>
    <w:pPr>
      <w:widowControl/>
    </w:pPr>
    <w:rPr>
      <w:rFonts w:ascii="Calibri" w:hAnsi="Calibri"/>
      <w:kern w:val="0"/>
      <w:szCs w:val="21"/>
    </w:rPr>
  </w:style>
  <w:style w:type="paragraph" w:customStyle="1" w:styleId="75">
    <w:name w:val="表格标题"/>
    <w:basedOn w:val="1"/>
    <w:autoRedefine/>
    <w:qFormat/>
    <w:uiPriority w:val="0"/>
    <w:pPr>
      <w:adjustRightInd w:val="0"/>
      <w:spacing w:before="120" w:line="360" w:lineRule="auto"/>
      <w:jc w:val="center"/>
    </w:pPr>
    <w:rPr>
      <w:rFonts w:ascii="Calibri" w:hAnsi="Calibri" w:eastAsia="文鼎CS中宋"/>
      <w:kern w:val="0"/>
      <w:sz w:val="24"/>
      <w:szCs w:val="20"/>
    </w:rPr>
  </w:style>
  <w:style w:type="paragraph" w:customStyle="1" w:styleId="76">
    <w:name w:val="文本框样式"/>
    <w:basedOn w:val="1"/>
    <w:autoRedefine/>
    <w:qFormat/>
    <w:uiPriority w:val="0"/>
    <w:pPr>
      <w:jc w:val="center"/>
    </w:pPr>
    <w:rPr>
      <w:rFonts w:ascii="Calibri" w:hAnsi="Calibri"/>
      <w:szCs w:val="21"/>
    </w:rPr>
  </w:style>
  <w:style w:type="paragraph" w:customStyle="1" w:styleId="77">
    <w:name w:val="图标题"/>
    <w:basedOn w:val="1"/>
    <w:autoRedefine/>
    <w:qFormat/>
    <w:uiPriority w:val="0"/>
    <w:pPr>
      <w:spacing w:line="300" w:lineRule="exact"/>
    </w:pPr>
    <w:rPr>
      <w:rFonts w:ascii="仿宋_GB2312" w:hAnsi="Calibri" w:eastAsia="仿宋_GB2312"/>
      <w:b/>
      <w:bCs/>
      <w:sz w:val="24"/>
    </w:rPr>
  </w:style>
  <w:style w:type="character" w:customStyle="1" w:styleId="78">
    <w:name w:val="font11"/>
    <w:basedOn w:val="33"/>
    <w:autoRedefine/>
    <w:qFormat/>
    <w:uiPriority w:val="0"/>
    <w:rPr>
      <w:rFonts w:hint="eastAsia" w:ascii="宋体" w:hAnsi="宋体" w:eastAsia="宋体" w:cs="宋体"/>
      <w:color w:val="000000"/>
      <w:sz w:val="18"/>
      <w:szCs w:val="18"/>
      <w:u w:val="none"/>
    </w:rPr>
  </w:style>
  <w:style w:type="character" w:customStyle="1" w:styleId="79">
    <w:name w:val="font21"/>
    <w:basedOn w:val="33"/>
    <w:autoRedefine/>
    <w:qFormat/>
    <w:uiPriority w:val="0"/>
    <w:rPr>
      <w:rFonts w:hint="default" w:ascii="TimesNewRomanPSMT" w:hAnsi="TimesNewRomanPSMT" w:eastAsia="TimesNewRomanPSMT" w:cs="TimesNewRomanPSMT"/>
      <w:color w:val="000000"/>
      <w:sz w:val="18"/>
      <w:szCs w:val="18"/>
      <w:u w:val="none"/>
    </w:rPr>
  </w:style>
  <w:style w:type="paragraph" w:customStyle="1" w:styleId="80">
    <w:name w:val="xl2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81">
    <w:name w:val="Other|1"/>
    <w:basedOn w:val="1"/>
    <w:autoRedefine/>
    <w:qFormat/>
    <w:uiPriority w:val="0"/>
    <w:rPr>
      <w:rFonts w:ascii="MingLiU" w:hAnsi="MingLiU" w:eastAsia="MingLiU" w:cs="MingLiU"/>
      <w:sz w:val="19"/>
      <w:szCs w:val="19"/>
      <w:lang w:val="zh-TW" w:eastAsia="zh-TW" w:bidi="zh-TW"/>
    </w:rPr>
  </w:style>
  <w:style w:type="paragraph" w:customStyle="1" w:styleId="82">
    <w:name w:val="Body text|1"/>
    <w:basedOn w:val="1"/>
    <w:autoRedefine/>
    <w:qFormat/>
    <w:uiPriority w:val="0"/>
    <w:pPr>
      <w:spacing w:after="180" w:line="413" w:lineRule="auto"/>
    </w:pPr>
    <w:rPr>
      <w:rFonts w:ascii="宋体" w:hAnsi="宋体" w:cs="宋体"/>
      <w:szCs w:val="20"/>
      <w:lang w:val="zh-TW" w:eastAsia="zh-TW" w:bidi="zh-TW"/>
    </w:rPr>
  </w:style>
  <w:style w:type="paragraph" w:customStyle="1" w:styleId="83">
    <w:name w:val="Table caption|1"/>
    <w:basedOn w:val="1"/>
    <w:autoRedefine/>
    <w:qFormat/>
    <w:uiPriority w:val="0"/>
    <w:rPr>
      <w:rFonts w:ascii="MingLiU" w:hAnsi="MingLiU" w:eastAsia="MingLiU" w:cs="MingLiU"/>
      <w:sz w:val="19"/>
      <w:szCs w:val="19"/>
      <w:lang w:val="zh-TW" w:eastAsia="zh-TW" w:bidi="zh-TW"/>
    </w:rPr>
  </w:style>
  <w:style w:type="character" w:customStyle="1" w:styleId="84">
    <w:name w:val="批注框文本 Char"/>
    <w:basedOn w:val="33"/>
    <w:autoRedefine/>
    <w:qFormat/>
    <w:uiPriority w:val="0"/>
    <w:rPr>
      <w:rFonts w:ascii="Calibri" w:hAnsi="Calibri"/>
      <w:kern w:val="2"/>
      <w:sz w:val="18"/>
      <w:szCs w:val="18"/>
    </w:rPr>
  </w:style>
  <w:style w:type="character" w:styleId="85">
    <w:name w:val="Placeholder Text"/>
    <w:basedOn w:val="33"/>
    <w:autoRedefine/>
    <w:unhideWhenUsed/>
    <w:qFormat/>
    <w:uiPriority w:val="99"/>
    <w:rPr>
      <w:color w:val="808080"/>
    </w:rPr>
  </w:style>
  <w:style w:type="paragraph" w:styleId="86">
    <w:name w:val="List Paragraph"/>
    <w:basedOn w:val="1"/>
    <w:autoRedefine/>
    <w:unhideWhenUsed/>
    <w:qFormat/>
    <w:uiPriority w:val="99"/>
    <w:pPr>
      <w:ind w:firstLine="420" w:firstLineChars="200"/>
    </w:pPr>
    <w:rPr>
      <w:rFonts w:ascii="Calibri" w:hAnsi="Calibri"/>
      <w:szCs w:val="20"/>
    </w:rPr>
  </w:style>
  <w:style w:type="character" w:customStyle="1" w:styleId="87">
    <w:name w:val="批注主题 Char"/>
    <w:basedOn w:val="60"/>
    <w:autoRedefine/>
    <w:qFormat/>
    <w:uiPriority w:val="0"/>
    <w:rPr>
      <w:rFonts w:ascii="Calibri" w:hAnsi="Calibri"/>
      <w:kern w:val="2"/>
      <w:sz w:val="21"/>
    </w:rPr>
  </w:style>
  <w:style w:type="character" w:customStyle="1" w:styleId="88">
    <w:name w:val="页眉 Char"/>
    <w:basedOn w:val="33"/>
    <w:autoRedefine/>
    <w:qFormat/>
    <w:uiPriority w:val="0"/>
    <w:rPr>
      <w:rFonts w:ascii="Calibri" w:hAnsi="Calibri"/>
      <w:kern w:val="2"/>
      <w:sz w:val="18"/>
      <w:szCs w:val="24"/>
    </w:rPr>
  </w:style>
  <w:style w:type="paragraph" w:customStyle="1" w:styleId="89">
    <w:name w:val="样式 自动设置"/>
    <w:basedOn w:val="1"/>
    <w:autoRedefine/>
    <w:qFormat/>
    <w:uiPriority w:val="0"/>
    <w:pPr>
      <w:autoSpaceDE w:val="0"/>
      <w:autoSpaceDN w:val="0"/>
      <w:adjustRightInd w:val="0"/>
      <w:snapToGrid w:val="0"/>
      <w:spacing w:beforeLines="50" w:line="288" w:lineRule="auto"/>
      <w:ind w:firstLine="200" w:firstLineChars="200"/>
    </w:pPr>
    <w:rPr>
      <w:rFonts w:cs="宋体"/>
      <w:sz w:val="24"/>
      <w:szCs w:val="20"/>
    </w:rPr>
  </w:style>
  <w:style w:type="paragraph" w:customStyle="1" w:styleId="90">
    <w:name w:val="+正文"/>
    <w:basedOn w:val="1"/>
    <w:autoRedefine/>
    <w:qFormat/>
    <w:uiPriority w:val="0"/>
    <w:pPr>
      <w:spacing w:line="360" w:lineRule="auto"/>
      <w:ind w:firstLine="200" w:firstLineChars="200"/>
    </w:pPr>
    <w:rPr>
      <w:sz w:val="24"/>
      <w:szCs w:val="22"/>
    </w:rPr>
  </w:style>
  <w:style w:type="paragraph" w:customStyle="1" w:styleId="91">
    <w:name w:val="1  正文"/>
    <w:basedOn w:val="1"/>
    <w:autoRedefine/>
    <w:qFormat/>
    <w:uiPriority w:val="0"/>
    <w:pPr>
      <w:spacing w:line="360" w:lineRule="auto"/>
      <w:ind w:firstLine="480" w:firstLineChars="200"/>
    </w:pPr>
    <w:rPr>
      <w:sz w:val="24"/>
    </w:rPr>
  </w:style>
  <w:style w:type="paragraph" w:customStyle="1" w:styleId="92">
    <w:name w:val="列出段落1"/>
    <w:basedOn w:val="1"/>
    <w:autoRedefine/>
    <w:qFormat/>
    <w:uiPriority w:val="0"/>
    <w:pPr>
      <w:ind w:firstLine="420" w:firstLineChars="200"/>
    </w:pPr>
    <w:rPr>
      <w:szCs w:val="20"/>
    </w:rPr>
  </w:style>
  <w:style w:type="paragraph" w:customStyle="1" w:styleId="93">
    <w:name w:val="表内文字"/>
    <w:basedOn w:val="1"/>
    <w:autoRedefine/>
    <w:qFormat/>
    <w:uiPriority w:val="0"/>
    <w:pPr>
      <w:jc w:val="center"/>
    </w:pPr>
    <w:rPr>
      <w:sz w:val="24"/>
    </w:rPr>
  </w:style>
  <w:style w:type="paragraph" w:customStyle="1" w:styleId="94">
    <w:name w:val="报告表正文"/>
    <w:basedOn w:val="95"/>
    <w:autoRedefine/>
    <w:qFormat/>
    <w:uiPriority w:val="0"/>
    <w:pPr>
      <w:ind w:firstLine="200" w:firstLineChars="200"/>
      <w:jc w:val="left"/>
    </w:pPr>
    <w:rPr>
      <w:rFonts w:ascii="Times New Roman" w:hAnsi="Times New Roman"/>
      <w:szCs w:val="24"/>
    </w:rPr>
  </w:style>
  <w:style w:type="paragraph" w:customStyle="1" w:styleId="95">
    <w:name w:val="列表1"/>
    <w:basedOn w:val="1"/>
    <w:autoRedefine/>
    <w:qFormat/>
    <w:uiPriority w:val="0"/>
    <w:pPr>
      <w:spacing w:line="400" w:lineRule="exact"/>
      <w:jc w:val="center"/>
    </w:pPr>
    <w:rPr>
      <w:rFonts w:ascii="宋体" w:hAnsi="宋体" w:eastAsia="仿宋_GB2312"/>
      <w:sz w:val="24"/>
      <w:szCs w:val="20"/>
    </w:rPr>
  </w:style>
  <w:style w:type="character" w:customStyle="1" w:styleId="96">
    <w:name w:val="font31"/>
    <w:basedOn w:val="33"/>
    <w:autoRedefine/>
    <w:qFormat/>
    <w:uiPriority w:val="0"/>
    <w:rPr>
      <w:rFonts w:hint="eastAsia" w:ascii="宋体" w:hAnsi="宋体" w:eastAsia="宋体" w:cs="宋体"/>
      <w:color w:val="000000"/>
      <w:sz w:val="24"/>
      <w:szCs w:val="24"/>
      <w:u w:val="none"/>
    </w:rPr>
  </w:style>
  <w:style w:type="paragraph" w:customStyle="1" w:styleId="97">
    <w:name w:val="3表格正文"/>
    <w:basedOn w:val="1"/>
    <w:autoRedefine/>
    <w:qFormat/>
    <w:uiPriority w:val="0"/>
    <w:pPr>
      <w:widowControl w:val="0"/>
      <w:adjustRightInd w:val="0"/>
      <w:snapToGrid w:val="0"/>
      <w:jc w:val="center"/>
    </w:pPr>
    <w:rPr>
      <w:rFonts w:ascii="Times New Roman" w:hAnsi="Times New Roman" w:eastAsia="宋体" w:cs="Times New Roman"/>
      <w:bCs/>
      <w:color w:val="FF0000"/>
      <w:kern w:val="2"/>
      <w:sz w:val="21"/>
      <w:szCs w:val="21"/>
    </w:rPr>
  </w:style>
  <w:style w:type="paragraph" w:customStyle="1" w:styleId="98">
    <w:name w:val="正文11"/>
    <w:basedOn w:val="1"/>
    <w:autoRedefine/>
    <w:qFormat/>
    <w:uiPriority w:val="0"/>
    <w:pPr>
      <w:widowControl w:val="0"/>
      <w:autoSpaceDE w:val="0"/>
      <w:autoSpaceDN w:val="0"/>
      <w:snapToGrid w:val="0"/>
      <w:spacing w:before="240" w:line="520" w:lineRule="atLeast"/>
      <w:ind w:firstLine="510"/>
      <w:jc w:val="both"/>
    </w:pPr>
    <w:rPr>
      <w:rFonts w:cs="Times New Roman"/>
      <w:szCs w:val="20"/>
    </w:rPr>
  </w:style>
  <w:style w:type="paragraph" w:customStyle="1" w:styleId="99">
    <w:name w:val="第一、五章 表格正文"/>
    <w:basedOn w:val="9"/>
    <w:autoRedefine/>
    <w:qFormat/>
    <w:uiPriority w:val="0"/>
    <w:pPr>
      <w:jc w:val="center"/>
    </w:pPr>
    <w:rPr>
      <w:rFonts w:eastAsia="仿宋_GB2312"/>
    </w:rPr>
  </w:style>
  <w:style w:type="paragraph" w:customStyle="1" w:styleId="100">
    <w:name w:val="Z嵌套表格内容"/>
    <w:basedOn w:val="1"/>
    <w:autoRedefine/>
    <w:qFormat/>
    <w:uiPriority w:val="0"/>
    <w:pPr>
      <w:jc w:val="center"/>
    </w:pPr>
  </w:style>
  <w:style w:type="paragraph" w:customStyle="1" w:styleId="101">
    <w:name w:val="Z表格标题"/>
    <w:basedOn w:val="1"/>
    <w:next w:val="1"/>
    <w:autoRedefine/>
    <w:qFormat/>
    <w:uiPriority w:val="0"/>
    <w:pPr>
      <w:widowControl/>
      <w:spacing w:line="490" w:lineRule="exact"/>
      <w:jc w:val="center"/>
    </w:pPr>
    <w:rPr>
      <w:rFonts w:ascii="Times New Roman" w:hAnsi="Times New Roman" w:cs="宋体"/>
      <w:b/>
      <w:kern w:val="0"/>
      <w:sz w:val="24"/>
      <w:szCs w:val="24"/>
    </w:rPr>
  </w:style>
  <w:style w:type="paragraph" w:customStyle="1" w:styleId="102">
    <w:name w:val="文本正文"/>
    <w:basedOn w:val="1"/>
    <w:autoRedefine/>
    <w:qFormat/>
    <w:uiPriority w:val="0"/>
    <w:pPr>
      <w:autoSpaceDE w:val="0"/>
      <w:autoSpaceDN w:val="0"/>
      <w:adjustRightInd w:val="0"/>
      <w:spacing w:line="360" w:lineRule="auto"/>
      <w:ind w:firstLine="200" w:firstLineChars="200"/>
      <w:textAlignment w:val="baseline"/>
    </w:pPr>
    <w:rPr>
      <w:rFonts w:ascii="宋体" w:hAnsi="宋体"/>
      <w:snapToGrid w:val="0"/>
      <w:color w:val="000000"/>
      <w:spacing w:val="4"/>
      <w:kern w:val="18"/>
      <w:sz w:val="24"/>
    </w:rPr>
  </w:style>
  <w:style w:type="paragraph" w:customStyle="1" w:styleId="103">
    <w:name w:val="无间隔11"/>
    <w:autoRedefine/>
    <w:qFormat/>
    <w:uiPriority w:val="0"/>
    <w:pPr>
      <w:widowControl w:val="0"/>
    </w:pPr>
    <w:rPr>
      <w:rFonts w:ascii="宋体" w:hAnsi="Courier New" w:eastAsia="仿宋_GB2312" w:cs="Times New Roman"/>
      <w:kern w:val="2"/>
      <w:sz w:val="24"/>
      <w:lang w:val="en-US" w:eastAsia="zh-CN" w:bidi="ar-SA"/>
    </w:rPr>
  </w:style>
  <w:style w:type="paragraph" w:customStyle="1" w:styleId="104">
    <w:name w:val="a四级标题"/>
    <w:basedOn w:val="1"/>
    <w:autoRedefine/>
    <w:qFormat/>
    <w:uiPriority w:val="0"/>
    <w:pPr>
      <w:spacing w:line="360" w:lineRule="auto"/>
    </w:pPr>
    <w:rPr>
      <w:rFonts w:ascii="Times New Roman"/>
      <w:b/>
    </w:rPr>
  </w:style>
  <w:style w:type="paragraph" w:customStyle="1" w:styleId="105">
    <w:name w:val="陈表格标题"/>
    <w:basedOn w:val="1"/>
    <w:autoRedefine/>
    <w:qFormat/>
    <w:uiPriority w:val="0"/>
    <w:pPr>
      <w:adjustRightInd w:val="0"/>
      <w:snapToGrid w:val="0"/>
      <w:spacing w:line="240" w:lineRule="auto"/>
      <w:ind w:firstLine="720"/>
      <w:jc w:val="center"/>
    </w:pPr>
    <w:rPr>
      <w:b/>
      <w:kern w:val="0"/>
      <w:szCs w:val="20"/>
    </w:rPr>
  </w:style>
  <w:style w:type="paragraph" w:customStyle="1" w:styleId="106">
    <w:name w:val="陈表格"/>
    <w:basedOn w:val="1"/>
    <w:autoRedefine/>
    <w:qFormat/>
    <w:uiPriority w:val="0"/>
    <w:pPr>
      <w:adjustRightInd w:val="0"/>
      <w:snapToGrid w:val="0"/>
      <w:spacing w:line="240" w:lineRule="auto"/>
      <w:ind w:firstLine="0" w:firstLineChars="0"/>
      <w:jc w:val="center"/>
    </w:pPr>
    <w:rPr>
      <w:kern w:val="0"/>
      <w:szCs w:val="20"/>
    </w:rPr>
  </w:style>
  <w:style w:type="paragraph" w:customStyle="1" w:styleId="107">
    <w:name w:val="表头"/>
    <w:basedOn w:val="108"/>
    <w:next w:val="1"/>
    <w:autoRedefine/>
    <w:qFormat/>
    <w:uiPriority w:val="0"/>
    <w:pPr>
      <w:adjustRightInd w:val="0"/>
      <w:spacing w:line="240" w:lineRule="auto"/>
      <w:ind w:firstLine="0" w:firstLineChars="0"/>
      <w:jc w:val="center"/>
    </w:pPr>
    <w:rPr>
      <w:b/>
    </w:rPr>
  </w:style>
  <w:style w:type="paragraph" w:customStyle="1" w:styleId="108">
    <w:name w:val="图表"/>
    <w:basedOn w:val="1"/>
    <w:qFormat/>
    <w:uiPriority w:val="0"/>
    <w:pPr>
      <w:adjustRightInd w:val="0"/>
      <w:snapToGrid w:val="0"/>
      <w:jc w:val="center"/>
    </w:pPr>
    <w:rPr>
      <w:color w:val="000000"/>
      <w:szCs w:val="22"/>
      <w:lang w:val="zh-CN"/>
    </w:rPr>
  </w:style>
  <w:style w:type="paragraph" w:customStyle="1" w:styleId="109">
    <w:name w:val="a表"/>
    <w:basedOn w:val="1"/>
    <w:autoRedefine/>
    <w:qFormat/>
    <w:uiPriority w:val="0"/>
    <w:pPr>
      <w:snapToGrid w:val="0"/>
      <w:spacing w:line="240" w:lineRule="auto"/>
      <w:ind w:firstLine="0" w:firstLineChars="0"/>
      <w:jc w:val="center"/>
    </w:pPr>
    <w:rPr>
      <w:spacing w:val="2"/>
      <w:szCs w:val="22"/>
    </w:rPr>
  </w:style>
  <w:style w:type="paragraph" w:customStyle="1" w:styleId="110">
    <w:name w:val="1表格"/>
    <w:basedOn w:val="1"/>
    <w:qFormat/>
    <w:uiPriority w:val="0"/>
    <w:pPr>
      <w:spacing w:line="160" w:lineRule="atLeast"/>
      <w:jc w:val="center"/>
    </w:pPr>
    <w:rPr>
      <w:rFonts w:ascii="Calibri" w:hAnsi="Calibri" w:eastAsia="仿宋_GB2312"/>
    </w:rPr>
  </w:style>
  <w:style w:type="paragraph" w:customStyle="1" w:styleId="111">
    <w:name w:val="表题"/>
    <w:basedOn w:val="21"/>
    <w:autoRedefine/>
    <w:qFormat/>
    <w:uiPriority w:val="0"/>
    <w:pPr>
      <w:spacing w:beforeLines="50" w:line="480" w:lineRule="exact"/>
    </w:pPr>
    <w:rPr>
      <w:rFonts w:ascii="Times New Roman" w:eastAsia="黑体"/>
      <w:szCs w:val="24"/>
    </w:rPr>
  </w:style>
  <w:style w:type="paragraph" w:customStyle="1" w:styleId="112">
    <w:name w:val="正文加粗"/>
    <w:basedOn w:val="94"/>
    <w:qFormat/>
    <w:uiPriority w:val="0"/>
    <w:pPr>
      <w:ind w:firstLine="482"/>
    </w:pPr>
    <w:rPr>
      <w:b/>
      <w:snapToGrid w:val="0"/>
    </w:rPr>
  </w:style>
  <w:style w:type="paragraph" w:customStyle="1" w:styleId="113">
    <w:name w:val="表格中文字"/>
    <w:basedOn w:val="1"/>
    <w:qFormat/>
    <w:uiPriority w:val="0"/>
    <w:pPr>
      <w:adjustRightInd w:val="0"/>
      <w:snapToGrid w:val="0"/>
      <w:jc w:val="center"/>
    </w:pPr>
    <w:rPr>
      <w:kern w:val="18"/>
      <w:szCs w:val="21"/>
    </w:rPr>
  </w:style>
  <w:style w:type="paragraph" w:customStyle="1" w:styleId="114">
    <w:name w:val="表格 首行文字"/>
    <w:qFormat/>
    <w:uiPriority w:val="0"/>
    <w:pPr>
      <w:adjustRightInd w:val="0"/>
      <w:snapToGrid w:val="0"/>
      <w:jc w:val="center"/>
    </w:pPr>
    <w:rPr>
      <w:rFonts w:ascii="Times New Roman" w:hAnsi="Times New Roman" w:eastAsia="仿宋_GB2312" w:cs="Times New Roman"/>
      <w:b/>
      <w:kern w:val="2"/>
      <w:sz w:val="21"/>
      <w:szCs w:val="22"/>
      <w:lang w:val="en-US" w:eastAsia="zh-CN" w:bidi="ar-SA"/>
    </w:rPr>
  </w:style>
  <w:style w:type="paragraph" w:customStyle="1" w:styleId="115">
    <w:name w:val="表格普通"/>
    <w:basedOn w:val="1"/>
    <w:qFormat/>
    <w:uiPriority w:val="0"/>
    <w:pPr>
      <w:jc w:val="center"/>
    </w:pPr>
    <w:rPr>
      <w:rFonts w:eastAsia="仿宋_GB2312"/>
      <w:szCs w:val="21"/>
    </w:rPr>
  </w:style>
  <w:style w:type="paragraph" w:customStyle="1" w:styleId="116">
    <w:name w:val="！表格文字"/>
    <w:basedOn w:val="117"/>
    <w:qFormat/>
    <w:uiPriority w:val="0"/>
    <w:pPr>
      <w:tabs>
        <w:tab w:val="left" w:pos="277"/>
        <w:tab w:val="left" w:pos="600"/>
        <w:tab w:val="left" w:pos="780"/>
        <w:tab w:val="left" w:pos="2517"/>
      </w:tabs>
    </w:pPr>
    <w:rPr>
      <w:bCs/>
    </w:rPr>
  </w:style>
  <w:style w:type="paragraph" w:customStyle="1" w:styleId="117">
    <w:name w:val="表格的文字"/>
    <w:basedOn w:val="118"/>
    <w:qFormat/>
    <w:uiPriority w:val="99"/>
    <w:pPr>
      <w:tabs>
        <w:tab w:val="left" w:pos="277"/>
        <w:tab w:val="left" w:pos="600"/>
        <w:tab w:val="left" w:pos="780"/>
        <w:tab w:val="left" w:pos="2517"/>
      </w:tabs>
      <w:spacing w:line="240" w:lineRule="auto"/>
      <w:ind w:firstLine="0" w:firstLineChars="0"/>
    </w:pPr>
  </w:style>
  <w:style w:type="paragraph" w:customStyle="1" w:styleId="118">
    <w:name w:val="表格文字2"/>
    <w:basedOn w:val="1"/>
    <w:qFormat/>
    <w:uiPriority w:val="99"/>
    <w:pPr>
      <w:widowControl w:val="0"/>
      <w:tabs>
        <w:tab w:val="left" w:pos="277"/>
        <w:tab w:val="left" w:pos="600"/>
        <w:tab w:val="left" w:pos="780"/>
        <w:tab w:val="left" w:pos="2517"/>
      </w:tabs>
      <w:adjustRightInd w:val="0"/>
      <w:snapToGrid w:val="0"/>
      <w:jc w:val="center"/>
      <w:textAlignment w:val="baseline"/>
    </w:pPr>
    <w:rPr>
      <w:sz w:val="21"/>
      <w:szCs w:val="21"/>
    </w:rPr>
  </w:style>
  <w:style w:type="paragraph" w:customStyle="1" w:styleId="119">
    <w:name w:val="验-表文"/>
    <w:basedOn w:val="120"/>
    <w:qFormat/>
    <w:uiPriority w:val="0"/>
    <w:pPr>
      <w:jc w:val="center"/>
    </w:pPr>
    <w:rPr>
      <w:rFonts w:ascii="Times New Roman" w:hAnsi="Times New Roman"/>
      <w:sz w:val="21"/>
    </w:rPr>
  </w:style>
  <w:style w:type="paragraph" w:customStyle="1" w:styleId="120">
    <w:name w:val="验-正文"/>
    <w:basedOn w:val="1"/>
    <w:qFormat/>
    <w:uiPriority w:val="0"/>
    <w:pPr>
      <w:spacing w:line="240" w:lineRule="auto"/>
      <w:ind w:firstLine="0" w:firstLineChars="0"/>
      <w:jc w:val="center"/>
    </w:pPr>
  </w:style>
  <w:style w:type="paragraph" w:customStyle="1" w:styleId="121">
    <w:name w:val="验-表题"/>
    <w:basedOn w:val="1"/>
    <w:qFormat/>
    <w:uiPriority w:val="0"/>
    <w:pPr>
      <w:spacing w:line="240" w:lineRule="auto"/>
      <w:ind w:firstLine="0" w:firstLineChars="0"/>
      <w:jc w:val="center"/>
    </w:pPr>
    <w:rPr>
      <w:rFonts w:ascii="Times New Roman" w:hAnsi="Times New Roman" w:eastAsia="宋体"/>
      <w:b/>
      <w:sz w:val="21"/>
    </w:rPr>
  </w:style>
  <w:style w:type="paragraph" w:customStyle="1" w:styleId="122">
    <w:name w:val="Char Char Char Char1"/>
    <w:basedOn w:val="1"/>
    <w:qFormat/>
    <w:uiPriority w:val="0"/>
    <w:pPr>
      <w:snapToGrid w:val="0"/>
      <w:spacing w:line="360" w:lineRule="auto"/>
      <w:ind w:firstLine="200" w:firstLineChars="200"/>
    </w:pPr>
    <w:rPr>
      <w:rFonts w:eastAsia="仿宋_GB2312"/>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2.png"/><Relationship Id="rId25" Type="http://schemas.openxmlformats.org/officeDocument/2006/relationships/image" Target="media/image11.wmf"/><Relationship Id="rId24" Type="http://schemas.openxmlformats.org/officeDocument/2006/relationships/oleObject" Target="embeddings/oleObject1.bin"/><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12ae7619-80ac-4422-908b-22af8d07e7ec</errorID>
      <errorWord>(2025)1784号</errorWord>
      <group>L1_Knowledge</group>
      <groupName>知识性问题</groupName>
      <ability>L2_Knowledge</ability>
      <abilityName>其他知识</abilityName>
      <candidateList>
        <item>〔2025〕1784号</item>
      </candidateList>
      <explain>发文字号格式错误</explain>
      <paraID>754AFEEA</paraID>
      <start>4</start>
      <end>15</end>
      <status>modified</status>
      <modifiedWord>〔2025〕1784号</modifiedWord>
      <trackRevisions>false</trackRevisions>
    </reviewItem>
    <reviewItem>
      <errorID>77de5ad8-7bab-43fc-871b-71646be3542d</errorID>
      <errorWord>无需设置</errorWord>
      <group>L1_Word</group>
      <groupName>字词问题</groupName>
      <ability>L2_Alias</ability>
      <abilityName>也作/曾用词</abilityName>
      <candidateList>
        <item>无须设置</item>
      </candidateList>
      <explain>词汇[无需设置]为不规范表述或旧称，其规范书面表述为[无须设置]。</explain>
      <paraID> D73612D</paraID>
      <start>21</start>
      <end>25</end>
      <status>modified</status>
      <modifiedWord>无须设置</modifiedWord>
      <trackRevisions>false</trackRevisions>
    </reviewItem>
    <reviewItem>
      <errorID>54893006-8ce8-45d6-9fea-2853c3ca3e33</errorID>
      <errorWord>无需设置</errorWord>
      <group>L1_Word</group>
      <groupName>字词问题</groupName>
      <ability>L2_Alias</ability>
      <abilityName>也作/曾用词</abilityName>
      <candidateList>
        <item>无须设置</item>
      </candidateList>
      <explain>词汇[无需设置]为不规范表述或旧称，其规范书面表述为[无须设置]。</explain>
      <paraID>57DE8964</paraID>
      <start>27</start>
      <end>31</end>
      <status>modified</status>
      <modifiedWord>无须设置</modifiedWord>
      <trackRevisions>false</trackRevisions>
    </reviewItem>
    <reviewItem>
      <errorID>29d3cf80-81b8-450f-9957-f377a7296e7a</errorID>
      <errorWord>：：</errorWord>
      <group>L1_Punc</group>
      <groupName>标点问题</groupName>
      <ability>L2_Punc</ability>
      <abilityName>标点符号检查</abilityName>
      <candidateList>
        <item>：</item>
      </candidateList>
      <explain/>
      <paraID>704164AD</paraID>
      <start>4</start>
      <end>5</end>
      <status>modified</status>
      <modifiedWord>：</modifiedWord>
      <trackRevisions>false</trackRevisions>
    </reviewItem>
    <reviewItem>
      <errorID>babbb493-ab93-4005-a6d5-3a58e7b661f6</errorID>
      <errorWord>：/</errorWord>
      <group>L1_Punc</group>
      <groupName>标点问题</groupName>
      <ability>L2_Punc</ability>
      <abilityName>标点符号检查</abilityName>
      <candidateList>
        <item>：</item>
      </candidateList>
      <explain/>
      <paraID>4C590C0C</paraID>
      <start>9</start>
      <end>11</end>
      <status>unmodified</status>
      <modifiedWord/>
      <trackRevisions>false</trackRevisions>
    </reviewItem>
    <reviewItem>
      <errorID>0e464671-a914-467d-8704-9574d875549e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12F9809E</paraID>
      <start>37</start>
      <end>38</end>
      <status>unmodified</status>
      <modifiedWord/>
      <trackRevisions>false</trackRevisions>
    </reviewItem>
    <reviewItem>
      <errorID>1349b548-40fb-42ba-8774-d9064ddef244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66EA404B</paraID>
      <start>52</start>
      <end>53</end>
      <status>modified</status>
      <modifiedWord>—</modifiedWord>
      <trackRevisions>false</trackRevisions>
    </reviewItem>
    <reviewItem>
      <errorID>7666b1da-18f2-4834-a387-836900322a39</errorID>
      <errorWord>1、与规划符合性分析</errorWord>
      <group>L1_AI</group>
      <groupName>深度校对</groupName>
      <ability>L2_AI_Title</ability>
      <abilityName>标题检查</abilityName>
      <candidateList/>
      <explain>相邻标题序号不连续。前文一级标题为“一、建设项目基本情况”，后续直接出现“1、与规划符合性分析”，相邻标题序号不连续；且后文“2、与规划环境影响评价符合性分析”也存在同样的相邻标题序号不连续问题</explain>
      <paraID>34C2DC13</paraID>
      <start>0</start>
      <end>10</end>
      <status>unmodified</status>
      <modifiedWord/>
      <trackRevisions>false</trackRevisions>
    </reviewItem>
    <reviewItem>
      <errorID>262e3f0f-8a5c-4d2f-b03a-c7389e01fadf</errorID>
      <errorWord>（</errorWord>
      <group>L1_Punc</group>
      <groupName>标点问题</groupName>
      <ability>L2_Punc</ability>
      <abilityName>标点符号检查</abilityName>
      <candidateList/>
      <explain>同一形式括号套用。</explain>
      <paraID>409043F2</paraID>
      <start>43</start>
      <end>44</end>
      <status>unmodified</status>
      <modifiedWord/>
      <trackRevisions>false</trackRevisions>
    </reviewItem>
    <reviewItem>
      <errorID>a7524b52-dd2d-4d40-8572-4009d410f85b</errorID>
      <errorWord>）</errorWord>
      <group>L1_Punc</group>
      <groupName>标点问题</groupName>
      <ability>L2_Punc</ability>
      <abilityName>标点符号检查</abilityName>
      <candidateList/>
      <explain>同一形式括号套用。</explain>
      <paraID>409043F2</paraID>
      <start>48</start>
      <end>49</end>
      <status>unmodified</status>
      <modifiedWord/>
      <trackRevisions>false</trackRevisions>
    </reviewItem>
    <reviewItem>
      <errorID>71ee2d8a-0545-417c-8332-da6760fab23a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1DE3203C</paraID>
      <start>0</start>
      <end>2</end>
      <status>unmodified</status>
      <modifiedWord/>
      <trackRevisions>false</trackRevisions>
    </reviewItem>
    <reviewItem>
      <errorID>8c21a3aa-3740-450d-b8e8-1eb3948ae0b2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3F5FBE1F</paraID>
      <start>80</start>
      <end>81</end>
      <status>unmodified</status>
      <modifiedWord/>
      <trackRevisions>false</trackRevisions>
    </reviewItem>
    <reviewItem>
      <errorID>4fee299c-2066-4109-a85e-c8fe3e650f56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3F5FBE1F</paraID>
      <start>138</start>
      <end>139</end>
      <status>unmodified</status>
      <modifiedWord/>
      <trackRevisions>false</trackRevisions>
    </reviewItem>
    <reviewItem>
      <errorID>0f54a3bc-dc75-4ead-b0a3-990e2d1e34d2</errorID>
      <errorWord>，</errorWord>
      <group>L1_AI</group>
      <groupName>深度校对</groupName>
      <ability>L2_AI_Grammar</ability>
      <abilityName>语法纠错</abilityName>
      <candidateList>
        <item>发展，</item>
      </candidateList>
      <explain/>
      <paraID>78D7233C</paraID>
      <start>90</start>
      <end>91</end>
      <status>unmodified</status>
      <modifiedWord/>
      <trackRevisions>false</trackRevisions>
    </reviewItem>
    <reviewItem>
      <errorID>d1be5065-eed5-4fcf-bc73-7621dbfbfd63</errorID>
      <errorWord>产业链拓伸</errorWord>
      <group>L1_AI</group>
      <groupName>深度校对</groupName>
      <ability>L2_AI_Word</ability>
      <abilityName>字词纠错</abilityName>
      <candidateList>
        <item>延伸产业链</item>
      </candidateList>
      <explain/>
      <paraID>78D7233C</paraID>
      <start>103</start>
      <end>108</end>
      <status>unmodified</status>
      <modifiedWord/>
      <trackRevisions>false</trackRevisions>
    </reviewItem>
    <reviewItem>
      <errorID>b246f8fb-735f-4929-a450-1c93e17de49a</errorID>
      <errorWord>汽车内</errorWord>
      <group>L1_AI</group>
      <groupName>深度校对</groupName>
      <ability>L2_AI_Grammar</ability>
      <abilityName>语法纠错</abilityName>
      <candidateList>
        <item>汽车</item>
      </candidateList>
      <explain>〈名〉一种交通工具，用内燃机做发动机，主要在公路上或马路上行驶，通常有四个或四个以上的轮子。</explain>
      <paraID>226595E2</paraID>
      <start>5</start>
      <end>8</end>
      <status>unmodified</status>
      <modifiedWord/>
      <trackRevisions>false</trackRevisions>
    </reviewItem>
    <reviewItem>
      <errorID>af9c56f8-f222-410e-bd4c-31668c42c419</errorID>
      <errorWord>m3/</errorWord>
      <group>L1_AI</group>
      <groupName>深度校对</groupName>
      <ability>L2_AI_Grammar</ability>
      <abilityName>语法纠错</abilityName>
      <candidateList>
        <item>/m³·</item>
      </candidateList>
      <explain/>
      <paraID>12B8B5BC</paraID>
      <start>55</start>
      <end>58</end>
      <status>unmodified</status>
      <modifiedWord/>
      <trackRevisions>false</trackRevisions>
    </reviewItem>
    <reviewItem>
      <errorID>e7339dff-91b8-495d-8f4a-70027483b918</errorID>
      <errorWord>站至</errorWord>
      <group>L1_Word</group>
      <groupName>字词问题</groupName>
      <ability>L2_Typo</ability>
      <abilityName>字词错误</abilityName>
      <candidateList>
        <item>站</item>
      </candidateList>
      <explain/>
      <paraID>12B8B5BC</paraID>
      <start>69</start>
      <end>71</end>
      <status>unmodified</status>
      <modifiedWord/>
      <trackRevisions>false</trackRevisions>
    </reviewItem>
    <reviewItem>
      <errorID>c655cfe7-2578-48ce-a83a-9c01115364b2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5923BAC0</paraID>
      <start>0</start>
      <end>2</end>
      <status>unmodified</status>
      <modifiedWord/>
      <trackRevisions>false</trackRevisions>
    </reviewItem>
    <reviewItem>
      <errorID>8f73e461-3604-4603-ad68-998e5da2bff3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1A4755C1</paraID>
      <start>0</start>
      <end>2</end>
      <status>unmodified</status>
      <modifiedWord/>
      <trackRevisions>false</trackRevisions>
    </reviewItem>
    <reviewItem>
      <errorID>e56e3767-b834-4cc0-a669-b2733b1c5e4c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1A4755C1</paraID>
      <start>22</start>
      <end>25</end>
      <status>unmodified</status>
      <modifiedWord/>
      <trackRevisions>false</trackRevisions>
    </reviewItem>
    <reviewItem>
      <errorID>e29e594f-d062-43b4-aae4-c1d2d7863722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1A4755C1</paraID>
      <start>42</start>
      <end>45</end>
      <status>unmodified</status>
      <modifiedWord/>
      <trackRevisions>false</trackRevisions>
    </reviewItem>
    <reviewItem>
      <errorID>04ee79aa-497a-4653-ba7c-534de4bc8f19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31BC5613</paraID>
      <start>0</start>
      <end>2</end>
      <status>unmodified</status>
      <modifiedWord/>
      <trackRevisions>false</trackRevisions>
    </reviewItem>
    <reviewItem>
      <errorID>8f33c173-0923-46c4-bd8d-2ef4d29476bb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3172F3E7</paraID>
      <start>0</start>
      <end>2</end>
      <status>unmodified</status>
      <modifiedWord/>
      <trackRevisions>false</trackRevisions>
    </reviewItem>
    <reviewItem>
      <errorID>f630d465-ca92-430b-bfae-ce34cf3f0f4e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5F1B42E8</paraID>
      <start>0</start>
      <end>2</end>
      <status>unmodified</status>
      <modifiedWord/>
      <trackRevisions>false</trackRevisions>
    </reviewItem>
    <reviewItem>
      <errorID>7b2bb1fa-fd4a-4523-ae42-07ccdd623aa2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5F1B42E8</paraID>
      <start>28</start>
      <end>31</end>
      <status>unmodified</status>
      <modifiedWord/>
      <trackRevisions>false</trackRevisions>
    </reviewItem>
    <reviewItem>
      <errorID>833556c6-7ae1-4b21-8357-68b2835f2608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211ED1F8</paraID>
      <start>0</start>
      <end>2</end>
      <status>unmodified</status>
      <modifiedWord/>
      <trackRevisions>false</trackRevisions>
    </reviewItem>
    <reviewItem>
      <errorID>2e51d5d2-38ed-4a07-a3ed-cd98eae39ac1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211ED1F8</paraID>
      <start>18</start>
      <end>21</end>
      <status>unmodified</status>
      <modifiedWord/>
      <trackRevisions>false</trackRevisions>
    </reviewItem>
    <reviewItem>
      <errorID>3888452f-36cd-4e2b-a19f-854a6e92a398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211ED1F8</paraID>
      <start>33</start>
      <end>36</end>
      <status>unmodified</status>
      <modifiedWord/>
      <trackRevisions>false</trackRevisions>
    </reviewItem>
    <reviewItem>
      <errorID>17facbe6-3e28-4dc8-ab8b-9877e05df442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211ED1F8</paraID>
      <start>49</start>
      <end>52</end>
      <status>unmodified</status>
      <modifiedWord/>
      <trackRevisions>false</trackRevisions>
    </reviewItem>
    <reviewItem>
      <errorID>5a91a3e2-b3ec-4198-a1c7-f242c5b9be3b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77FD3487</paraID>
      <start>0</start>
      <end>2</end>
      <status>unmodified</status>
      <modifiedWord/>
      <trackRevisions>false</trackRevisions>
    </reviewItem>
    <reviewItem>
      <errorID>d77984f8-67a6-44bc-8bb2-caaf001ac398</errorID>
      <errorWord>，</errorWord>
      <group>L1_Word</group>
      <groupName>字词问题</groupName>
      <ability>L2_Typo</ability>
      <abilityName>字词错误</abilityName>
      <candidateList>
        <item>，在</item>
      </candidateList>
      <explain/>
      <paraID>77FD3487</paraID>
      <start>52</start>
      <end>53</end>
      <status>unmodified</status>
      <modifiedWord/>
      <trackRevisions>false</trackRevisions>
    </reviewItem>
    <reviewItem>
      <errorID>5b30924f-efd0-48b5-956a-c97bbc8de1c2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245309CB</paraID>
      <start>0</start>
      <end>2</end>
      <status>unmodified</status>
      <modifiedWord/>
      <trackRevisions>false</trackRevisions>
    </reviewItem>
    <reviewItem>
      <errorID>033e4f4a-e2c8-4dc6-a4fa-29bb0e6d35df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245309CB</paraID>
      <start>46</start>
      <end>47</end>
      <status>unmodified</status>
      <modifiedWord/>
      <trackRevisions>false</trackRevisions>
    </reviewItem>
    <reviewItem>
      <errorID>f89dae43-7ac5-4aef-91a3-bd3f9a5bf563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84639FA</paraID>
      <start>0</start>
      <end>2</end>
      <status>unmodified</status>
      <modifiedWord/>
      <trackRevisions>false</trackRevisions>
    </reviewItem>
    <reviewItem>
      <errorID>7f15f665-edf3-4e37-a3ab-250947a8b97d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3D02E9F0</paraID>
      <start>23</start>
      <end>26</end>
      <status>unmodified</status>
      <modifiedWord/>
      <trackRevisions>false</trackRevisions>
    </reviewItem>
    <reviewItem>
      <errorID>4d78c667-9ad5-43f4-9109-bec9e724de5e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693A53EE</paraID>
      <start>0</start>
      <end>2</end>
      <status>unmodified</status>
      <modifiedWord/>
      <trackRevisions>false</trackRevisions>
    </reviewItem>
    <reviewItem>
      <errorID>b50a99ea-f1a1-41f2-bef9-878280ca8d64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7B13F3D6</paraID>
      <start>0</start>
      <end>2</end>
      <status>unmodified</status>
      <modifiedWord/>
      <trackRevisions>false</trackRevisions>
    </reviewItem>
    <reviewItem>
      <errorID>6c599808-8f1a-4fb5-b36d-3d9f6651f68d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289942CA</paraID>
      <start>0</start>
      <end>2</end>
      <status>unmodified</status>
      <modifiedWord/>
      <trackRevisions>false</trackRevisions>
    </reviewItem>
    <reviewItem>
      <errorID>a6a38a03-9d61-4255-aa7e-8d175476a875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60C9951D</paraID>
      <start>0</start>
      <end>2</end>
      <status>unmodified</status>
      <modifiedWord/>
      <trackRevisions>false</trackRevisions>
    </reviewItem>
    <reviewItem>
      <errorID>ef3a8baa-910b-4b76-be13-002b15a30c95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43577ABF</paraID>
      <start>0</start>
      <end>2</end>
      <status>unmodified</status>
      <modifiedWord/>
      <trackRevisions>false</trackRevisions>
    </reviewItem>
    <reviewItem>
      <errorID>bfea9122-66bf-46c6-91f8-f0b39ec31f36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3038331D</paraID>
      <start>0</start>
      <end>2</end>
      <status>unmodified</status>
      <modifiedWord/>
      <trackRevisions>false</trackRevisions>
    </reviewItem>
    <reviewItem>
      <errorID>93ef3516-b4e1-4913-b1b7-b993810d10c9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2E00DC6</paraID>
      <start>0</start>
      <end>2</end>
      <status>unmodified</status>
      <modifiedWord/>
      <trackRevisions>false</trackRevisions>
    </reviewItem>
    <reviewItem>
      <errorID>0d5f576f-a4b5-4d1b-b4a7-f3ac04122444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11BA136</paraID>
      <start>0</start>
      <end>2</end>
      <status>unmodified</status>
      <modifiedWord/>
      <trackRevisions>false</trackRevisions>
    </reviewItem>
    <reviewItem>
      <errorID>c81cf4f1-18cc-44d1-8201-1dd8a679a015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68BD6409</paraID>
      <start>30</start>
      <end>33</end>
      <status>unmodified</status>
      <modifiedWord/>
      <trackRevisions>false</trackRevisions>
    </reviewItem>
    <reviewItem>
      <errorID>b5f5131c-7fcc-4904-a0f6-bdd92de01850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64272F3D</paraID>
      <start>54</start>
      <end>57</end>
      <status>unmodified</status>
      <modifiedWord/>
      <trackRevisions>false</trackRevisions>
    </reviewItem>
    <reviewItem>
      <errorID>6622746a-9c16-48a5-934c-3fdffa55078d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621B1F73</paraID>
      <start>0</start>
      <end>2</end>
      <status>unmodified</status>
      <modifiedWord/>
      <trackRevisions>false</trackRevisions>
    </reviewItem>
    <reviewItem>
      <errorID>01492b20-3709-47e2-8fe5-a895af9868e1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1E9DE2F1</paraID>
      <start>0</start>
      <end>2</end>
      <status>unmodified</status>
      <modifiedWord/>
      <trackRevisions>false</trackRevisions>
    </reviewItem>
    <reviewItem>
      <errorID>77695e58-bff6-48fa-93fa-ef3b138183e7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4B8072FD</paraID>
      <start>0</start>
      <end>2</end>
      <status>unmodified</status>
      <modifiedWord/>
      <trackRevisions>false</trackRevisions>
    </reviewItem>
    <reviewItem>
      <errorID>9772431d-b157-44d5-bc6e-62e05c7481cd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6E0BBB23</paraID>
      <start>0</start>
      <end>2</end>
      <status>unmodified</status>
      <modifiedWord/>
      <trackRevisions>false</trackRevisions>
    </reviewItem>
    <reviewItem>
      <errorID>8c2cb765-cfc1-464a-9a99-d5f3ccf6e510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6E0BBB23</paraID>
      <start>46</start>
      <end>47</end>
      <status>unmodified</status>
      <modifiedWord/>
      <trackRevisions>false</trackRevisions>
    </reviewItem>
    <reviewItem>
      <errorID>17b92925-0889-49df-8e56-65baccb655fe</errorID>
      <errorWord>》</errorWord>
      <group>L1_Word</group>
      <groupName>字词问题</groupName>
      <ability>L2_Typo</ability>
      <abilityName>字词错误</abilityName>
      <candidateList>
        <item>》和</item>
      </candidateList>
      <explain/>
      <paraID>6E0BBB23</paraID>
      <start>53</start>
      <end>54</end>
      <status>unmodified</status>
      <modifiedWord/>
      <trackRevisions>false</trackRevisions>
    </reviewItem>
    <reviewItem>
      <errorID>38dae594-2bdd-429f-b971-32042156f26d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6E0BBB23</paraID>
      <start>71</start>
      <end>72</end>
      <status>unmodified</status>
      <modifiedWord/>
      <trackRevisions>false</trackRevisions>
    </reviewItem>
    <reviewItem>
      <errorID>2f847a93-e252-48c7-9bad-432ab7503b6b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4799FDC2</paraID>
      <start>0</start>
      <end>2</end>
      <status>unmodified</status>
      <modifiedWord/>
      <trackRevisions>false</trackRevisions>
    </reviewItem>
    <reviewItem>
      <errorID>290e15ae-d34d-4db5-8818-e740ccd8c06b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5E0500BC</paraID>
      <start>0</start>
      <end>2</end>
      <status>unmodified</status>
      <modifiedWord/>
      <trackRevisions>false</trackRevisions>
    </reviewItem>
    <reviewItem>
      <errorID>8474a20f-6172-4dd1-8feb-823794362ed6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67F0E0D1</paraID>
      <start>0</start>
      <end>2</end>
      <status>unmodified</status>
      <modifiedWord/>
      <trackRevisions>false</trackRevisions>
    </reviewItem>
    <reviewItem>
      <errorID>7feca553-4575-4bfc-8d67-67986fa73627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493FD279</paraID>
      <start>0</start>
      <end>2</end>
      <status>unmodified</status>
      <modifiedWord/>
      <trackRevisions>false</trackRevisions>
    </reviewItem>
    <reviewItem>
      <errorID>c2f0e0e6-304c-4c68-a237-5d6c25be5a4d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5E37FA32</paraID>
      <start>0</start>
      <end>2</end>
      <status>unmodified</status>
      <modifiedWord/>
      <trackRevisions>false</trackRevisions>
    </reviewItem>
    <reviewItem>
      <errorID>eeb0dcbe-abe8-4ab0-b28d-4127c3fb42ca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168651D2</paraID>
      <start>0</start>
      <end>2</end>
      <status>unmodified</status>
      <modifiedWord/>
      <trackRevisions>false</trackRevisions>
    </reviewItem>
    <reviewItem>
      <errorID>3b7a068a-f095-4e35-8277-d22ec1ea0760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1A774586</paraID>
      <start>0</start>
      <end>2</end>
      <status>unmodified</status>
      <modifiedWord/>
      <trackRevisions>false</trackRevisions>
    </reviewItem>
    <reviewItem>
      <errorID>e8e70ea2-7234-4c45-8b81-9528f040ffc7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25489068</paraID>
      <start>0</start>
      <end>2</end>
      <status>unmodified</status>
      <modifiedWord/>
      <trackRevisions>false</trackRevisions>
    </reviewItem>
    <reviewItem>
      <errorID>b16bf569-44e7-40c8-a29f-944e89ab43e5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28071F4</paraID>
      <start>0</start>
      <end>2</end>
      <status>unmodified</status>
      <modifiedWord/>
      <trackRevisions>false</trackRevisions>
    </reviewItem>
    <reviewItem>
      <errorID>251ccd73-e501-4ff9-b756-ac5f270cb61b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77C7B795</paraID>
      <start>0</start>
      <end>2</end>
      <status>unmodified</status>
      <modifiedWord/>
      <trackRevisions>false</trackRevisions>
    </reviewItem>
    <reviewItem>
      <errorID>0ddc8a8c-1ea3-42e5-a04a-8d299679c78e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463D5488</paraID>
      <start>0</start>
      <end>2</end>
      <status>unmodified</status>
      <modifiedWord/>
      <trackRevisions>false</trackRevisions>
    </reviewItem>
    <reviewItem>
      <errorID>f56fd7f5-ab0b-48be-8c89-a5ba967330a1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837B610</paraID>
      <start>0</start>
      <end>2</end>
      <status>unmodified</status>
      <modifiedWord/>
      <trackRevisions>false</trackRevisions>
    </reviewItem>
    <reviewItem>
      <errorID>53f735c6-f5d8-458d-b561-9484662636af</errorID>
      <errorWord>-</errorWord>
      <group>L1_Format</group>
      <groupName>格式问题</groupName>
      <ability>L2_HalfPunc</ability>
      <abilityName>全半角检查</abilityName>
      <candidateList>
        <item>－</item>
      </candidateList>
      <explain>文本全半角错误。</explain>
      <paraID> 797407D</paraID>
      <start>62</start>
      <end>63</end>
      <status>unmodified</status>
      <modifiedWord/>
      <trackRevisions>false</trackRevisions>
    </reviewItem>
    <reviewItem>
      <errorID>dc5b9930-6c9a-4b17-997a-783862c73400</errorID>
      <errorWord>程</errorWord>
      <group>L1_Word</group>
      <groupName>字词问题</groupName>
      <ability>L2_Typo</ability>
      <abilityName>字词错误</abilityName>
      <candidateList>
        <item>程中</item>
      </candidateList>
      <explain/>
      <paraID>2FF088C0</paraID>
      <start>57</start>
      <end>58</end>
      <status>unmodified</status>
      <modifiedWord/>
      <trackRevisions>false</trackRevisions>
    </reviewItem>
    <reviewItem>
      <errorID>8d3950dd-31a3-46a5-a2a4-0f32963890d6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1139C6C0</paraID>
      <start>0</start>
      <end>2</end>
      <status>unmodified</status>
      <modifiedWord/>
      <trackRevisions>false</trackRevisions>
    </reviewItem>
    <reviewItem>
      <errorID>c7d7e4f5-092e-489d-9dee-016de9e8054b</errorID>
      <errorWord>国家发改委</errorWord>
      <group>L1_Knowledge</group>
      <groupName>知识性问题</groupName>
      <ability>L2_Knowledge</ability>
      <abilityName>其他知识</abilityName>
      <candidateList>
        <item>国家发展改革委</item>
      </candidateList>
      <explain/>
      <paraID>4B6F45D6</paraID>
      <start>6</start>
      <end>11</end>
      <status>unmodified</status>
      <modifiedWord/>
      <trackRevisions>false</trackRevisions>
    </reviewItem>
    <reviewItem>
      <errorID>f0c77a4b-c95c-4a0c-8f67-03b0cddea266</errorID>
      <errorWord>（</errorWord>
      <group>L1_Punc</group>
      <groupName>标点问题</groupName>
      <ability>L2_Punc</ability>
      <abilityName>标点符号检查</abilityName>
      <candidateList>
        <item/>
      </candidateList>
      <explain>同一形式括号套用。</explain>
      <paraID>52F9BA91</paraID>
      <start>33</start>
      <end>34</end>
      <status>unmodified</status>
      <modifiedWord/>
      <trackRevisions>false</trackRevisions>
    </reviewItem>
    <reviewItem>
      <errorID>81e54968-013c-4d7e-b4a9-98c9be4e488f</errorID>
      <errorWord>(2025)1784号</errorWord>
      <group>L1_Knowledge</group>
      <groupName>知识性问题</groupName>
      <ability>L2_Knowledge</ability>
      <abilityName>其他知识</abilityName>
      <candidateList>
        <item>〔2025〕1784号</item>
      </candidateList>
      <explain>发文字号格式错误</explain>
      <paraID>52F9BA91</paraID>
      <start>38</start>
      <end>49</end>
      <status>modified</status>
      <modifiedWord>〔2025〕1784号</modifiedWord>
      <trackRevisions>false</trackRevisions>
    </reviewItem>
    <reviewItem>
      <errorID>c6b88ad7-4276-4f3f-a6b2-c2b1fe416f7c</errorID>
      <errorWord>）</errorWord>
      <group>L1_Punc</group>
      <groupName>标点问题</groupName>
      <ability>L2_Punc</ability>
      <abilityName>标点符号检查</abilityName>
      <candidateList/>
      <explain>同一形式括号套用。</explain>
      <paraID>52F9BA91</paraID>
      <start>54</start>
      <end>55</end>
      <status>unmodified</status>
      <modifiedWord/>
      <trackRevisions>false</trackRevisions>
    </reviewItem>
    <reviewItem>
      <errorID>f750954b-8d3d-47f2-941b-1c269f765b2c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6C606410</paraID>
      <start>0</start>
      <end>2</end>
      <status>unmodified</status>
      <modifiedWord/>
      <trackRevisions>false</trackRevisions>
    </reviewItem>
    <reviewItem>
      <errorID>946a059f-63ec-4714-a673-d5f9da3b0be7</errorID>
      <errorWord>法律、法规</errorWord>
      <group>L1_Word</group>
      <groupName>字词问题</groupName>
      <ability>L2_Typo</ability>
      <abilityName>字词错误</abilityName>
      <candidateList>
        <item>法律法规</item>
      </candidateList>
      <explain/>
      <paraID>596ECE39</paraID>
      <start>3</start>
      <end>8</end>
      <status>unmodified</status>
      <modifiedWord/>
      <trackRevisions>false</trackRevisions>
    </reviewItem>
    <reviewItem>
      <errorID>5ff64ca2-beb6-440d-bb8f-6ce0aba0a9a4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5CED9C0C</paraID>
      <start>0</start>
      <end>2</end>
      <status>unmodified</status>
      <modifiedWord/>
      <trackRevisions>false</trackRevisions>
    </reviewItem>
    <reviewItem>
      <errorID>10407ec0-c180-4fed-9738-2e5dfd6b40b5</errorID>
      <errorWord>&lt;</errorWord>
      <group>L1_Format</group>
      <groupName>格式问题</groupName>
      <ability>L2_HalfPunc</ability>
      <abilityName>全半角检查</abilityName>
      <candidateList>
        <item>〈</item>
      </candidateList>
      <explain>文本全半角错误。</explain>
      <paraID>1FBAF975</paraID>
      <start>9</start>
      <end>10</end>
      <status>unmodified</status>
      <modifiedWord/>
      <trackRevisions>false</trackRevisions>
    </reviewItem>
    <reviewItem>
      <errorID>e1ba81bd-e638-4138-8f92-185f299c3521</errorID>
      <errorWord>&gt;的通知》</errorWord>
      <group>L1_Punc</group>
      <groupName>标点问题</groupName>
      <ability>L2_Punc</ability>
      <abilityName>标点符号检查</abilityName>
      <candidateList>
        <item>〉的通知》</item>
      </candidateList>
      <explain/>
      <paraID>1FBAF975</paraID>
      <start>44</start>
      <end>49</end>
      <status>unmodified</status>
      <modifiedWord/>
      <trackRevisions>false</trackRevisions>
    </reviewItem>
    <reviewItem>
      <errorID>f272784e-e6ea-44b9-afed-59481cccc7ec</errorID>
      <errorWord>、和</errorWord>
      <group>L1_Word</group>
      <groupName>字词问题</groupName>
      <ability>L2_Typo</ability>
      <abilityName>字词错误</abilityName>
      <candidateList>
        <item>、</item>
      </candidateList>
      <explain/>
      <paraID> C3CB2E8</paraID>
      <start>64</start>
      <end>66</end>
      <status>unmodified</status>
      <modifiedWord/>
      <trackRevisions>false</trackRevisions>
    </reviewItem>
    <reviewItem>
      <errorID>3e31da48-2e9c-4e05-ae67-ed9741f958f0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70E35D17</paraID>
      <start>41</start>
      <end>44</end>
      <status>unmodified</status>
      <modifiedWord/>
      <trackRevisions>false</trackRevisions>
    </reviewItem>
    <reviewItem>
      <errorID>8ff1fbcb-54b4-422e-a88d-ede54eb8ae91</errorID>
      <errorWord>[2021]2号</errorWord>
      <group>L1_Knowledge</group>
      <groupName>知识性问题</groupName>
      <ability>L2_Knowledge</ability>
      <abilityName>其他知识</abilityName>
      <candidateList>
        <item>〔2021〕2号</item>
      </candidateList>
      <explain>发文字号格式错误</explain>
      <paraID>  E0AEA6</paraID>
      <start>8</start>
      <end>16</end>
      <status>modified</status>
      <modifiedWord>〔2021〕2号</modifiedWord>
      <trackRevisions>false</trackRevisions>
    </reviewItem>
    <reviewItem>
      <errorID>8c401046-4726-440f-b129-fb471a7be39e</errorID>
      <errorWord>[2021]32号</errorWord>
      <group>L1_Knowledge</group>
      <groupName>知识性问题</groupName>
      <ability>L2_Knowledge</ability>
      <abilityName>其他知识</abilityName>
      <candidateList>
        <item>〔2021〕32号</item>
      </candidateList>
      <explain>发文字号格式错误</explain>
      <paraID>  E0AEA6</paraID>
      <start>24</start>
      <end>33</end>
      <status>modified</status>
      <modifiedWord>〔2021〕32号</modifiedWord>
      <trackRevisions>false</trackRevisions>
    </reviewItem>
    <reviewItem>
      <errorID>6ca70c01-f72b-4241-a00e-a041dcf2be09</errorID>
      <errorWord>[2021]2号</errorWord>
      <group>L1_Knowledge</group>
      <groupName>知识性问题</groupName>
      <ability>L2_Knowledge</ability>
      <abilityName>其他知识</abilityName>
      <candidateList>
        <item>〔2021〕2号</item>
      </candidateList>
      <explain>发文字号格式错误</explain>
      <paraID>  E4531C</paraID>
      <start>10</start>
      <end>18</end>
      <status>modified</status>
      <modifiedWord>〔2021〕2号</modifiedWord>
      <trackRevisions>false</trackRevisions>
    </reviewItem>
    <reviewItem>
      <errorID>e1c5aeec-0f3a-4fa2-b84c-4f14ba02a742</errorID>
      <errorWord>[2021]32号</errorWord>
      <group>L1_Knowledge</group>
      <groupName>知识性问题</groupName>
      <ability>L2_Knowledge</ability>
      <abilityName>其他知识</abilityName>
      <candidateList>
        <item>〔2021〕32号</item>
      </candidateList>
      <explain>发文字号格式错误</explain>
      <paraID>  E4531C</paraID>
      <start>26</start>
      <end>35</end>
      <status>modified</status>
      <modifiedWord>〔2021〕32号</modifiedWord>
      <trackRevisions>false</trackRevisions>
    </reviewItem>
    <reviewItem>
      <errorID>5c7d042b-d89c-44e5-aa50-0666cff7bcfc</errorID>
      <errorWord>&lt;</errorWord>
      <group>L1_Format</group>
      <groupName>格式问题</groupName>
      <ability>L2_HalfPunc</ability>
      <abilityName>全半角检查</abilityName>
      <candidateList>
        <item>〈</item>
      </candidateList>
      <explain>文本全半角错误。</explain>
      <paraID>5A71BBCF</paraID>
      <start>9</start>
      <end>10</end>
      <status>unmodified</status>
      <modifiedWord/>
      <trackRevisions>false</trackRevisions>
    </reviewItem>
    <reviewItem>
      <errorID>329d2d1f-4c9e-4e9c-8f05-342366334c61</errorID>
      <errorWord>&gt;的通知》</errorWord>
      <group>L1_Punc</group>
      <groupName>标点问题</groupName>
      <ability>L2_Punc</ability>
      <abilityName>标点符号检查</abilityName>
      <candidateList>
        <item>〉的通知》</item>
      </candidateList>
      <explain/>
      <paraID>5A71BBCF</paraID>
      <start>29</start>
      <end>34</end>
      <status>unmodified</status>
      <modifiedWord/>
      <trackRevisions>false</trackRevisions>
    </reviewItem>
    <reviewItem>
      <errorID>4664d70d-4914-4221-99f1-791f299759be</errorID>
      <errorWord>[2021]2号</errorWord>
      <group>L1_Knowledge</group>
      <groupName>知识性问题</groupName>
      <ability>L2_Knowledge</ability>
      <abilityName>其他知识</abilityName>
      <candidateList>
        <item>〔2021〕2号</item>
      </candidateList>
      <explain>发文字号格式错误</explain>
      <paraID>5A71BBCF</paraID>
      <start>39</start>
      <end>47</end>
      <status>modified</status>
      <modifiedWord>〔2021〕2号</modifiedWord>
      <trackRevisions>false</trackRevisions>
    </reviewItem>
    <reviewItem>
      <errorID>518f2132-10f0-4051-b421-2130f4a444a0</errorID>
      <errorWord>[2021]32号</errorWord>
      <group>L1_Knowledge</group>
      <groupName>知识性问题</groupName>
      <ability>L2_Knowledge</ability>
      <abilityName>其他知识</abilityName>
      <candidateList>
        <item>〔2021〕32号</item>
      </candidateList>
      <explain>发文字号格式错误</explain>
      <paraID>5BF29922</paraID>
      <start>29</start>
      <end>38</end>
      <status>modified</status>
      <modifiedWord>〔2021〕32号</modifiedWord>
      <trackRevisions>false</trackRevisions>
    </reviewItem>
    <reviewItem>
      <errorID>1cf66c55-0138-4f9c-a9e0-61b29b8527ac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59FA95D6</paraID>
      <start>0</start>
      <end>2</end>
      <status>unmodified</status>
      <modifiedWord/>
      <trackRevisions>false</trackRevisions>
    </reviewItem>
    <reviewItem>
      <errorID>9aedad30-e4de-4328-aa14-652abd639d5b</errorID>
      <errorWord>门</errorWord>
      <group>L1_Word</group>
      <groupName>字词问题</groupName>
      <ability>L2_Typo</ability>
      <abilityName>字词错误</abilityName>
      <candidateList>
        <item>门在</item>
      </candidateList>
      <explain/>
      <paraID>62412188</paraID>
      <start>57</start>
      <end>58</end>
      <status>unmodified</status>
      <modifiedWord/>
      <trackRevisions>false</trackRevisions>
    </reviewItem>
    <reviewItem>
      <errorID>36c77ca5-3e4e-45b3-9edc-cf42a4688a00</errorID>
      <errorWord>&lt;</errorWord>
      <group>L1_Format</group>
      <groupName>格式问题</groupName>
      <ability>L2_HalfPunc</ability>
      <abilityName>全半角检查</abilityName>
      <candidateList>
        <item>〈</item>
      </candidateList>
      <explain>文本全半角错误。</explain>
      <paraID>45F58617</paraID>
      <start>5</start>
      <end>6</end>
      <status>unmodified</status>
      <modifiedWord/>
      <trackRevisions>false</trackRevisions>
    </reviewItem>
    <reviewItem>
      <errorID>653f5bd1-079e-4927-906e-8a01a29deb43</errorID>
      <errorWord>&gt;的通知》</errorWord>
      <group>L1_Punc</group>
      <groupName>标点问题</groupName>
      <ability>L2_Punc</ability>
      <abilityName>标点符号检查</abilityName>
      <candidateList>
        <item>〉的通知》</item>
      </candidateList>
      <explain/>
      <paraID>45F58617</paraID>
      <start>30</start>
      <end>35</end>
      <status>unmodified</status>
      <modifiedWord/>
      <trackRevisions>false</trackRevisions>
    </reviewItem>
    <reviewItem>
      <errorID>6d92dbd0-0eaf-456d-82c8-2a4ce3cd5a81</errorID>
      <errorWord>(</errorWord>
      <group>L1_Format</group>
      <groupName>格式问题</groupName>
      <ability>L2_HalfPunc</ability>
      <abilityName>全半角检查</abilityName>
      <candidateList>
        <item>（</item>
      </candidateList>
      <explain>文本全半角错误。</explain>
      <paraID>45F58617</paraID>
      <start>35</start>
      <end>36</end>
      <status>unmodified</status>
      <modifiedWord/>
      <trackRevisions>false</trackRevisions>
    </reviewItem>
    <reviewItem>
      <errorID>7bd4bd23-cca9-4cb9-9533-937610df0310</errorID>
      <errorWord>)</errorWord>
      <group>L1_Format</group>
      <groupName>格式问题</groupName>
      <ability>L2_HalfPunc</ability>
      <abilityName>全半角检查</abilityName>
      <candidateList>
        <item>）</item>
      </candidateList>
      <explain>文本全半角错误。</explain>
      <paraID>45F58617</paraID>
      <start>48</start>
      <end>49</end>
      <status>unmodified</status>
      <modifiedWord/>
      <trackRevisions>false</trackRevisions>
    </reviewItem>
    <reviewItem>
      <errorID>062783a0-3e29-4151-864e-49f252c6d139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A5AA6E</paraID>
      <start>0</start>
      <end>3</end>
      <status>unmodified</status>
      <modifiedWord/>
      <trackRevisions>false</trackRevisions>
    </reviewItem>
    <reviewItem>
      <errorID>0e93926e-1179-49d2-b7a0-f44f6b43626c</errorID>
      <errorWord>(</errorWord>
      <group>L1_Format</group>
      <groupName>格式问题</groupName>
      <ability>L2_HalfPunc</ability>
      <abilityName>全半角检查</abilityName>
      <candidateList>
        <item>（</item>
      </candidateList>
      <explain>文本全半角错误。</explain>
      <paraID>  A5AA6E</paraID>
      <start>54</start>
      <end>55</end>
      <status>unmodified</status>
      <modifiedWord/>
      <trackRevisions>false</trackRevisions>
    </reviewItem>
    <reviewItem>
      <errorID>af83af30-6db6-4f66-9c09-c9bc2e12bb69</errorID>
      <errorWord>)</errorWord>
      <group>L1_Format</group>
      <groupName>格式问题</groupName>
      <ability>L2_HalfPunc</ability>
      <abilityName>全半角检查</abilityName>
      <candidateList>
        <item>）</item>
      </candidateList>
      <explain>文本全半角错误。</explain>
      <paraID>  A5AA6E</paraID>
      <start>56</start>
      <end>57</end>
      <status>unmodified</status>
      <modifiedWord/>
      <trackRevisions>false</trackRevisions>
    </reviewItem>
    <reviewItem>
      <errorID>ea6e20f0-b8b9-4ccc-af0c-aaf9a6da8df3</errorID>
      <errorWord>(</errorWord>
      <group>L1_Format</group>
      <groupName>格式问题</groupName>
      <ability>L2_HalfPunc</ability>
      <abilityName>全半角检查</abilityName>
      <candidateList>
        <item>（</item>
      </candidateList>
      <explain>文本全半角错误。</explain>
      <paraID>  A5AA6E</paraID>
      <start>140</start>
      <end>141</end>
      <status>unmodified</status>
      <modifiedWord/>
      <trackRevisions>false</trackRevisions>
    </reviewItem>
    <reviewItem>
      <errorID>18790c8e-7c69-4fdb-af8a-15d04b48a745</errorID>
      <errorWord>)</errorWord>
      <group>L1_Format</group>
      <groupName>格式问题</groupName>
      <ability>L2_HalfPunc</ability>
      <abilityName>全半角检查</abilityName>
      <candidateList>
        <item>）</item>
      </candidateList>
      <explain>文本全半角错误。</explain>
      <paraID>  A5AA6E</paraID>
      <start>142</start>
      <end>143</end>
      <status>unmodified</status>
      <modifiedWord/>
      <trackRevisions>false</trackRevisions>
    </reviewItem>
    <reviewItem>
      <errorID>e2539756-5646-417d-8d59-c40aa9ab7f33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47356ED5</paraID>
      <start>0</start>
      <end>3</end>
      <status>unmodified</status>
      <modifiedWord/>
      <trackRevisions>false</trackRevisions>
    </reviewItem>
    <reviewItem>
      <errorID>8080f703-6cb2-44df-98d2-ce6e6200f40c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1D72DDB</paraID>
      <start>0</start>
      <end>3</end>
      <status>unmodified</status>
      <modifiedWord/>
      <trackRevisions>false</trackRevisions>
    </reviewItem>
    <reviewItem>
      <errorID>c117af63-2bf2-47e6-8237-c030283fb2ef</errorID>
      <errorWord>(</errorWord>
      <group>L1_Format</group>
      <groupName>格式问题</groupName>
      <ability>L2_HalfPunc</ability>
      <abilityName>全半角检查</abilityName>
      <candidateList>
        <item>（</item>
      </candidateList>
      <explain>文本全半角错误。</explain>
      <paraID>426BA3C7</paraID>
      <start>30</start>
      <end>31</end>
      <status>unmodified</status>
      <modifiedWord/>
      <trackRevisions>false</trackRevisions>
    </reviewItem>
    <reviewItem>
      <errorID>5175a768-87d3-446c-a42d-b6be8685fd51</errorID>
      <errorWord>)</errorWord>
      <group>L1_Format</group>
      <groupName>格式问题</groupName>
      <ability>L2_HalfPunc</ability>
      <abilityName>全半角检查</abilityName>
      <candidateList>
        <item>）</item>
      </candidateList>
      <explain>文本全半角错误。</explain>
      <paraID>426BA3C7</paraID>
      <start>42</start>
      <end>43</end>
      <status>unmodified</status>
      <modifiedWord/>
      <trackRevisions>false</trackRevisions>
    </reviewItem>
    <reviewItem>
      <errorID>25c4be79-e5a1-4ed5-b58c-ac2369d6a449</errorID>
      <errorWord>(</errorWord>
      <group>L1_Format</group>
      <groupName>格式问题</groupName>
      <ability>L2_HalfPunc</ability>
      <abilityName>全半角检查</abilityName>
      <candidateList>
        <item>（</item>
      </candidateList>
      <explain>文本全半角错误。</explain>
      <paraID>124A78D8</paraID>
      <start>26</start>
      <end>27</end>
      <status>unmodified</status>
      <modifiedWord/>
      <trackRevisions>false</trackRevisions>
    </reviewItem>
    <reviewItem>
      <errorID>8374aa51-fff5-4237-b727-4bb681d02c70</errorID>
      <errorWord>)</errorWord>
      <group>L1_Format</group>
      <groupName>格式问题</groupName>
      <ability>L2_HalfPunc</ability>
      <abilityName>全半角检查</abilityName>
      <candidateList>
        <item>）</item>
      </candidateList>
      <explain>文本全半角错误。</explain>
      <paraID>124A78D8</paraID>
      <start>39</start>
      <end>40</end>
      <status>unmodified</status>
      <modifiedWord/>
      <trackRevisions>false</trackRevisions>
    </reviewItem>
    <reviewItem>
      <errorID>2434e3ef-6f80-4c52-b518-66ed8c2449fe</errorID>
      <errorWord>长江</errorWord>
      <group>L1_Word</group>
      <groupName>字词问题</groupName>
      <ability>L2_Typo</ability>
      <abilityName>字词错误</abilityName>
      <candidateList>
        <item>江</item>
      </candidateList>
      <explain/>
      <paraID> 56BE82A</paraID>
      <start>57</start>
      <end>59</end>
      <status>unmodified</status>
      <modifiedWord/>
      <trackRevisions>false</trackRevisions>
    </reviewItem>
    <reviewItem>
      <errorID>e67bd4f8-15c4-4c39-8b14-aed486a4710b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2B3D975</paraID>
      <start>0</start>
      <end>2</end>
      <status>unmodified</status>
      <modifiedWord/>
      <trackRevisions>false</trackRevisions>
    </reviewItem>
    <reviewItem>
      <errorID>4102398e-d7cb-482e-bbc3-d36f54c2e53c</errorID>
      <errorWord>(2025)1784号</errorWord>
      <group>L1_Knowledge</group>
      <groupName>知识性问题</groupName>
      <ability>L2_Knowledge</ability>
      <abilityName>其他知识</abilityName>
      <candidateList>
        <item>〔2025〕1784号</item>
      </candidateList>
      <explain>发文字号格式错误</explain>
      <paraID>199E6566</paraID>
      <start>46</start>
      <end>57</end>
      <status>modified</status>
      <modifiedWord>〔2025〕1784号</modifiedWord>
      <trackRevisions>false</trackRevisions>
    </reviewItem>
    <reviewItem>
      <errorID>767d273b-c4f4-4ea7-a771-37a86082568e</errorID>
      <errorWord>-</errorWord>
      <group>L1_Format</group>
      <groupName>格式问题</groupName>
      <ability>L2_HalfPunc</ability>
      <abilityName>全半角检查</abilityName>
      <candidateList>
        <item>－</item>
      </candidateList>
      <explain>文本全半角错误。</explain>
      <paraID>20E37B8F</paraID>
      <start>176</start>
      <end>177</end>
      <status>unmodified</status>
      <modifiedWord/>
      <trackRevisions>false</trackRevisions>
    </reviewItem>
    <reviewItem>
      <errorID>52d8f995-9b04-4d7e-b806-c42513dd35f9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4065D2BB</paraID>
      <start>0</start>
      <end>2</end>
      <status>unmodified</status>
      <modifiedWord/>
      <trackRevisions>false</trackRevisions>
    </reviewItem>
    <reviewItem>
      <errorID>e30068b1-2674-4ddd-ad2b-26be3c7febe8</errorID>
      <errorWord>-</errorWord>
      <group>L1_Knowledge</group>
      <groupName>知识性问题</groupName>
      <ability>L2_Knowledge</ability>
      <abilityName>其他知识</abilityName>
      <candidateList>
        <item>%～</item>
      </candidateList>
      <explain>百分号用法检查</explain>
      <paraID>640AEADF</paraID>
      <start>7</start>
      <end>9</end>
      <status>modified</status>
      <modifiedWord>%～</modifiedWord>
      <trackRevisions>false</trackRevisions>
    </reviewItem>
    <reviewItem>
      <errorID>e259d6cf-2051-4008-92e5-1a0e808c969a</errorID>
      <errorWord>-</errorWord>
      <group>L1_Knowledge</group>
      <groupName>知识性问题</groupName>
      <ability>L2_Knowledge</ability>
      <abilityName>其他知识</abilityName>
      <candidateList>
        <item>%～</item>
      </candidateList>
      <explain>百分号用法检查</explain>
      <paraID>640AEADF</paraID>
      <start>18</start>
      <end>20</end>
      <status>modified</status>
      <modifiedWord>%～</modifiedWord>
      <trackRevisions>false</trackRevisions>
    </reviewItem>
    <reviewItem>
      <errorID>7f20be95-3dcd-4925-a15b-ef836c1d89b3</errorID>
      <errorWord>-</errorWord>
      <group>L1_Knowledge</group>
      <groupName>知识性问题</groupName>
      <ability>L2_Knowledge</ability>
      <abilityName>其他知识</abilityName>
      <candidateList>
        <item>%～</item>
      </candidateList>
      <explain>百分号用法检查</explain>
      <paraID> 2973D9D</paraID>
      <start>3</start>
      <end>5</end>
      <status>modified</status>
      <modifiedWord>%～</modifiedWord>
      <trackRevisions>false</trackRevisions>
    </reviewItem>
    <reviewItem>
      <errorID>cb838447-f6d5-40fa-be7e-d98627daaf4e</errorID>
      <errorWord>-</errorWord>
      <group>L1_Knowledge</group>
      <groupName>知识性问题</groupName>
      <ability>L2_Knowledge</ability>
      <abilityName>其他知识</abilityName>
      <candidateList>
        <item>%～</item>
      </candidateList>
      <explain>百分号用法检查</explain>
      <paraID> 2973D9D</paraID>
      <start>16</start>
      <end>18</end>
      <status>modified</status>
      <modifiedWord>%～</modifiedWord>
      <trackRevisions>false</trackRevisions>
    </reviewItem>
    <reviewItem>
      <errorID>b07274a8-7f79-405a-b0de-c00fe56875af</errorID>
      <errorWord>二甲基硅油</errorWord>
      <group>L1_Knowledge</group>
      <groupName>知识性问题</groupName>
      <ability>L2_Term</ability>
      <abilityName>专业术语</abilityName>
      <candidateList>
        <item>二甲硅油</item>
      </candidateList>
      <explain>医学名词[二甲基硅油]为不规范表述或旧称，其规范书面表述为[二甲硅油]。</explain>
      <paraID>7E65D09B</paraID>
      <start>19</start>
      <end>24</end>
      <status>unmodified</status>
      <modifiedWord/>
      <trackRevisions>false</trackRevisions>
    </reviewItem>
    <reviewItem>
      <errorID>a506ce2b-76df-4b0f-8857-c01ff7ec7a75</errorID>
      <errorWord>：</errorWord>
      <group>L1_Format</group>
      <groupName>格式问题</groupName>
      <ability>L2_HalfPunc</ability>
      <abilityName>全半角检查</abilityName>
      <candidateList>
        <item>:</item>
      </candidateList>
      <explain>文本全半角错误。</explain>
      <paraID> 13A30CC</paraID>
      <start>4</start>
      <end>5</end>
      <status>unmodified</status>
      <modifiedWord/>
      <trackRevisions>false</trackRevisions>
    </reviewItem>
    <reviewItem>
      <errorID>54b05287-81c1-489b-a4e6-30de347662db</errorID>
      <errorWord>)</errorWord>
      <group>L1_Format</group>
      <groupName>格式问题</groupName>
      <ability>L2_HalfPunc</ability>
      <abilityName>全半角检查</abilityName>
      <candidateList>
        <item>）</item>
      </candidateList>
      <explain>文本全半角错误。</explain>
      <paraID>7A1CF52F</paraID>
      <start>54</start>
      <end>55</end>
      <status>unmodified</status>
      <modifiedWord/>
      <trackRevisions>false</trackRevisions>
    </reviewItem>
    <reviewItem>
      <errorID>54153684-87bf-4db3-86b6-80807deb3d14</errorID>
      <errorWord>，，</errorWord>
      <group>L1_Punc</group>
      <groupName>标点问题</groupName>
      <ability>L2_Punc</ability>
      <abilityName>标点符号检查</abilityName>
      <candidateList>
        <item>，</item>
      </candidateList>
      <explain/>
      <paraID>7A1CF52F</paraID>
      <start>63</start>
      <end>65</end>
      <status>unmodified</status>
      <modifiedWord/>
      <trackRevisions>false</trackRevisions>
    </reviewItem>
    <reviewItem>
      <errorID>51415b6c-4716-429d-9b6a-613c66c94c53</errorID>
      <errorWord>：</errorWord>
      <group>L1_Format</group>
      <groupName>格式问题</groupName>
      <ability>L2_HalfPunc</ability>
      <abilityName>全半角检查</abilityName>
      <candidateList>
        <item>:</item>
      </candidateList>
      <explain>文本全半角错误。</explain>
      <paraID>7975E940</paraID>
      <start>4</start>
      <end>5</end>
      <status>unmodified</status>
      <modifiedWord/>
      <trackRevisions>false</trackRevisions>
    </reviewItem>
    <reviewItem>
      <errorID>14d23108-37e1-4913-b9fd-89201287c948</errorID>
      <errorWord>(</errorWord>
      <group>L1_Format</group>
      <groupName>格式问题</groupName>
      <ability>L2_HalfPunc</ability>
      <abilityName>全半角检查</abilityName>
      <candidateList>
        <item>（</item>
      </candidateList>
      <explain>文本全半角错误。</explain>
      <paraID>60B49645</paraID>
      <start>10</start>
      <end>11</end>
      <status>unmodified</status>
      <modifiedWord/>
      <trackRevisions>false</trackRevisions>
    </reviewItem>
    <reviewItem>
      <errorID>eaab67c4-948c-401e-9472-85b403ae2cf3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4B30B5F7</paraID>
      <start>0</start>
      <end>2</end>
      <status>unmodified</status>
      <modifiedWord/>
      <trackRevisions>false</trackRevisions>
    </reviewItem>
    <reviewItem>
      <errorID>27aa3528-9c0d-43f6-9cd2-769e73599887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4BE794EE</paraID>
      <start>0</start>
      <end>2</end>
      <status>unmodified</status>
      <modifiedWord/>
      <trackRevisions>false</trackRevisions>
    </reviewItem>
    <reviewItem>
      <errorID>a1112ae6-0299-4e65-9a49-2c851ea9bbd1</errorID>
      <errorWord>,</errorWord>
      <group>L1_Format</group>
      <groupName>格式问题</groupName>
      <ability>L2_HalfPunc</ability>
      <abilityName>全半角检查</abilityName>
      <candidateList>
        <item>，</item>
      </candidateList>
      <explain>文本全半角错误。</explain>
      <paraID>34F5CCAC</paraID>
      <start>2</start>
      <end>3</end>
      <status>unmodified</status>
      <modifiedWord/>
      <trackRevisions>false</trackRevisions>
    </reviewItem>
    <reviewItem>
      <errorID>27b3bd6a-51b3-40e2-a8ad-000f9577fae4</errorID>
      <errorWord>(</errorWord>
      <group>L1_Format</group>
      <groupName>格式问题</groupName>
      <ability>L2_HalfPunc</ability>
      <abilityName>全半角检查</abilityName>
      <candidateList>
        <item>（</item>
      </candidateList>
      <explain>文本全半角错误。</explain>
      <paraID>6D0F7924</paraID>
      <start>3</start>
      <end>4</end>
      <status>unmodified</status>
      <modifiedWord/>
      <trackRevisions>false</trackRevisions>
    </reviewItem>
    <reviewItem>
      <errorID>66df6ec8-4fa3-4c40-b014-26e460f8e375</errorID>
      <errorWord>)</errorWord>
      <group>L1_Format</group>
      <groupName>格式问题</groupName>
      <ability>L2_HalfPunc</ability>
      <abilityName>全半角检查</abilityName>
      <candidateList>
        <item>）</item>
      </candidateList>
      <explain>文本全半角错误。</explain>
      <paraID>6D0F7924</paraID>
      <start>12</start>
      <end>13</end>
      <status>unmodified</status>
      <modifiedWord/>
      <trackRevisions>false</trackRevisions>
    </reviewItem>
    <reviewItem>
      <errorID>f91aa800-180a-4967-a9cc-44c6bd39fe95</errorID>
      <errorWord>(</errorWord>
      <group>L1_Format</group>
      <groupName>格式问题</groupName>
      <ability>L2_HalfPunc</ability>
      <abilityName>全半角检查</abilityName>
      <candidateList>
        <item>（</item>
      </candidateList>
      <explain>文本全半角错误。</explain>
      <paraID>453C394E</paraID>
      <start>103</start>
      <end>104</end>
      <status>unmodified</status>
      <modifiedWord/>
      <trackRevisions>false</trackRevisions>
    </reviewItem>
    <reviewItem>
      <errorID>c09395b2-8ea4-476e-95c0-8c5cd1b9a7dc</errorID>
      <errorWord>)</errorWord>
      <group>L1_Format</group>
      <groupName>格式问题</groupName>
      <ability>L2_HalfPunc</ability>
      <abilityName>全半角检查</abilityName>
      <candidateList>
        <item>）</item>
      </candidateList>
      <explain>文本全半角错误。</explain>
      <paraID>453C394E</paraID>
      <start>118</start>
      <end>119</end>
      <status>unmodified</status>
      <modifiedWord/>
      <trackRevisions>false</trackRevisions>
    </reviewItem>
    <reviewItem>
      <errorID>eb6ddd66-7d50-4574-80c7-ee734c46970f</errorID>
      <errorWord>:</errorWord>
      <group>L1_Format</group>
      <groupName>格式问题</groupName>
      <ability>L2_HalfPunc</ability>
      <abilityName>全半角检查</abilityName>
      <candidateList>
        <item>：</item>
      </candidateList>
      <explain>文本全半角错误。</explain>
      <paraID>453C394E</paraID>
      <start>133</start>
      <end>134</end>
      <status>unmodified</status>
      <modifiedWord/>
      <trackRevisions>false</trackRevisions>
    </reviewItem>
    <reviewItem>
      <errorID>d1342201-f34d-43eb-90c5-308e5510e7ed</errorID>
      <errorWord>:</errorWord>
      <group>L1_Format</group>
      <groupName>格式问题</groupName>
      <ability>L2_HalfPunc</ability>
      <abilityName>全半角检查</abilityName>
      <candidateList>
        <item>：</item>
      </candidateList>
      <explain>文本全半角错误。</explain>
      <paraID>21D7F47A</paraID>
      <start>2</start>
      <end>3</end>
      <status>unmodified</status>
      <modifiedWord/>
      <trackRevisions>false</trackRevisions>
    </reviewItem>
    <reviewItem>
      <errorID>80e4d390-d6b8-47f9-bc19-75bfea3ed151</errorID>
      <errorWord>(</errorWord>
      <group>L1_Format</group>
      <groupName>格式问题</groupName>
      <ability>L2_HalfPunc</ability>
      <abilityName>全半角检查</abilityName>
      <candidateList>
        <item>（</item>
      </candidateList>
      <explain>文本全半角错误。</explain>
      <paraID>21D7F47A</paraID>
      <start>10</start>
      <end>11</end>
      <status>unmodified</status>
      <modifiedWord/>
      <trackRevisions>false</trackRevisions>
    </reviewItem>
    <reviewItem>
      <errorID>d8a2c087-a852-4a38-98ec-8a7300977f9b</errorID>
      <errorWord>)</errorWord>
      <group>L1_Format</group>
      <groupName>格式问题</groupName>
      <ability>L2_HalfPunc</ability>
      <abilityName>全半角检查</abilityName>
      <candidateList>
        <item>）</item>
      </candidateList>
      <explain>文本全半角错误。</explain>
      <paraID>21D7F47A</paraID>
      <start>15</start>
      <end>16</end>
      <status>unmodified</status>
      <modifiedWord/>
      <trackRevisions>false</trackRevisions>
    </reviewItem>
    <reviewItem>
      <errorID>90e7c953-907c-4174-8f56-8c45e83d122e</errorID>
      <errorWord>(</errorWord>
      <group>L1_Format</group>
      <groupName>格式问题</groupName>
      <ability>L2_HalfPunc</ability>
      <abilityName>全半角检查</abilityName>
      <candidateList>
        <item>（</item>
      </candidateList>
      <explain>文本全半角错误。</explain>
      <paraID>4EA6C1B8</paraID>
      <start>7</start>
      <end>8</end>
      <status>unmodified</status>
      <modifiedWord/>
      <trackRevisions>false</trackRevisions>
    </reviewItem>
    <reviewItem>
      <errorID>bbdce5d1-5817-4702-a044-89aacc88f922</errorID>
      <errorWord>)</errorWord>
      <group>L1_Format</group>
      <groupName>格式问题</groupName>
      <ability>L2_HalfPunc</ability>
      <abilityName>全半角检查</abilityName>
      <candidateList>
        <item>）</item>
      </candidateList>
      <explain>文本全半角错误。</explain>
      <paraID>4EA6C1B8</paraID>
      <start>12</start>
      <end>13</end>
      <status>unmodified</status>
      <modifiedWord/>
      <trackRevisions>false</trackRevisions>
    </reviewItem>
    <reviewItem>
      <errorID>2bc2fb34-09ee-47dc-aa75-6d9103ab1e0a</errorID>
      <errorWord>(</errorWord>
      <group>L1_Format</group>
      <groupName>格式问题</groupName>
      <ability>L2_HalfPunc</ability>
      <abilityName>全半角检查</abilityName>
      <candidateList>
        <item>（</item>
      </candidateList>
      <explain>文本全半角错误。</explain>
      <paraID>5D5FEDF2</paraID>
      <start>7</start>
      <end>8</end>
      <status>unmodified</status>
      <modifiedWord/>
      <trackRevisions>false</trackRevisions>
    </reviewItem>
    <reviewItem>
      <errorID>cf445871-982c-4021-9684-d41f7ae608be</errorID>
      <errorWord>)</errorWord>
      <group>L1_Format</group>
      <groupName>格式问题</groupName>
      <ability>L2_HalfPunc</ability>
      <abilityName>全半角检查</abilityName>
      <candidateList>
        <item>）</item>
      </candidateList>
      <explain>文本全半角错误。</explain>
      <paraID>5D5FEDF2</paraID>
      <start>12</start>
      <end>13</end>
      <status>unmodified</status>
      <modifiedWord/>
      <trackRevisions>false</trackRevisions>
    </reviewItem>
    <reviewItem>
      <errorID>665997d3-7e1f-47bb-85ee-396ce31717a6</errorID>
      <errorWord>(</errorWord>
      <group>L1_Format</group>
      <groupName>格式问题</groupName>
      <ability>L2_HalfPunc</ability>
      <abilityName>全半角检查</abilityName>
      <candidateList>
        <item>（</item>
      </candidateList>
      <explain>文本全半角错误。</explain>
      <paraID>669A6853</paraID>
      <start>9</start>
      <end>10</end>
      <status>unmodified</status>
      <modifiedWord/>
      <trackRevisions>false</trackRevisions>
    </reviewItem>
    <reviewItem>
      <errorID>574755ec-31ad-411b-a001-bf3a751ffd91</errorID>
      <errorWord>)</errorWord>
      <group>L1_Format</group>
      <groupName>格式问题</groupName>
      <ability>L2_HalfPunc</ability>
      <abilityName>全半角检查</abilityName>
      <candidateList>
        <item>）</item>
      </candidateList>
      <explain>文本全半角错误。</explain>
      <paraID>669A6853</paraID>
      <start>14</start>
      <end>15</end>
      <status>unmodified</status>
      <modifiedWord/>
      <trackRevisions>false</trackRevisions>
    </reviewItem>
    <reviewItem>
      <errorID>ff119cd5-d25b-464b-8657-8f9306de2dcd</errorID>
      <errorWord>(</errorWord>
      <group>L1_Format</group>
      <groupName>格式问题</groupName>
      <ability>L2_HalfPunc</ability>
      <abilityName>全半角检查</abilityName>
      <candidateList>
        <item>（</item>
      </candidateList>
      <explain>文本全半角错误。</explain>
      <paraID>26456618</paraID>
      <start>8</start>
      <end>9</end>
      <status>unmodified</status>
      <modifiedWord/>
      <trackRevisions>false</trackRevisions>
    </reviewItem>
    <reviewItem>
      <errorID>b8ad5e55-0b6d-4450-a886-9e4002630661</errorID>
      <errorWord>)</errorWord>
      <group>L1_Format</group>
      <groupName>格式问题</groupName>
      <ability>L2_HalfPunc</ability>
      <abilityName>全半角检查</abilityName>
      <candidateList>
        <item>）</item>
      </candidateList>
      <explain>文本全半角错误。</explain>
      <paraID>26456618</paraID>
      <start>12</start>
      <end>13</end>
      <status>unmodified</status>
      <modifiedWord/>
      <trackRevisions>false</trackRevisions>
    </reviewItem>
    <reviewItem>
      <errorID>3426b7cf-93ff-4530-8a11-a5b0510f0dea</errorID>
      <errorWord>(</errorWord>
      <group>L1_Format</group>
      <groupName>格式问题</groupName>
      <ability>L2_HalfPunc</ability>
      <abilityName>全半角检查</abilityName>
      <candidateList>
        <item>（</item>
      </candidateList>
      <explain>文本全半角错误。</explain>
      <paraID>79AA70C1</paraID>
      <start>16</start>
      <end>17</end>
      <status>unmodified</status>
      <modifiedWord/>
      <trackRevisions>false</trackRevisions>
    </reviewItem>
    <reviewItem>
      <errorID>f899ccde-5444-473c-bfca-da68b6f69ada</errorID>
      <errorWord>)</errorWord>
      <group>L1_Format</group>
      <groupName>格式问题</groupName>
      <ability>L2_HalfPunc</ability>
      <abilityName>全半角检查</abilityName>
      <candidateList>
        <item>）</item>
      </candidateList>
      <explain>文本全半角错误。</explain>
      <paraID>79AA70C1</paraID>
      <start>18</start>
      <end>19</end>
      <status>unmodified</status>
      <modifiedWord/>
      <trackRevisions>false</trackRevisions>
    </reviewItem>
    <reviewItem>
      <errorID>69b46167-17a8-4f21-bd0f-50ac2f1894a3</errorID>
      <errorWord>(</errorWord>
      <group>L1_Format</group>
      <groupName>格式问题</groupName>
      <ability>L2_HalfPunc</ability>
      <abilityName>全半角检查</abilityName>
      <candidateList>
        <item>（</item>
      </candidateList>
      <explain>文本全半角错误。</explain>
      <paraID> 20B7988</paraID>
      <start>9</start>
      <end>10</end>
      <status>unmodified</status>
      <modifiedWord/>
      <trackRevisions>false</trackRevisions>
    </reviewItem>
    <reviewItem>
      <errorID>9522073b-c8ab-484c-bc5b-d6192bf6adce</errorID>
      <errorWord>)</errorWord>
      <group>L1_Format</group>
      <groupName>格式问题</groupName>
      <ability>L2_HalfPunc</ability>
      <abilityName>全半角检查</abilityName>
      <candidateList>
        <item>）</item>
      </candidateList>
      <explain>文本全半角错误。</explain>
      <paraID> 20B7988</paraID>
      <start>14</start>
      <end>15</end>
      <status>unmodified</status>
      <modifiedWord/>
      <trackRevisions>false</trackRevisions>
    </reviewItem>
    <reviewItem>
      <errorID>b532352f-95f9-436e-9dbf-9ea9fc54df43</errorID>
      <errorWord>计</errorWord>
      <group>L1_Word</group>
      <groupName>字词问题</groupName>
      <ability>L2_Typo</ability>
      <abilityName>字词错误</abilityName>
      <candidateList>
        <item>计算</item>
      </candidateList>
      <explain/>
      <paraID>5B4BD7B3</paraID>
      <start>40</start>
      <end>41</end>
      <status>unmodified</status>
      <modifiedWord/>
      <trackRevisions>false</trackRevisions>
    </reviewItem>
    <reviewItem>
      <errorID>2631b29f-254e-4fee-bf41-f10918efe5a5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51EB74EF</paraID>
      <start>0</start>
      <end>2</end>
      <status>unmodified</status>
      <modifiedWord/>
      <trackRevisions>false</trackRevisions>
    </reviewItem>
    <reviewItem>
      <errorID>7db5b763-fd9b-40ae-b616-3042fa4c2996</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704DB5F8</paraID>
      <start>0</start>
      <end>2</end>
      <status>unmodified</status>
      <modifiedWord/>
      <trackRevisions>false</trackRevisions>
    </reviewItem>
    <reviewItem>
      <errorID>9c50cbf1-dfe4-44bb-a528-f45703dbac45</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132AA665</paraID>
      <start>0</start>
      <end>2</end>
      <status>unmodified</status>
      <modifiedWord/>
      <trackRevisions>false</trackRevisions>
    </reviewItem>
    <reviewItem>
      <errorID>1d13bbbe-48ef-45e8-9911-93b6d6937a3c</errorID>
      <errorWord>本</errorWord>
      <group>L1_Word</group>
      <groupName>字词问题</groupName>
      <ability>L2_Typo</ability>
      <abilityName>字词错误</abilityName>
      <candidateList>
        <item>本次</item>
      </candidateList>
      <explain/>
      <paraID> DFE6A3B</paraID>
      <start>108</start>
      <end>109</end>
      <status>unmodified</status>
      <modifiedWord/>
      <trackRevisions>false</trackRevisions>
    </reviewItem>
    <reviewItem>
      <errorID>0aadc594-8ef4-4662-9e1d-f8c22d358eec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46DE9CD0</paraID>
      <start>0</start>
      <end>2</end>
      <status>unmodified</status>
      <modifiedWord/>
      <trackRevisions>false</trackRevisions>
    </reviewItem>
    <reviewItem>
      <errorID>3c46f92d-b4f9-48d0-9671-3e90779ff049</errorID>
      <errorWord>膜</errorWord>
      <group>L1_Word</group>
      <groupName>字词问题</groupName>
      <ability>L2_Typo</ability>
      <abilityName>字词错误</abilityName>
      <candidateList>
        <item>模</item>
      </candidateList>
      <explain/>
      <paraID>1BE48B4A</paraID>
      <start>36</start>
      <end>37</end>
      <status>unmodified</status>
      <modifiedWord/>
      <trackRevisions>false</trackRevisions>
    </reviewItem>
    <reviewItem>
      <errorID>036066fc-395a-48a5-86df-5f21741b861f</errorID>
      <errorWord>浇注</errorWord>
      <group>L1_Word</group>
      <groupName>字词问题</groupName>
      <ability>L2_Typo</ability>
      <abilityName>字词错误</abilityName>
      <candidateList>
        <item>浇筑</item>
      </candidateList>
      <explain/>
      <paraID>38300079</paraID>
      <start>3</start>
      <end>5</end>
      <status>unmodified</status>
      <modifiedWord/>
      <trackRevisions>false</trackRevisions>
    </reviewItem>
    <reviewItem>
      <errorID>9db1352f-b520-468a-bf4e-2c10fe7c17a0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B1034E9</paraID>
      <start>59</start>
      <end>60</end>
      <status>unmodified</status>
      <modifiedWord/>
      <trackRevisions>false</trackRevisions>
    </reviewItem>
    <reviewItem>
      <errorID>e50a90f2-83d7-4e8c-a265-887530a2f863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B1034E9</paraID>
      <start>94</start>
      <end>95</end>
      <status>unmodified</status>
      <modifiedWord/>
      <trackRevisions>false</trackRevisions>
    </reviewItem>
    <reviewItem>
      <errorID>79b11249-ee9c-4abd-8975-aa6a7fb5ac84</errorID>
      <errorWord>)</errorWord>
      <group>L1_Format</group>
      <groupName>格式问题</groupName>
      <ability>L2_HalfPunc</ability>
      <abilityName>全半角检查</abilityName>
      <candidateList>
        <item>）</item>
      </candidateList>
      <explain>文本全半角错误。</explain>
      <paraID>7C9EB239</paraID>
      <start>6</start>
      <end>7</end>
      <status>unmodified</status>
      <modifiedWord/>
      <trackRevisions>false</trackRevisions>
    </reviewItem>
    <reviewItem>
      <errorID>e1709d9b-af72-4e7d-aa6b-9e1a273f7ff1</errorID>
      <errorWord>)</errorWord>
      <group>L1_Format</group>
      <groupName>格式问题</groupName>
      <ability>L2_HalfPunc</ability>
      <abilityName>全半角检查</abilityName>
      <candidateList>
        <item>）</item>
      </candidateList>
      <explain>文本全半角错误。</explain>
      <paraID>7F5E13B5</paraID>
      <start>7</start>
      <end>8</end>
      <status>unmodified</status>
      <modifiedWord/>
      <trackRevisions>false</trackRevisions>
    </reviewItem>
    <reviewItem>
      <errorID>0c73af73-b4cb-472d-a499-9a7b5ee7d797</errorID>
      <errorWord>(</errorWord>
      <group>L1_Format</group>
      <groupName>格式问题</groupName>
      <ability>L2_HalfPunc</ability>
      <abilityName>全半角检查</abilityName>
      <candidateList>
        <item>（</item>
      </candidateList>
      <explain>文本全半角错误。</explain>
      <paraID>1045C0C4</paraID>
      <start>17</start>
      <end>18</end>
      <status>unmodified</status>
      <modifiedWord/>
      <trackRevisions>false</trackRevisions>
    </reviewItem>
    <reviewItem>
      <errorID>1e521ff0-f405-47b7-b272-a0973f5efa52</errorID>
      <errorWord>)</errorWord>
      <group>L1_Format</group>
      <groupName>格式问题</groupName>
      <ability>L2_HalfPunc</ability>
      <abilityName>全半角检查</abilityName>
      <candidateList>
        <item>）</item>
      </candidateList>
      <explain>文本全半角错误。</explain>
      <paraID>1045C0C4</paraID>
      <start>20</start>
      <end>21</end>
      <status>unmodified</status>
      <modifiedWord/>
      <trackRevisions>false</trackRevisions>
    </reviewItem>
    <reviewItem>
      <errorID>934ed8ef-187b-4eaa-9ccf-33243394da9f</errorID>
      <errorWord>程</errorWord>
      <group>L1_Word</group>
      <groupName>字词问题</groupName>
      <ability>L2_Typo</ability>
      <abilityName>字词错误</abilityName>
      <candidateList>
        <item>程中</item>
      </candidateList>
      <explain/>
      <paraID>5AFF250D</paraID>
      <start>99</start>
      <end>100</end>
      <status>unmodified</status>
      <modifiedWord/>
      <trackRevisions>false</trackRevisions>
    </reviewItem>
    <reviewItem>
      <errorID>032bc545-7ba5-4a40-82de-7b666f9a0649</errorID>
      <errorWord>(</errorWord>
      <group>L1_Format</group>
      <groupName>格式问题</groupName>
      <ability>L2_HalfPunc</ability>
      <abilityName>全半角检查</abilityName>
      <candidateList>
        <item>（</item>
      </candidateList>
      <explain>文本全半角错误。</explain>
      <paraID>12FB311F</paraID>
      <start>15</start>
      <end>16</end>
      <status>unmodified</status>
      <modifiedWord/>
      <trackRevisions>false</trackRevisions>
    </reviewItem>
    <reviewItem>
      <errorID>5e8cf263-f60d-49bc-a526-1a009402d10b</errorID>
      <errorWord>)</errorWord>
      <group>L1_Format</group>
      <groupName>格式问题</groupName>
      <ability>L2_HalfPunc</ability>
      <abilityName>全半角检查</abilityName>
      <candidateList>
        <item>）</item>
      </candidateList>
      <explain>文本全半角错误。</explain>
      <paraID>12FB311F</paraID>
      <start>18</start>
      <end>19</end>
      <status>unmodified</status>
      <modifiedWord/>
      <trackRevisions>false</trackRevisions>
    </reviewItem>
    <reviewItem>
      <errorID>ae4d87e4-c985-4c85-a718-42f8f9385447</errorID>
      <errorWord>修正</errorWord>
      <group>L1_Word</group>
      <groupName>字词问题</groupName>
      <ability>L2_Typo</ability>
      <abilityName>字词错误</abilityName>
      <candidateList>
        <item>修整</item>
      </candidateList>
      <explain/>
      <paraID> 658DC4B</paraID>
      <start>23</start>
      <end>25</end>
      <status>unmodified</status>
      <modifiedWord/>
      <trackRevisions>false</trackRevisions>
    </reviewItem>
    <reviewItem>
      <errorID>0def35c4-a5e9-45a5-a247-63cb381cc9af</errorID>
      <errorWord>(</errorWord>
      <group>L1_Format</group>
      <groupName>格式问题</groupName>
      <ability>L2_HalfPunc</ability>
      <abilityName>全半角检查</abilityName>
      <candidateList>
        <item>（</item>
      </candidateList>
      <explain>文本全半角错误。</explain>
      <paraID>3165DCAB</paraID>
      <start>15</start>
      <end>16</end>
      <status>unmodified</status>
      <modifiedWord/>
      <trackRevisions>false</trackRevisions>
    </reviewItem>
    <reviewItem>
      <errorID>37dee21e-f656-4460-90a4-a10465186207</errorID>
      <errorWord>)</errorWord>
      <group>L1_Format</group>
      <groupName>格式问题</groupName>
      <ability>L2_HalfPunc</ability>
      <abilityName>全半角检查</abilityName>
      <candidateList>
        <item>）</item>
      </candidateList>
      <explain>文本全半角错误。</explain>
      <paraID>3165DCAB</paraID>
      <start>18</start>
      <end>19</end>
      <status>unmodified</status>
      <modifiedWord/>
      <trackRevisions>false</trackRevisions>
    </reviewItem>
    <reviewItem>
      <errorID>f8e4f43d-f2e4-492c-8a4b-f62e5385b946</errorID>
      <errorWord>(</errorWord>
      <group>L1_Format</group>
      <groupName>格式问题</groupName>
      <ability>L2_HalfPunc</ability>
      <abilityName>全半角检查</abilityName>
      <candidateList>
        <item>（</item>
      </candidateList>
      <explain>文本全半角错误。</explain>
      <paraID>191499EA</paraID>
      <start>15</start>
      <end>16</end>
      <status>unmodified</status>
      <modifiedWord/>
      <trackRevisions>false</trackRevisions>
    </reviewItem>
    <reviewItem>
      <errorID>6733da0a-6e46-42f8-9d94-9eb1e4f59b38</errorID>
      <errorWord>)</errorWord>
      <group>L1_Format</group>
      <groupName>格式问题</groupName>
      <ability>L2_HalfPunc</ability>
      <abilityName>全半角检查</abilityName>
      <candidateList>
        <item>）</item>
      </candidateList>
      <explain>文本全半角错误。</explain>
      <paraID>191499EA</paraID>
      <start>18</start>
      <end>19</end>
      <status>unmodified</status>
      <modifiedWord/>
      <trackRevisions>false</trackRevisions>
    </reviewItem>
    <reviewItem>
      <errorID>af2ab510-bba4-4d0a-81f4-a465792a3e13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74730869</paraID>
      <start>0</start>
      <end>2</end>
      <status>unmodified</status>
      <modifiedWord/>
      <trackRevisions>false</trackRevisions>
    </reviewItem>
    <reviewItem>
      <errorID>396e7181-3d19-4ca4-a66d-5bb6646ecfb2</errorID>
      <errorWord>完</errorWord>
      <group>L1_Word</group>
      <groupName>字词问题</groupName>
      <ability>L2_Typo</ability>
      <abilityName>字词错误</abilityName>
      <candidateList>
        <item>完成</item>
      </candidateList>
      <explain>〈动〉按照预期的目的结束；做成：～任务｜～作业｜计划完得成。</explain>
      <paraID>62DA687D</paraID>
      <start>12</start>
      <end>13</end>
      <status>unmodified</status>
      <modifiedWord/>
      <trackRevisions>false</trackRevisions>
    </reviewItem>
    <reviewItem>
      <errorID>e1e4f412-376b-474f-a300-39f8e173b14c</errorID>
      <errorWord>(</errorWord>
      <group>L1_Format</group>
      <groupName>格式问题</groupName>
      <ability>L2_HalfPunc</ability>
      <abilityName>全半角检查</abilityName>
      <candidateList>
        <item>（</item>
      </candidateList>
      <explain>文本全半角错误。</explain>
      <paraID>62DA687D</paraID>
      <start>21</start>
      <end>22</end>
      <status>unmodified</status>
      <modifiedWord/>
      <trackRevisions>false</trackRevisions>
    </reviewItem>
    <reviewItem>
      <errorID>6f585ae0-2a19-457b-a332-95eeb7fb060d</errorID>
      <errorWord>)</errorWord>
      <group>L1_Format</group>
      <groupName>格式问题</groupName>
      <ability>L2_HalfPunc</ability>
      <abilityName>全半角检查</abilityName>
      <candidateList>
        <item>）</item>
      </candidateList>
      <explain>文本全半角错误。</explain>
      <paraID>62DA687D</paraID>
      <start>24</start>
      <end>25</end>
      <status>unmodified</status>
      <modifiedWord/>
      <trackRevisions>false</trackRevisions>
    </reviewItem>
    <reviewItem>
      <errorID>eef762cf-c194-47f8-932f-e86cc672095c</errorID>
      <errorWord>(</errorWord>
      <group>L1_Format</group>
      <groupName>格式问题</groupName>
      <ability>L2_HalfPunc</ability>
      <abilityName>全半角检查</abilityName>
      <candidateList>
        <item>（</item>
      </candidateList>
      <explain>文本全半角错误。</explain>
      <paraID> DA24249</paraID>
      <start>37</start>
      <end>38</end>
      <status>unmodified</status>
      <modifiedWord/>
      <trackRevisions>false</trackRevisions>
    </reviewItem>
    <reviewItem>
      <errorID>047be9df-9099-47d2-9277-e49ee90b3dc9</errorID>
      <errorWord>)</errorWord>
      <group>L1_Format</group>
      <groupName>格式问题</groupName>
      <ability>L2_HalfPunc</ability>
      <abilityName>全半角检查</abilityName>
      <candidateList>
        <item>）</item>
      </candidateList>
      <explain>文本全半角错误。</explain>
      <paraID> DA24249</paraID>
      <start>40</start>
      <end>41</end>
      <status>unmodified</status>
      <modifiedWord/>
      <trackRevisions>false</trackRevisions>
    </reviewItem>
    <reviewItem>
      <errorID>d4553929-08e9-4318-9566-9318e0f566d8</errorID>
      <errorWord>程</errorWord>
      <group>L1_Word</group>
      <groupName>字词问题</groupName>
      <ability>L2_Typo</ability>
      <abilityName>字词错误</abilityName>
      <candidateList>
        <item>程中</item>
      </candidateList>
      <explain/>
      <paraID>1ACB24B0</paraID>
      <start>20</start>
      <end>21</end>
      <status>unmodified</status>
      <modifiedWord/>
      <trackRevisions>false</trackRevisions>
    </reviewItem>
    <reviewItem>
      <errorID>562e99d8-30d4-4ebc-b76c-9078ff48e4e2</errorID>
      <errorWord>(</errorWord>
      <group>L1_Format</group>
      <groupName>格式问题</groupName>
      <ability>L2_HalfPunc</ability>
      <abilityName>全半角检查</abilityName>
      <candidateList>
        <item>（</item>
      </candidateList>
      <explain>文本全半角错误。</explain>
      <paraID>2F4C8684</paraID>
      <start>39</start>
      <end>40</end>
      <status>unmodified</status>
      <modifiedWord/>
      <trackRevisions>false</trackRevisions>
    </reviewItem>
    <reviewItem>
      <errorID>ba440d66-9b96-4c99-aa20-73a56be98da6</errorID>
      <errorWord>)</errorWord>
      <group>L1_Format</group>
      <groupName>格式问题</groupName>
      <ability>L2_HalfPunc</ability>
      <abilityName>全半角检查</abilityName>
      <candidateList>
        <item>）</item>
      </candidateList>
      <explain>文本全半角错误。</explain>
      <paraID>2F4C8684</paraID>
      <start>42</start>
      <end>43</end>
      <status>unmodified</status>
      <modifiedWord/>
      <trackRevisions>false</trackRevisions>
    </reviewItem>
    <reviewItem>
      <errorID>295104ee-935b-4e64-97fd-2333a34fc3ff</errorID>
      <errorWord>网路</errorWord>
      <group>L1_Word</group>
      <groupName>字词问题</groupName>
      <ability>L2_Alias</ability>
      <abilityName>也作/曾用词</abilityName>
      <candidateList>
        <item>网络</item>
      </candidateList>
      <explain>词汇[网路]为不规范表述或旧称，其规范书面表述为[网络]。</explain>
      <paraID>2D0062A9</paraID>
      <start>43</start>
      <end>45</end>
      <status>modified</status>
      <modifiedWord>网络</modifiedWord>
      <trackRevisions>false</trackRevisions>
    </reviewItem>
    <reviewItem>
      <errorID>acb3ff06-b83a-4963-8f73-16bd8d0ebc03</errorID>
      <errorWord>）故</errorWord>
      <group>L1_Word</group>
      <groupName>字词问题</groupName>
      <ability>L2_Typo</ability>
      <abilityName>字词错误</abilityName>
      <candidateList>
        <item>）</item>
      </candidateList>
      <explain/>
      <paraID>36D86747</paraID>
      <start>2</start>
      <end>4</end>
      <status>unmodified</status>
      <modifiedWord/>
      <trackRevisions>false</trackRevisions>
    </reviewItem>
    <reviewItem>
      <errorID>0e1e2ba4-e4d4-4291-bb34-65f19385a923</errorID>
      <errorWord>目</errorWord>
      <group>L1_Word</group>
      <groupName>字词问题</groupName>
      <ability>L2_Typo</ability>
      <abilityName>字词错误</abilityName>
      <candidateList>
        <item>目在</item>
      </candidateList>
      <explain/>
      <paraID> BD065DC</paraID>
      <start>5</start>
      <end>6</end>
      <status>unmodified</status>
      <modifiedWord/>
      <trackRevisions>false</trackRevisions>
    </reviewItem>
    <reviewItem>
      <errorID>ee4381c3-9756-478f-8ce1-b6fcf346945d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D429D0C</paraID>
      <start>0</start>
      <end>2</end>
      <status>unmodified</status>
      <modifiedWord/>
      <trackRevisions>false</trackRevisions>
    </reviewItem>
    <reviewItem>
      <errorID>569ba83a-a531-4fbc-b9e3-97cde2b6b215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7B2BF8DF</paraID>
      <start>141</start>
      <end>142</end>
      <status>unmodified</status>
      <modifiedWord/>
      <trackRevisions>false</trackRevisions>
    </reviewItem>
    <reviewItem>
      <errorID>e4aad53d-0e1f-40fb-b651-281935883992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F09A6F4</paraID>
      <start>38</start>
      <end>39</end>
      <status>unmodified</status>
      <modifiedWord/>
      <trackRevisions>false</trackRevisions>
    </reviewItem>
    <reviewItem>
      <errorID>6c739b6e-4f71-4a55-b8d4-e2059ce5ea8f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6B2701D8</paraID>
      <start>0</start>
      <end>2</end>
      <status>unmodified</status>
      <modifiedWord/>
      <trackRevisions>false</trackRevisions>
    </reviewItem>
    <reviewItem>
      <errorID>502a8a3e-425b-4b75-af80-ced039cb2aa6</errorID>
      <errorWord>III类</errorWord>
      <group>L1_Knowledge</group>
      <groupName>知识性问题</groupName>
      <ability>L2_Knowledge</ability>
      <abilityName>其他知识</abilityName>
      <candidateList>
        <item>Ⅲ类</item>
      </candidateList>
      <explain/>
      <paraID>79D1BA86</paraID>
      <start>90</start>
      <end>92</end>
      <status>modified</status>
      <modifiedWord>Ⅲ类</modifiedWord>
      <trackRevisions>false</trackRevisions>
    </reviewItem>
    <reviewItem>
      <errorID>78fc3259-0d49-4653-808c-9a06579d30e6</errorID>
      <errorWord>III类</errorWord>
      <group>L1_Knowledge</group>
      <groupName>知识性问题</groupName>
      <ability>L2_Knowledge</ability>
      <abilityName>其他知识</abilityName>
      <candidateList>
        <item>Ⅲ类</item>
      </candidateList>
      <explain/>
      <paraID>79D1BA86</paraID>
      <start>145</start>
      <end>147</end>
      <status>modified</status>
      <modifiedWord>Ⅲ类</modifiedWord>
      <trackRevisions>false</trackRevisions>
    </reviewItem>
    <reviewItem>
      <errorID>5405be49-e145-4085-b943-b7c139cfaad2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5C577668</paraID>
      <start>117</start>
      <end>118</end>
      <status>unmodified</status>
      <modifiedWord/>
      <trackRevisions>false</trackRevisions>
    </reviewItem>
    <reviewItem>
      <errorID>1c72124b-a9bb-46a1-b6ae-0d813e2f910c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1A0F3445</paraID>
      <start>32</start>
      <end>33</end>
      <status>unmodified</status>
      <modifiedWord/>
      <trackRevisions>false</trackRevisions>
    </reviewItem>
    <reviewItem>
      <errorID>b43c7b38-5b12-41f8-b3fd-84f548d0a438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72504F3E</paraID>
      <start>0</start>
      <end>2</end>
      <status>unmodified</status>
      <modifiedWord/>
      <trackRevisions>false</trackRevisions>
    </reviewItem>
    <reviewItem>
      <errorID>b5ede2d6-0b36-4a88-be32-60859d3f2397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86ADC4D</paraID>
      <start>0</start>
      <end>2</end>
      <status>unmodified</status>
      <modifiedWord/>
      <trackRevisions>false</trackRevisions>
    </reviewItem>
    <reviewItem>
      <errorID>e06c7393-5683-4fdf-b1b4-785d621e7dc4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66C569C</paraID>
      <start>0</start>
      <end>2</end>
      <status>unmodified</status>
      <modifiedWord/>
      <trackRevisions>false</trackRevisions>
    </reviewItem>
    <reviewItem>
      <errorID>7caa22ec-c37b-4360-9e0f-868dcef92c2b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BE1B561</paraID>
      <start>0</start>
      <end>2</end>
      <status>unmodified</status>
      <modifiedWord/>
      <trackRevisions>false</trackRevisions>
    </reviewItem>
    <reviewItem>
      <errorID>817aef0f-cccf-46ea-9e40-95f596d36804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39CF740E</paraID>
      <start>0</start>
      <end>2</end>
      <status>unmodified</status>
      <modifiedWord/>
      <trackRevisions>false</trackRevisions>
    </reviewItem>
    <reviewItem>
      <errorID>ebb3232a-383e-4f40-956c-8e4d00224997</errorID>
      <errorWord>(</errorWord>
      <group>L1_Format</group>
      <groupName>格式问题</groupName>
      <ability>L2_HalfPunc</ability>
      <abilityName>全半角检查</abilityName>
      <candidateList>
        <item>（</item>
      </candidateList>
      <explain>文本全半角错误。</explain>
      <paraID>59322F48</paraID>
      <start>6</start>
      <end>7</end>
      <status>unmodified</status>
      <modifiedWord/>
      <trackRevisions>false</trackRevisions>
    </reviewItem>
    <reviewItem>
      <errorID>93f84d0e-7938-45ca-8ea9-d33e16812333</errorID>
      <errorWord>)</errorWord>
      <group>L1_Format</group>
      <groupName>格式问题</groupName>
      <ability>L2_HalfPunc</ability>
      <abilityName>全半角检查</abilityName>
      <candidateList>
        <item>）</item>
      </candidateList>
      <explain>文本全半角错误。</explain>
      <paraID>59322F48</paraID>
      <start>12</start>
      <end>13</end>
      <status>unmodified</status>
      <modifiedWord/>
      <trackRevisions>false</trackRevisions>
    </reviewItem>
    <reviewItem>
      <errorID>de01ca7c-9997-457e-bcc0-e9ad784e20f9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5BD6058C</paraID>
      <start>0</start>
      <end>2</end>
      <status>unmodified</status>
      <modifiedWord/>
      <trackRevisions>false</trackRevisions>
    </reviewItem>
    <reviewItem>
      <errorID>c88245ba-51e5-40bb-a3e2-1470c92f88a9</errorID>
      <errorWord>(</errorWord>
      <group>L1_Format</group>
      <groupName>格式问题</groupName>
      <ability>L2_HalfPunc</ability>
      <abilityName>全半角检查</abilityName>
      <candidateList>
        <item>（</item>
      </candidateList>
      <explain>文本全半角错误。</explain>
      <paraID> 12EB584</paraID>
      <start>16</start>
      <end>17</end>
      <status>unmodified</status>
      <modifiedWord/>
      <trackRevisions>false</trackRevisions>
    </reviewItem>
    <reviewItem>
      <errorID>709dd526-22aa-4ac0-908c-2bc391e20e5e</errorID>
      <errorWord>(</errorWord>
      <group>L1_Format</group>
      <groupName>格式问题</groupName>
      <ability>L2_HalfPunc</ability>
      <abilityName>全半角检查</abilityName>
      <candidateList>
        <item>（</item>
      </candidateList>
      <explain>文本全半角错误。</explain>
      <paraID>30222648</paraID>
      <start>30</start>
      <end>31</end>
      <status>unmodified</status>
      <modifiedWord/>
      <trackRevisions>false</trackRevisions>
    </reviewItem>
    <reviewItem>
      <errorID>0ec57e40-d6a2-466d-ba99-16845b1ee6e0</errorID>
      <errorWord>（</errorWord>
      <group>L1_Format</group>
      <groupName>格式问题</groupName>
      <ability>L2_HalfPunc</ability>
      <abilityName>全半角检查</abilityName>
      <candidateList>
        <item>(</item>
      </candidateList>
      <explain>文本全半角错误。</explain>
      <paraID>51D2C4D6</paraID>
      <start>1</start>
      <end>2</end>
      <status>unmodified</status>
      <modifiedWord/>
      <trackRevisions>false</trackRevisions>
    </reviewItem>
    <reviewItem>
      <errorID>3cfd8d18-699e-4256-b0df-b1a0421b11d0</errorID>
      <errorWord>）</errorWord>
      <group>L1_Format</group>
      <groupName>格式问题</groupName>
      <ability>L2_HalfPunc</ability>
      <abilityName>全半角检查</abilityName>
      <candidateList>
        <item>)</item>
      </candidateList>
      <explain>文本全半角错误。</explain>
      <paraID>51D2C4D6</paraID>
      <start>3</start>
      <end>4</end>
      <status>unmodified</status>
      <modifiedWord/>
      <trackRevisions>false</trackRevisions>
    </reviewItem>
    <reviewItem>
      <errorID>013253cd-5b95-47a8-b5d3-826a44c4cb58</errorID>
      <errorWord>（</errorWord>
      <group>L1_Format</group>
      <groupName>格式问题</groupName>
      <ability>L2_HalfPunc</ability>
      <abilityName>全半角检查</abilityName>
      <candidateList>
        <item>(</item>
      </candidateList>
      <explain>文本全半角错误。</explain>
      <paraID>30DA1AA0</paraID>
      <start>2</start>
      <end>3</end>
      <status>unmodified</status>
      <modifiedWord/>
      <trackRevisions>false</trackRevisions>
    </reviewItem>
    <reviewItem>
      <errorID>e667692f-fa9f-47f4-97d5-6c2ebb45ba81</errorID>
      <errorWord>）</errorWord>
      <group>L1_Format</group>
      <groupName>格式问题</groupName>
      <ability>L2_HalfPunc</ability>
      <abilityName>全半角检查</abilityName>
      <candidateList>
        <item>)</item>
      </candidateList>
      <explain>文本全半角错误。</explain>
      <paraID>30DA1AA0</paraID>
      <start>5</start>
      <end>6</end>
      <status>unmodified</status>
      <modifiedWord/>
      <trackRevisions>false</trackRevisions>
    </reviewItem>
    <reviewItem>
      <errorID>6103fec6-9b35-47c1-8996-1640775564dc</errorID>
      <errorWord>（</errorWord>
      <group>L1_Format</group>
      <groupName>格式问题</groupName>
      <ability>L2_HalfPunc</ability>
      <abilityName>全半角检查</abilityName>
      <candidateList>
        <item>(</item>
      </candidateList>
      <explain>文本全半角错误。</explain>
      <paraID>5EFB6C5F</paraID>
      <start>1</start>
      <end>2</end>
      <status>unmodified</status>
      <modifiedWord/>
      <trackRevisions>false</trackRevisions>
    </reviewItem>
    <reviewItem>
      <errorID>5e882d2f-79a3-4cc6-93de-c81c3174f23f</errorID>
      <errorWord>）</errorWord>
      <group>L1_Format</group>
      <groupName>格式问题</groupName>
      <ability>L2_HalfPunc</ability>
      <abilityName>全半角检查</abilityName>
      <candidateList>
        <item>)</item>
      </candidateList>
      <explain>文本全半角错误。</explain>
      <paraID>5EFB6C5F</paraID>
      <start>3</start>
      <end>4</end>
      <status>unmodified</status>
      <modifiedWord/>
      <trackRevisions>false</trackRevisions>
    </reviewItem>
    <reviewItem>
      <errorID>5f792a5c-0816-4187-b17b-8bb815379574</errorID>
      <errorWord>（</errorWord>
      <group>L1_Format</group>
      <groupName>格式问题</groupName>
      <ability>L2_HalfPunc</ability>
      <abilityName>全半角检查</abilityName>
      <candidateList>
        <item>(</item>
      </candidateList>
      <explain>文本全半角错误。</explain>
      <paraID>48B335BE</paraID>
      <start>2</start>
      <end>3</end>
      <status>unmodified</status>
      <modifiedWord/>
      <trackRevisions>false</trackRevisions>
    </reviewItem>
    <reviewItem>
      <errorID>314e8257-44a6-41ed-83ee-30d5dee4ac9b</errorID>
      <errorWord>）</errorWord>
      <group>L1_Format</group>
      <groupName>格式问题</groupName>
      <ability>L2_HalfPunc</ability>
      <abilityName>全半角检查</abilityName>
      <candidateList>
        <item>)</item>
      </candidateList>
      <explain>文本全半角错误。</explain>
      <paraID>48B335BE</paraID>
      <start>5</start>
      <end>6</end>
      <status>unmodified</status>
      <modifiedWord/>
      <trackRevisions>false</trackRevisions>
    </reviewItem>
    <reviewItem>
      <errorID>56e832d7-cb69-4285-8ed6-a55414b5d90e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4CC50580</paraID>
      <start>0</start>
      <end>2</end>
      <status>unmodified</status>
      <modifiedWord/>
      <trackRevisions>false</trackRevisions>
    </reviewItem>
    <reviewItem>
      <errorID>7c316386-6fd1-4e88-8686-e58527dafeeb</errorID>
      <errorWord>（</errorWord>
      <group>L1_Format</group>
      <groupName>格式问题</groupName>
      <ability>L2_HalfPunc</ability>
      <abilityName>全半角检查</abilityName>
      <candidateList>
        <item>(</item>
      </candidateList>
      <explain>文本全半角错误。</explain>
      <paraID>44CD738B</paraID>
      <start>5</start>
      <end>6</end>
      <status>unmodified</status>
      <modifiedWord/>
      <trackRevisions>false</trackRevisions>
    </reviewItem>
    <reviewItem>
      <errorID>09c1dea2-fb79-491b-b041-c75852ed4637</errorID>
      <errorWord>）</errorWord>
      <group>L1_Format</group>
      <groupName>格式问题</groupName>
      <ability>L2_HalfPunc</ability>
      <abilityName>全半角检查</abilityName>
      <candidateList>
        <item>)</item>
      </candidateList>
      <explain>文本全半角错误。</explain>
      <paraID>44CD738B</paraID>
      <start>7</start>
      <end>8</end>
      <status>unmodified</status>
      <modifiedWord/>
      <trackRevisions>false</trackRevisions>
    </reviewItem>
    <reviewItem>
      <errorID>1de0d67d-6362-4de6-a2db-a4aeb3d26a49</errorID>
      <errorWord>（</errorWord>
      <group>L1_Format</group>
      <groupName>格式问题</groupName>
      <ability>L2_HalfPunc</ability>
      <abilityName>全半角检查</abilityName>
      <candidateList>
        <item>(</item>
      </candidateList>
      <explain>文本全半角错误。</explain>
      <paraID>48610CBE</paraID>
      <start>5</start>
      <end>6</end>
      <status>unmodified</status>
      <modifiedWord/>
      <trackRevisions>false</trackRevisions>
    </reviewItem>
    <reviewItem>
      <errorID>2c1092c6-4512-42ec-b40f-f69a547e016d</errorID>
      <errorWord>）</errorWord>
      <group>L1_Format</group>
      <groupName>格式问题</groupName>
      <ability>L2_HalfPunc</ability>
      <abilityName>全半角检查</abilityName>
      <candidateList>
        <item>)</item>
      </candidateList>
      <explain>文本全半角错误。</explain>
      <paraID>48610CBE</paraID>
      <start>7</start>
      <end>8</end>
      <status>unmodified</status>
      <modifiedWord/>
      <trackRevisions>false</trackRevisions>
    </reviewItem>
    <reviewItem>
      <errorID>83848309-f9a6-42f2-8c69-3759087ac338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137F2B53</paraID>
      <start>0</start>
      <end>2</end>
      <status>unmodified</status>
      <modifiedWord/>
      <trackRevisions>false</trackRevisions>
    </reviewItem>
    <reviewItem>
      <errorID>fdcc1965-3ec7-4850-a8ee-c78905255ffa</errorID>
      <errorWord>&lt;</errorWord>
      <group>L1_Format</group>
      <groupName>格式问题</groupName>
      <ability>L2_HalfPunc</ability>
      <abilityName>全半角检查</abilityName>
      <candidateList>
        <item>〈</item>
      </candidateList>
      <explain>文本全半角错误。</explain>
      <paraID> 59D6F3E</paraID>
      <start>47</start>
      <end>48</end>
      <status>unmodified</status>
      <modifiedWord/>
      <trackRevisions>false</trackRevisions>
    </reviewItem>
    <reviewItem>
      <errorID>2f53bc43-3092-4da6-a999-849304605558</errorID>
      <errorWord>&gt;的通知》</errorWord>
      <group>L1_Punc</group>
      <groupName>标点问题</groupName>
      <ability>L2_Punc</ability>
      <abilityName>标点符号检查</abilityName>
      <candidateList>
        <item>〉的通知》</item>
      </candidateList>
      <explain/>
      <paraID> 59D6F3E</paraID>
      <start>66</start>
      <end>71</end>
      <status>unmodified</status>
      <modifiedWord/>
      <trackRevisions>false</trackRevisions>
    </reviewItem>
    <reviewItem>
      <errorID>426c64e1-8922-42cd-9bea-d44792ca90e1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34E3293C</paraID>
      <start>0</start>
      <end>2</end>
      <status>unmodified</status>
      <modifiedWord/>
      <trackRevisions>false</trackRevisions>
    </reviewItem>
    <reviewItem>
      <errorID>f54a963a-2696-4c59-9617-e8d07ee2f852</errorID>
      <errorWord>(</errorWord>
      <group>L1_Format</group>
      <groupName>格式问题</groupName>
      <ability>L2_HalfPunc</ability>
      <abilityName>全半角检查</abilityName>
      <candidateList>
        <item>（</item>
      </candidateList>
      <explain>文本全半角错误。</explain>
      <paraID>53061C32</paraID>
      <start>19</start>
      <end>20</end>
      <status>unmodified</status>
      <modifiedWord/>
      <trackRevisions>false</trackRevisions>
    </reviewItem>
    <reviewItem>
      <errorID>f0a3db85-c767-4280-ae14-4ef825e2b454</errorID>
      <errorWord>)</errorWord>
      <group>L1_Format</group>
      <groupName>格式问题</groupName>
      <ability>L2_HalfPunc</ability>
      <abilityName>全半角检查</abilityName>
      <candidateList>
        <item>）</item>
      </candidateList>
      <explain>文本全半角错误。</explain>
      <paraID>53061C32</paraID>
      <start>23</start>
      <end>24</end>
      <status>unmodified</status>
      <modifiedWord/>
      <trackRevisions>false</trackRevisions>
    </reviewItem>
    <reviewItem>
      <errorID>4216af18-732f-4412-bb10-244dc7ed792a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7425CF2D</paraID>
      <start>0</start>
      <end>2</end>
      <status>unmodified</status>
      <modifiedWord/>
      <trackRevisions>false</trackRevisions>
    </reviewItem>
    <reviewItem>
      <errorID>3bb46323-fa9f-4f88-83fe-93bc058347d8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43133A25</paraID>
      <start>0</start>
      <end>2</end>
      <status>unmodified</status>
      <modifiedWord/>
      <trackRevisions>false</trackRevisions>
    </reviewItem>
    <reviewItem>
      <errorID>5cd93895-6785-498e-8de7-5321400d4977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6F404E65</paraID>
      <start>210</start>
      <end>211</end>
      <status>unmodified</status>
      <modifiedWord/>
      <trackRevisions>false</trackRevisions>
    </reviewItem>
    <reviewItem>
      <errorID>0d1ceebe-3c3a-4371-8fd3-e27dd05c03ba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6F404E65</paraID>
      <start>289</start>
      <end>290</end>
      <status>unmodified</status>
      <modifiedWord/>
      <trackRevisions>false</trackRevisions>
    </reviewItem>
    <reviewItem>
      <errorID>547a0361-da25-46e3-885a-fea85136b802</errorID>
      <errorWord>-</errorWord>
      <group>L1_Knowledge</group>
      <groupName>知识性问题</groupName>
      <ability>L2_Knowledge</ability>
      <abilityName>其他知识</abilityName>
      <candidateList>
        <item>～</item>
      </candidateList>
      <explain>连接号使用不恰当</explain>
      <paraID>5796A756</paraID>
      <start>12</start>
      <end>13</end>
      <status>unmodified</status>
      <modifiedWord/>
      <trackRevisions>false</trackRevisions>
    </reviewItem>
    <reviewItem>
      <errorID>48113f2c-ce56-42c7-9b4b-5c41ef74b821</errorID>
      <errorWord>中科院</errorWord>
      <group>L1_Knowledge</group>
      <groupName>知识性问题</groupName>
      <ability>L2_Knowledge</ability>
      <abilityName>其他知识</abilityName>
      <candidateList>
        <item>中国科学院</item>
      </candidateList>
      <explain/>
      <paraID>5796A756</paraID>
      <start>65</start>
      <end>68</end>
      <status>unmodified</status>
      <modifiedWord/>
      <trackRevisions>false</trackRevisions>
    </reviewItem>
    <reviewItem>
      <errorID>4032551e-01e4-4f82-8690-88b9da4b81d3</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12B640FA</paraID>
      <start>156</start>
      <end>157</end>
      <status>unmodified</status>
      <modifiedWord/>
      <trackRevisions>false</trackRevisions>
    </reviewItem>
    <reviewItem>
      <errorID>62559f55-55ae-4b94-b581-9b729b68da79</errorID>
      <errorWord>作</errorWord>
      <group>L1_Word</group>
      <groupName>字词问题</groupName>
      <ability>L2_Typo</ability>
      <abilityName>字词错误</abilityName>
      <candidateList>
        <item>做</item>
      </candidateList>
      <explain>存在发音相同字词的误用。</explain>
      <paraID>12B640FA</paraID>
      <start>167</start>
      <end>168</end>
      <status>unmodified</status>
      <modifiedWord/>
      <trackRevisions>false</trackRevisions>
    </reviewItem>
    <reviewItem>
      <errorID>e464559c-e050-4134-87da-644b8bb028ee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241E22B2</paraID>
      <start>0</start>
      <end>2</end>
      <status>unmodified</status>
      <modifiedWord/>
      <trackRevisions>false</trackRevisions>
    </reviewItem>
    <reviewItem>
      <errorID>cd738f1f-ddb7-40d1-8e5e-334df7930a3a</errorID>
      <errorWord>（</errorWord>
      <group>L1_Format</group>
      <groupName>格式问题</groupName>
      <ability>L2_HalfPunc</ability>
      <abilityName>全半角检查</abilityName>
      <candidateList>
        <item>(</item>
      </candidateList>
      <explain>文本全半角错误。</explain>
      <paraID>593B69AC</paraID>
      <start>1</start>
      <end>2</end>
      <status>unmodified</status>
      <modifiedWord/>
      <trackRevisions>false</trackRevisions>
    </reviewItem>
    <reviewItem>
      <errorID>16c1136b-2415-4a76-983a-c0d7ae0220b5</errorID>
      <errorWord>）</errorWord>
      <group>L1_Format</group>
      <groupName>格式问题</groupName>
      <ability>L2_HalfPunc</ability>
      <abilityName>全半角检查</abilityName>
      <candidateList>
        <item>)</item>
      </candidateList>
      <explain>文本全半角错误。</explain>
      <paraID>593B69AC</paraID>
      <start>3</start>
      <end>4</end>
      <status>unmodified</status>
      <modifiedWord/>
      <trackRevisions>false</trackRevisions>
    </reviewItem>
    <reviewItem>
      <errorID>e01861be-b2cc-4145-af18-f8093d3129cf</errorID>
      <errorWord>罩口</errorWord>
      <group>L1_Word</group>
      <groupName>字词问题</groupName>
      <ability>L2_Typo</ability>
      <abilityName>字词错误</abilityName>
      <candidateList>
        <item>口罩</item>
      </candidateList>
      <explain/>
      <paraID>3147675B</paraID>
      <start>0</start>
      <end>2</end>
      <status>unmodified</status>
      <modifiedWord/>
      <trackRevisions>false</trackRevisions>
    </reviewItem>
    <reviewItem>
      <errorID>6fffa88f-5200-4317-9d2c-89f1a5edc066</errorID>
      <errorWord>（</errorWord>
      <group>L1_Format</group>
      <groupName>格式问题</groupName>
      <ability>L2_HalfPunc</ability>
      <abilityName>全半角检查</abilityName>
      <candidateList>
        <item>(</item>
      </candidateList>
      <explain>文本全半角错误。</explain>
      <paraID> C04DD2E</paraID>
      <start>2</start>
      <end>3</end>
      <status>unmodified</status>
      <modifiedWord/>
      <trackRevisions>false</trackRevisions>
    </reviewItem>
    <reviewItem>
      <errorID>24d7e843-5d36-402f-b6ba-91266760d227</errorID>
      <errorWord>）</errorWord>
      <group>L1_Format</group>
      <groupName>格式问题</groupName>
      <ability>L2_HalfPunc</ability>
      <abilityName>全半角检查</abilityName>
      <candidateList>
        <item>)</item>
      </candidateList>
      <explain>文本全半角错误。</explain>
      <paraID> C04DD2E</paraID>
      <start>6</start>
      <end>7</end>
      <status>unmodified</status>
      <modifiedWord/>
      <trackRevisions>false</trackRevisions>
    </reviewItem>
    <reviewItem>
      <errorID>c90e6702-a196-4409-80a9-6823f9b6ed36</errorID>
      <errorWord>（</errorWord>
      <group>L1_Format</group>
      <groupName>格式问题</groupName>
      <ability>L2_HalfPunc</ability>
      <abilityName>全半角检查</abilityName>
      <candidateList>
        <item>(</item>
      </candidateList>
      <explain>文本全半角错误。</explain>
      <paraID>70C7EBD3</paraID>
      <start>1</start>
      <end>2</end>
      <status>unmodified</status>
      <modifiedWord/>
      <trackRevisions>false</trackRevisions>
    </reviewItem>
    <reviewItem>
      <errorID>0868d97c-d586-4e3b-8d57-bb547956dead</errorID>
      <errorWord>）</errorWord>
      <group>L1_Format</group>
      <groupName>格式问题</groupName>
      <ability>L2_HalfPunc</ability>
      <abilityName>全半角检查</abilityName>
      <candidateList>
        <item>)</item>
      </candidateList>
      <explain>文本全半角错误。</explain>
      <paraID>70C7EBD3</paraID>
      <start>6</start>
      <end>7</end>
      <status>unmodified</status>
      <modifiedWord/>
      <trackRevisions>false</trackRevisions>
    </reviewItem>
    <reviewItem>
      <errorID>6b85d0ba-5413-4485-998e-34d94fe7a776</errorID>
      <errorWord>（</errorWord>
      <group>L1_Format</group>
      <groupName>格式问题</groupName>
      <ability>L2_HalfPunc</ability>
      <abilityName>全半角检查</abilityName>
      <candidateList>
        <item>(</item>
      </candidateList>
      <explain>文本全半角错误。</explain>
      <paraID>38CC5456</paraID>
      <start>1</start>
      <end>2</end>
      <status>unmodified</status>
      <modifiedWord/>
      <trackRevisions>false</trackRevisions>
    </reviewItem>
    <reviewItem>
      <errorID>f76cd738-2694-4357-9b62-56ca0953246e</errorID>
      <errorWord>）</errorWord>
      <group>L1_Format</group>
      <groupName>格式问题</groupName>
      <ability>L2_HalfPunc</ability>
      <abilityName>全半角检查</abilityName>
      <candidateList>
        <item>)</item>
      </candidateList>
      <explain>文本全半角错误。</explain>
      <paraID>38CC5456</paraID>
      <start>3</start>
      <end>4</end>
      <status>unmodified</status>
      <modifiedWord/>
      <trackRevisions>false</trackRevisions>
    </reviewItem>
    <reviewItem>
      <errorID>bc3c858c-aeb7-47b3-bb34-c7dc89137821</errorID>
      <errorWord>(</errorWord>
      <group>L1_Format</group>
      <groupName>格式问题</groupName>
      <ability>L2_HalfPunc</ability>
      <abilityName>全半角检查</abilityName>
      <candidateList>
        <item>（</item>
      </candidateList>
      <explain>文本全半角错误。</explain>
      <paraID> 5BF762D</paraID>
      <start>55</start>
      <end>56</end>
      <status>unmodified</status>
      <modifiedWord/>
      <trackRevisions>false</trackRevisions>
    </reviewItem>
    <reviewItem>
      <errorID>3e9e31cf-9698-424b-981a-88f73e0cca80</errorID>
      <errorWord>)</errorWord>
      <group>L1_Format</group>
      <groupName>格式问题</groupName>
      <ability>L2_HalfPunc</ability>
      <abilityName>全半角检查</abilityName>
      <candidateList>
        <item>）</item>
      </candidateList>
      <explain>文本全半角错误。</explain>
      <paraID> 5BF762D</paraID>
      <start>61</start>
      <end>62</end>
      <status>unmodified</status>
      <modifiedWord/>
      <trackRevisions>false</trackRevisions>
    </reviewItem>
    <reviewItem>
      <errorID>c4d0eed4-e4b3-499f-aa91-e8f7103ac8c7</errorID>
      <errorWord>（</errorWord>
      <group>L1_Format</group>
      <groupName>格式问题</groupName>
      <ability>L2_HalfPunc</ability>
      <abilityName>全半角检查</abilityName>
      <candidateList>
        <item>(</item>
      </candidateList>
      <explain>文本全半角错误。</explain>
      <paraID>356C6A05</paraID>
      <start>2</start>
      <end>3</end>
      <status>unmodified</status>
      <modifiedWord/>
      <trackRevisions>false</trackRevisions>
    </reviewItem>
    <reviewItem>
      <errorID>241e65a5-2573-45ef-96c7-be819efd79a4</errorID>
      <errorWord>）</errorWord>
      <group>L1_Format</group>
      <groupName>格式问题</groupName>
      <ability>L2_HalfPunc</ability>
      <abilityName>全半角检查</abilityName>
      <candidateList>
        <item>)</item>
      </candidateList>
      <explain>文本全半角错误。</explain>
      <paraID>356C6A05</paraID>
      <start>19</start>
      <end>20</end>
      <status>unmodified</status>
      <modifiedWord/>
      <trackRevisions>false</trackRevisions>
    </reviewItem>
    <reviewItem>
      <errorID>bc194288-18b1-4fa7-b5ce-97157933486a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6733B8F2</paraID>
      <start>0</start>
      <end>2</end>
      <status>unmodified</status>
      <modifiedWord/>
      <trackRevisions>false</trackRevisions>
    </reviewItem>
    <reviewItem>
      <errorID>520d2839-d0b5-48ae-8ff2-a1dd7705aa12</errorID>
      <errorWord>(</errorWord>
      <group>L1_Format</group>
      <groupName>格式问题</groupName>
      <ability>L2_HalfPunc</ability>
      <abilityName>全半角检查</abilityName>
      <candidateList>
        <item>（</item>
      </candidateList>
      <explain>文本全半角错误。</explain>
      <paraID>5139BDD8</paraID>
      <start>4</start>
      <end>5</end>
      <status>unmodified</status>
      <modifiedWord/>
      <trackRevisions>false</trackRevisions>
    </reviewItem>
    <reviewItem>
      <errorID>71e91067-8a6b-4337-9e89-0298477bdd1e</errorID>
      <errorWord>)</errorWord>
      <group>L1_Format</group>
      <groupName>格式问题</groupName>
      <ability>L2_HalfPunc</ability>
      <abilityName>全半角检查</abilityName>
      <candidateList>
        <item>）</item>
      </candidateList>
      <explain>文本全半角错误。</explain>
      <paraID>5139BDD8</paraID>
      <start>6</start>
      <end>7</end>
      <status>unmodified</status>
      <modifiedWord/>
      <trackRevisions>false</trackRevisions>
    </reviewItem>
    <reviewItem>
      <errorID>6397cb01-962e-4226-9bf9-b6492d89a1eb</errorID>
      <errorWord>(</errorWord>
      <group>L1_Format</group>
      <groupName>格式问题</groupName>
      <ability>L2_HalfPunc</ability>
      <abilityName>全半角检查</abilityName>
      <candidateList>
        <item>（</item>
      </candidateList>
      <explain>文本全半角错误。</explain>
      <paraID>5386B0D1</paraID>
      <start>4</start>
      <end>5</end>
      <status>unmodified</status>
      <modifiedWord/>
      <trackRevisions>false</trackRevisions>
    </reviewItem>
    <reviewItem>
      <errorID>7cf03122-dfe6-4c84-926f-810cf1ea14f5</errorID>
      <errorWord>)</errorWord>
      <group>L1_Format</group>
      <groupName>格式问题</groupName>
      <ability>L2_HalfPunc</ability>
      <abilityName>全半角检查</abilityName>
      <candidateList>
        <item>）</item>
      </candidateList>
      <explain>文本全半角错误。</explain>
      <paraID>5386B0D1</paraID>
      <start>6</start>
      <end>7</end>
      <status>unmodified</status>
      <modifiedWord/>
      <trackRevisions>false</trackRevisions>
    </reviewItem>
    <reviewItem>
      <errorID>3efd1e63-eb1f-4376-8a59-d38b3c9a0901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126EF1BC</paraID>
      <start>0</start>
      <end>2</end>
      <status>unmodified</status>
      <modifiedWord/>
      <trackRevisions>false</trackRevisions>
    </reviewItem>
    <reviewItem>
      <errorID>056c1e8f-6355-425b-bf08-ec27d4bd91c6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722F3470</paraID>
      <start>0</start>
      <end>2</end>
      <status>unmodified</status>
      <modifiedWord/>
      <trackRevisions>false</trackRevisions>
    </reviewItem>
    <reviewItem>
      <errorID>4610a573-a29e-48c4-b181-202ac1a8788f</errorID>
      <errorWord>(</errorWord>
      <group>L1_Format</group>
      <groupName>格式问题</groupName>
      <ability>L2_HalfPunc</ability>
      <abilityName>全半角检查</abilityName>
      <candidateList>
        <item>（</item>
      </candidateList>
      <explain>文本全半角错误。</explain>
      <paraID>49518466</paraID>
      <start>2</start>
      <end>3</end>
      <status>unmodified</status>
      <modifiedWord/>
      <trackRevisions>false</trackRevisions>
    </reviewItem>
    <reviewItem>
      <errorID>e36598f1-7fcd-404e-a2ad-0c24cae77e88</errorID>
      <errorWord>)</errorWord>
      <group>L1_Format</group>
      <groupName>格式问题</groupName>
      <ability>L2_HalfPunc</ability>
      <abilityName>全半角检查</abilityName>
      <candidateList>
        <item>）</item>
      </candidateList>
      <explain>文本全半角错误。</explain>
      <paraID>49518466</paraID>
      <start>8</start>
      <end>9</end>
      <status>unmodified</status>
      <modifiedWord/>
      <trackRevisions>false</trackRevisions>
    </reviewItem>
    <reviewItem>
      <errorID>a2f2db6e-e936-4c0d-89c5-b07f10ccb263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C7E1305</paraID>
      <start>0</start>
      <end>2</end>
      <status>unmodified</status>
      <modifiedWord/>
      <trackRevisions>false</trackRevisions>
    </reviewItem>
    <reviewItem>
      <errorID>eafadfaf-65f6-4887-aff3-57c70c087488</errorID>
      <errorWord>(</errorWord>
      <group>L1_Format</group>
      <groupName>格式问题</groupName>
      <ability>L2_HalfPunc</ability>
      <abilityName>全半角检查</abilityName>
      <candidateList>
        <item>（</item>
      </candidateList>
      <explain>文本全半角错误。</explain>
      <paraID>190A1351</paraID>
      <start>27</start>
      <end>28</end>
      <status>unmodified</status>
      <modifiedWord/>
      <trackRevisions>false</trackRevisions>
    </reviewItem>
    <reviewItem>
      <errorID>938d8421-b19f-4edb-a0d2-84f0f162ef7c</errorID>
      <errorWord>)</errorWord>
      <group>L1_Format</group>
      <groupName>格式问题</groupName>
      <ability>L2_HalfPunc</ability>
      <abilityName>全半角检查</abilityName>
      <candidateList>
        <item>）</item>
      </candidateList>
      <explain>文本全半角错误。</explain>
      <paraID>190A1351</paraID>
      <start>42</start>
      <end>43</end>
      <status>unmodified</status>
      <modifiedWord/>
      <trackRevisions>false</trackRevisions>
    </reviewItem>
    <reviewItem>
      <errorID>7f5c3cd9-40af-4cd6-8d88-a93dee3f7b90</errorID>
      <errorWord>(</errorWord>
      <group>L1_Format</group>
      <groupName>格式问题</groupName>
      <ability>L2_HalfPunc</ability>
      <abilityName>全半角检查</abilityName>
      <candidateList>
        <item>（</item>
      </candidateList>
      <explain>文本全半角错误。</explain>
      <paraID>511682DE</paraID>
      <start>30</start>
      <end>31</end>
      <status>unmodified</status>
      <modifiedWord/>
      <trackRevisions>false</trackRevisions>
    </reviewItem>
    <reviewItem>
      <errorID>6540fd52-9f86-45ee-b31d-80686119cc05</errorID>
      <errorWord>)</errorWord>
      <group>L1_Format</group>
      <groupName>格式问题</groupName>
      <ability>L2_HalfPunc</ability>
      <abilityName>全半角检查</abilityName>
      <candidateList>
        <item>）</item>
      </candidateList>
      <explain>文本全半角错误。</explain>
      <paraID>511682DE</paraID>
      <start>36</start>
      <end>37</end>
      <status>unmodified</status>
      <modifiedWord/>
      <trackRevisions>false</trackRevisions>
    </reviewItem>
    <reviewItem>
      <errorID>dfded0cd-2e4d-449b-a11a-684bbfe19044</errorID>
      <errorWord>(</errorWord>
      <group>L1_Format</group>
      <groupName>格式问题</groupName>
      <ability>L2_HalfPunc</ability>
      <abilityName>全半角检查</abilityName>
      <candidateList>
        <item>（</item>
      </candidateList>
      <explain>文本全半角错误。</explain>
      <paraID>30189841</paraID>
      <start>21</start>
      <end>22</end>
      <status>unmodified</status>
      <modifiedWord/>
      <trackRevisions>false</trackRevisions>
    </reviewItem>
    <reviewItem>
      <errorID>aecb64fd-73e0-4f39-9bd9-664d74869ece</errorID>
      <errorWord>)</errorWord>
      <group>L1_Format</group>
      <groupName>格式问题</groupName>
      <ability>L2_HalfPunc</ability>
      <abilityName>全半角检查</abilityName>
      <candidateList>
        <item>）</item>
      </candidateList>
      <explain>文本全半角错误。</explain>
      <paraID>30189841</paraID>
      <start>23</start>
      <end>24</end>
      <status>unmodified</status>
      <modifiedWord/>
      <trackRevisions>false</trackRevisions>
    </reviewItem>
    <reviewItem>
      <errorID>6fd5abfe-1d11-47ca-9c66-099f98dd5333</errorID>
      <errorWord>(</errorWord>
      <group>L1_Format</group>
      <groupName>格式问题</groupName>
      <ability>L2_HalfPunc</ability>
      <abilityName>全半角检查</abilityName>
      <candidateList>
        <item>（</item>
      </candidateList>
      <explain>文本全半角错误。</explain>
      <paraID>261779D5</paraID>
      <start>30</start>
      <end>31</end>
      <status>unmodified</status>
      <modifiedWord/>
      <trackRevisions>false</trackRevisions>
    </reviewItem>
    <reviewItem>
      <errorID>0f039ee2-8bcb-484a-8c6a-d1b51331c26a</errorID>
      <errorWord>)</errorWord>
      <group>L1_Format</group>
      <groupName>格式问题</groupName>
      <ability>L2_HalfPunc</ability>
      <abilityName>全半角检查</abilityName>
      <candidateList>
        <item>）</item>
      </candidateList>
      <explain>文本全半角错误。</explain>
      <paraID>261779D5</paraID>
      <start>32</start>
      <end>33</end>
      <status>unmodified</status>
      <modifiedWord/>
      <trackRevisions>false</trackRevisions>
    </reviewItem>
    <reviewItem>
      <errorID>9b4395f1-65d5-4a6c-8462-9bec990b2923</errorID>
      <errorWord>、</errorWord>
      <group>L1_Punc</group>
      <groupName>标点问题</groupName>
      <ability>L2_Punc</ability>
      <abilityName>标点符号检查</abilityName>
      <candidateList>
        <item>.</item>
      </candidateList>
      <explain/>
      <paraID>27C5A59C</paraID>
      <start>1</start>
      <end>2</end>
      <status>unmodified</status>
      <modifiedWord/>
      <trackRevisions>false</trackRevisions>
    </reviewItem>
    <reviewItem>
      <errorID>24f84581-3517-49fa-a34f-c64e5ae75545</errorID>
      <errorWord>＜</errorWord>
      <group>L1_Format</group>
      <groupName>格式问题</groupName>
      <ability>L2_HalfPunc</ability>
      <abilityName>全半角检查</abilityName>
      <candidateList>
        <item>&lt;</item>
      </candidateList>
      <explain>文本全半角错误。</explain>
      <paraID>318B2C40</paraID>
      <start>0</start>
      <end>1</end>
      <status>unmodified</status>
      <modifiedWord/>
      <trackRevisions>false</trackRevisions>
    </reviewItem>
    <reviewItem>
      <errorID>a420f70e-3595-42cd-ac6e-8d25bec141c3</errorID>
      <errorWord>～</errorWord>
      <group>L1_Format</group>
      <groupName>格式问题</groupName>
      <ability>L2_HalfPunc</ability>
      <abilityName>全半角检查</abilityName>
      <candidateList>
        <item>~</item>
      </candidateList>
      <explain>文本全半角错误。</explain>
      <paraID>2176161C</paraID>
      <start>1</start>
      <end>2</end>
      <status>unmodified</status>
      <modifiedWord/>
      <trackRevisions>false</trackRevisions>
    </reviewItem>
    <reviewItem>
      <errorID>e0c339df-76cb-4ba3-8585-2324d991724e</errorID>
      <errorWord>＞</errorWord>
      <group>L1_Format</group>
      <groupName>格式问题</groupName>
      <ability>L2_HalfPunc</ability>
      <abilityName>全半角检查</abilityName>
      <candidateList>
        <item>&gt;</item>
      </candidateList>
      <explain>文本全半角错误。</explain>
      <paraID> 9BDD9D3</paraID>
      <start>0</start>
      <end>1</end>
      <status>unmodified</status>
      <modifiedWord/>
      <trackRevisions>false</trackRevisions>
    </reviewItem>
    <reviewItem>
      <errorID>c0ddf275-541d-4b0d-abfa-f24aa0c883ed</errorID>
      <errorWord>＜</errorWord>
      <group>L1_Format</group>
      <groupName>格式问题</groupName>
      <ability>L2_HalfPunc</ability>
      <abilityName>全半角检查</abilityName>
      <candidateList>
        <item>&lt;</item>
      </candidateList>
      <explain>文本全半角错误。</explain>
      <paraID>4A9901E7</paraID>
      <start>0</start>
      <end>1</end>
      <status>unmodified</status>
      <modifiedWord/>
      <trackRevisions>false</trackRevisions>
    </reviewItem>
    <reviewItem>
      <errorID>cae9429f-a662-440c-9d83-66abc6892d82</errorID>
      <errorWord>＞</errorWord>
      <group>L1_Format</group>
      <groupName>格式问题</groupName>
      <ability>L2_HalfPunc</ability>
      <abilityName>全半角检查</abilityName>
      <candidateList>
        <item>&gt;</item>
      </candidateList>
      <explain>文本全半角错误。</explain>
      <paraID>491F0AC8</paraID>
      <start>0</start>
      <end>1</end>
      <status>unmodified</status>
      <modifiedWord/>
      <trackRevisions>false</trackRevisions>
    </reviewItem>
    <reviewItem>
      <errorID>c91ce22c-ac61-4260-ace7-36fd8c9fb0e8</errorID>
      <errorWord>＜</errorWord>
      <group>L1_Format</group>
      <groupName>格式问题</groupName>
      <ability>L2_HalfPunc</ability>
      <abilityName>全半角检查</abilityName>
      <candidateList>
        <item>&lt;</item>
      </candidateList>
      <explain>文本全半角错误。</explain>
      <paraID>684B9442</paraID>
      <start>0</start>
      <end>1</end>
      <status>unmodified</status>
      <modifiedWord/>
      <trackRevisions>false</trackRevisions>
    </reviewItem>
    <reviewItem>
      <errorID>6f090888-1fb6-4e04-911f-0f43624a91e1</errorID>
      <errorWord>＞</errorWord>
      <group>L1_Format</group>
      <groupName>格式问题</groupName>
      <ability>L2_HalfPunc</ability>
      <abilityName>全半角检查</abilityName>
      <candidateList>
        <item>&gt;</item>
      </candidateList>
      <explain>文本全半角错误。</explain>
      <paraID>6C08984F</paraID>
      <start>0</start>
      <end>1</end>
      <status>unmodified</status>
      <modifiedWord/>
      <trackRevisions>false</trackRevisions>
    </reviewItem>
    <reviewItem>
      <errorID>577c6486-76de-4a46-ae51-691032de3e6e</errorID>
      <errorWord>＜</errorWord>
      <group>L1_Format</group>
      <groupName>格式问题</groupName>
      <ability>L2_HalfPunc</ability>
      <abilityName>全半角检查</abilityName>
      <candidateList>
        <item>&lt;</item>
      </candidateList>
      <explain>文本全半角错误。</explain>
      <paraID>16000985</paraID>
      <start>0</start>
      <end>1</end>
      <status>unmodified</status>
      <modifiedWord/>
      <trackRevisions>false</trackRevisions>
    </reviewItem>
    <reviewItem>
      <errorID>cec9ce06-49c3-4eb3-b40a-dbac37ddd6ce</errorID>
      <errorWord>＞</errorWord>
      <group>L1_Format</group>
      <groupName>格式问题</groupName>
      <ability>L2_HalfPunc</ability>
      <abilityName>全半角检查</abilityName>
      <candidateList>
        <item>&gt;</item>
      </candidateList>
      <explain>文本全半角错误。</explain>
      <paraID>2833B615</paraID>
      <start>0</start>
      <end>1</end>
      <status>unmodified</status>
      <modifiedWord/>
      <trackRevisions>false</trackRevisions>
    </reviewItem>
    <reviewItem>
      <errorID>572bacb8-ebb4-4048-be60-ca5a7a279f3d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12A361DF</paraID>
      <start>0</start>
      <end>2</end>
      <status>unmodified</status>
      <modifiedWord/>
      <trackRevisions>false</trackRevisions>
    </reviewItem>
    <reviewItem>
      <errorID>33feca22-6147-4f68-9708-8632fd1ba0f3</errorID>
      <errorWord>(</errorWord>
      <group>L1_Format</group>
      <groupName>格式问题</groupName>
      <ability>L2_HalfPunc</ability>
      <abilityName>全半角检查</abilityName>
      <candidateList>
        <item>（</item>
      </candidateList>
      <explain>文本全半角错误。</explain>
      <paraID>59D13536</paraID>
      <start>35</start>
      <end>36</end>
      <status>unmodified</status>
      <modifiedWord/>
      <trackRevisions>false</trackRevisions>
    </reviewItem>
    <reviewItem>
      <errorID>eeb75d4c-e947-4335-8467-7afbe4a3b0ab</errorID>
      <errorWord>)</errorWord>
      <group>L1_Format</group>
      <groupName>格式问题</groupName>
      <ability>L2_HalfPunc</ability>
      <abilityName>全半角检查</abilityName>
      <candidateList>
        <item>）</item>
      </candidateList>
      <explain>文本全半角错误。</explain>
      <paraID>59D13536</paraID>
      <start>39</start>
      <end>40</end>
      <status>unmodified</status>
      <modifiedWord/>
      <trackRevisions>false</trackRevisions>
    </reviewItem>
    <reviewItem>
      <errorID>6621bbcf-cfe6-443e-befb-4250d57bf989</errorID>
      <errorWord>粘膜</errorWord>
      <group>L1_Word</group>
      <groupName>字词问题</groupName>
      <ability>L2_Alias</ability>
      <abilityName>也作/曾用词</abilityName>
      <candidateList>
        <item>黏膜</item>
      </candidateList>
      <explain>词汇[粘膜]为不规范表述或旧称，其规范书面表述为[黏膜]。</explain>
      <paraID>6CDAAB61</paraID>
      <start>53</start>
      <end>55</end>
      <status>unmodified</status>
      <modifiedWord/>
      <trackRevisions>false</trackRevisions>
    </reviewItem>
    <reviewItem>
      <errorID>39bee062-65e3-427f-86ee-b5ad014762d6</errorID>
      <errorWord>粘液</errorWord>
      <group>L1_Word</group>
      <groupName>字词问题</groupName>
      <ability>L2_Typo</ability>
      <abilityName>字词错误</abilityName>
      <candidateList>
        <item>黏液</item>
      </candidateList>
      <explain>存在发音相同字词的误用。</explain>
      <paraID>6CDAAB61</paraID>
      <start>58</start>
      <end>60</end>
      <status>unmodified</status>
      <modifiedWord/>
      <trackRevisions>false</trackRevisions>
    </reviewItem>
    <reviewItem>
      <errorID>460e0d57-cd35-4469-8a30-b37310f26158</errorID>
      <errorWord>粘液</errorWord>
      <group>L1_Word</group>
      <groupName>字词问题</groupName>
      <ability>L2_Typo</ability>
      <abilityName>字词错误</abilityName>
      <candidateList>
        <item>黏液</item>
      </candidateList>
      <explain>存在发音相同字词的误用。</explain>
      <paraID>6CDAAB61</paraID>
      <start>86</start>
      <end>88</end>
      <status>unmodified</status>
      <modifiedWord/>
      <trackRevisions>false</trackRevisions>
    </reviewItem>
    <reviewItem>
      <errorID>a8c2bd77-a2c2-456e-bf89-47192eda2e2d</errorID>
      <errorWord>的粘液</errorWord>
      <group>L1_Word</group>
      <groupName>字词问题</groupName>
      <ability>L2_Alias</ability>
      <abilityName>也作/曾用词</abilityName>
      <candidateList>
        <item>的黏液</item>
      </candidateList>
      <explain>词汇[的粘液]为不规范表述或旧称，其规范书面表述为[的黏液]。</explain>
      <paraID>6CDAAB61</paraID>
      <start>91</start>
      <end>94</end>
      <status>unmodified</status>
      <modifiedWord/>
      <trackRevisions>false</trackRevisions>
    </reviewItem>
    <reviewItem>
      <errorID>335feb96-c093-4ba0-b2ce-a4b70fb4605b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71994B4A</paraID>
      <start>25</start>
      <end>26</end>
      <status>unmodified</status>
      <modifiedWord/>
      <trackRevisions>false</trackRevisions>
    </reviewItem>
    <reviewItem>
      <errorID>d2ab9dd8-4183-4adf-bcd4-b876833b25f8</errorID>
      <errorWord>大脑皮层</errorWord>
      <group>L1_Word</group>
      <groupName>字词问题</groupName>
      <ability>L2_Typo</ability>
      <abilityName>字词错误</abilityName>
      <candidateList>
        <item>大脑皮质</item>
      </candidateList>
      <explain/>
      <paraID> 5259446</paraID>
      <start>88</start>
      <end>92</end>
      <status>unmodified</status>
      <modifiedWord/>
      <trackRevisions>false</trackRevisions>
    </reviewItem>
    <reviewItem>
      <errorID>5a7e2e98-a7ef-41d6-8fc6-a9950813797a</errorID>
      <errorWord>减</errorWord>
      <group>L1_Word</group>
      <groupName>字词问题</groupName>
      <ability>L2_Typo</ability>
      <abilityName>字词错误</abilityName>
      <candidateList>
        <item>降</item>
      </candidateList>
      <explain>存在发音相近字词的误用。</explain>
      <paraID>14380870</paraID>
      <start>122</start>
      <end>123</end>
      <status>unmodified</status>
      <modifiedWord/>
      <trackRevisions>false</trackRevisions>
    </reviewItem>
    <reviewItem>
      <errorID>62ecbc42-deeb-43d1-8313-1067e904d2ad</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 968511F</paraID>
      <start>40</start>
      <end>41</end>
      <status>unmodified</status>
      <modifiedWord/>
      <trackRevisions>false</trackRevisions>
    </reviewItem>
    <reviewItem>
      <errorID>58d1fdfa-ce85-4c69-93c9-91e70292a8e7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7F858A5E</paraID>
      <start>0</start>
      <end>2</end>
      <status>unmodified</status>
      <modifiedWord/>
      <trackRevisions>false</trackRevisions>
    </reviewItem>
    <reviewItem>
      <errorID>6ef4ad75-82ae-43cc-a9e3-25d04ba7df77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79AB35B8</paraID>
      <start>0</start>
      <end>2</end>
      <status>unmodified</status>
      <modifiedWord/>
      <trackRevisions>false</trackRevisions>
    </reviewItem>
    <reviewItem>
      <errorID>cf8afa5a-ed76-46f6-98db-087582d0881a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67EEC765</paraID>
      <start>0</start>
      <end>2</end>
      <status>unmodified</status>
      <modifiedWord/>
      <trackRevisions>false</trackRevisions>
    </reviewItem>
    <reviewItem>
      <errorID>c26e43ad-f9a4-4b46-8f72-9e6e924c12c8</errorID>
      <errorWord>返回到</errorWord>
      <group>L1_Word</group>
      <groupName>字词问题</groupName>
      <ability>L2_Typo</ability>
      <abilityName>字词错误</abilityName>
      <candidateList>
        <item>返回</item>
      </candidateList>
      <explain/>
      <paraID>3A850018</paraID>
      <start>182</start>
      <end>185</end>
      <status>unmodified</status>
      <modifiedWord/>
      <trackRevisions>false</trackRevisions>
    </reviewItem>
    <reviewItem>
      <errorID>5937c3e2-fa3e-429a-af7f-4f3df3546b0d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426C6A9D</paraID>
      <start>0</start>
      <end>2</end>
      <status>unmodified</status>
      <modifiedWord/>
      <trackRevisions>false</trackRevisions>
    </reviewItem>
    <reviewItem>
      <errorID>f90243f7-f4c0-4190-a4c5-37e896806064</errorID>
      <errorWord>(</errorWord>
      <group>L1_Format</group>
      <groupName>格式问题</groupName>
      <ability>L2_HalfPunc</ability>
      <abilityName>全半角检查</abilityName>
      <candidateList>
        <item>（</item>
      </candidateList>
      <explain>文本全半角错误。</explain>
      <paraID>777DB5F0</paraID>
      <start>2</start>
      <end>3</end>
      <status>unmodified</status>
      <modifiedWord/>
      <trackRevisions>false</trackRevisions>
    </reviewItem>
    <reviewItem>
      <errorID>842d1c4a-9cdf-40a1-8d4a-c15c0706a069</errorID>
      <errorWord>)</errorWord>
      <group>L1_Format</group>
      <groupName>格式问题</groupName>
      <ability>L2_HalfPunc</ability>
      <abilityName>全半角检查</abilityName>
      <candidateList>
        <item>）</item>
      </candidateList>
      <explain>文本全半角错误。</explain>
      <paraID>777DB5F0</paraID>
      <start>7</start>
      <end>8</end>
      <status>unmodified</status>
      <modifiedWord/>
      <trackRevisions>false</trackRevisions>
    </reviewItem>
    <reviewItem>
      <errorID>d3cb991c-1ea5-4504-a464-3029f2ca4554</errorID>
      <errorWord>（</errorWord>
      <group>L1_Format</group>
      <groupName>格式问题</groupName>
      <ability>L2_HalfPunc</ability>
      <abilityName>全半角检查</abilityName>
      <candidateList>
        <item>(</item>
      </candidateList>
      <explain>文本全半角错误。</explain>
      <paraID>  64F562</paraID>
      <start>0</start>
      <end>1</end>
      <status>unmodified</status>
      <modifiedWord/>
      <trackRevisions>false</trackRevisions>
    </reviewItem>
    <reviewItem>
      <errorID>8eaded30-4ed9-4577-b9ed-bbf439c10eee</errorID>
      <errorWord>）</errorWord>
      <group>L1_Format</group>
      <groupName>格式问题</groupName>
      <ability>L2_HalfPunc</ability>
      <abilityName>全半角检查</abilityName>
      <candidateList>
        <item>)</item>
      </candidateList>
      <explain>文本全半角错误。</explain>
      <paraID>  64F562</paraID>
      <start>5</start>
      <end>6</end>
      <status>unmodified</status>
      <modifiedWord/>
      <trackRevisions>false</trackRevisions>
    </reviewItem>
    <reviewItem>
      <errorID>f9c3c3d6-6f04-417a-96e5-c321fce4817c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65FC3C8F</paraID>
      <start>0</start>
      <end>2</end>
      <status>unmodified</status>
      <modifiedWord/>
      <trackRevisions>false</trackRevisions>
    </reviewItem>
    <reviewItem>
      <errorID>0ea1f0d7-9197-4acc-b7cc-2bb8bfcb273d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570FCFF3</paraID>
      <start>0</start>
      <end>2</end>
      <status>unmodified</status>
      <modifiedWord/>
      <trackRevisions>false</trackRevisions>
    </reviewItem>
    <reviewItem>
      <errorID>cf1e4dad-06c3-417f-ae36-9e78bcf3cc92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2C857580</paraID>
      <start>0</start>
      <end>2</end>
      <status>unmodified</status>
      <modifiedWord/>
      <trackRevisions>false</trackRevisions>
    </reviewItem>
    <reviewItem>
      <errorID>9442ed45-1da4-43c9-a26e-c213a1a1eb92</errorID>
      <errorWord>)</errorWord>
      <group>L1_Format</group>
      <groupName>格式问题</groupName>
      <ability>L2_HalfPunc</ability>
      <abilityName>全半角检查</abilityName>
      <candidateList>
        <item>）</item>
      </candidateList>
      <explain>文本全半角错误。</explain>
      <paraID>1DC5F195</paraID>
      <start>52</start>
      <end>53</end>
      <status>unmodified</status>
      <modifiedWord/>
      <trackRevisions>false</trackRevisions>
    </reviewItem>
    <reviewItem>
      <errorID>8d9f9b15-7832-4977-81db-c463eb68da26</errorID>
      <errorWord>；</errorWord>
      <group>L1_Word</group>
      <groupName>字词问题</groupName>
      <ability>L2_Typo</ability>
      <abilityName>字词错误</abilityName>
      <candidateList>
        <item>；对</item>
      </candidateList>
      <explain/>
      <paraID>72E26940</paraID>
      <start>51</start>
      <end>52</end>
      <status>unmodified</status>
      <modifiedWord/>
      <trackRevisions>false</trackRevisions>
    </reviewItem>
    <reviewItem>
      <errorID>ef7ef2b1-ad9c-4cb2-b1da-4c88b17b4716</errorID>
      <errorWord>日常的</errorWord>
      <group>L1_Word</group>
      <groupName>字词问题</groupName>
      <ability>L2_Typo</ability>
      <abilityName>字词错误</abilityName>
      <candidateList>
        <item>日常</item>
      </candidateList>
      <explain/>
      <paraID>72E26940</paraID>
      <start>56</start>
      <end>59</end>
      <status>unmodified</status>
      <modifiedWord/>
      <trackRevisions>false</trackRevisions>
    </reviewItem>
    <reviewItem>
      <errorID>6bcae69d-5e79-48f0-a74d-4c39ab7478a7</errorID>
      <errorWord>源源</errorWord>
      <group>L1_Word</group>
      <groupName>字词问题</groupName>
      <ability>L2_Typo</ability>
      <abilityName>字词错误</abilityName>
      <candidateList>
        <item>源</item>
      </candidateList>
      <explain/>
      <paraID>7C68DC38</paraID>
      <start>1</start>
      <end>3</end>
      <status>unmodified</status>
      <modifiedWord/>
      <trackRevisions>false</trackRevisions>
    </reviewItem>
    <reviewItem>
      <errorID>152a3cb7-ed95-4632-8e83-25ab9ade494e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22F6A87</paraID>
      <start>0</start>
      <end>2</end>
      <status>unmodified</status>
      <modifiedWord/>
      <trackRevisions>false</trackRevisions>
    </reviewItem>
    <reviewItem>
      <errorID>a34ba5de-f5e7-45d5-8c94-05c4b1af413a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71BE1A1F</paraID>
      <start>0</start>
      <end>2</end>
      <status>unmodified</status>
      <modifiedWord/>
      <trackRevisions>false</trackRevisions>
    </reviewItem>
    <reviewItem>
      <errorID>6c713a0f-5495-4d12-8c77-4d6b09a0093c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3EA6D888</paraID>
      <start>0</start>
      <end>2</end>
      <status>unmodified</status>
      <modifiedWord/>
      <trackRevisions>false</trackRevisions>
    </reviewItem>
    <reviewItem>
      <errorID>18ec4000-ffbc-4c5c-ae0a-151b819b51b7</errorID>
      <errorWord>(</errorWord>
      <group>L1_Format</group>
      <groupName>格式问题</groupName>
      <ability>L2_HalfPunc</ability>
      <abilityName>全半角检查</abilityName>
      <candidateList>
        <item>（</item>
      </candidateList>
      <explain>文本全半角错误。</explain>
      <paraID>12CDCE53</paraID>
      <start>4</start>
      <end>5</end>
      <status>unmodified</status>
      <modifiedWord/>
      <trackRevisions>false</trackRevisions>
    </reviewItem>
    <reviewItem>
      <errorID>bc18fe50-657e-4a52-a480-fea8836b6343</errorID>
      <errorWord>)</errorWord>
      <group>L1_Format</group>
      <groupName>格式问题</groupName>
      <ability>L2_HalfPunc</ability>
      <abilityName>全半角检查</abilityName>
      <candidateList>
        <item>）</item>
      </candidateList>
      <explain>文本全半角错误。</explain>
      <paraID>12CDCE53</paraID>
      <start>7</start>
      <end>8</end>
      <status>unmodified</status>
      <modifiedWord/>
      <trackRevisions>false</trackRevisions>
    </reviewItem>
    <reviewItem>
      <errorID>270aa1a7-39d3-4c8c-afd1-e653d8144237</errorID>
      <errorWord>(</errorWord>
      <group>L1_Format</group>
      <groupName>格式问题</groupName>
      <ability>L2_HalfPunc</ability>
      <abilityName>全半角检查</abilityName>
      <candidateList>
        <item>（</item>
      </candidateList>
      <explain>文本全半角错误。</explain>
      <paraID>49E3D6F2</paraID>
      <start>4</start>
      <end>5</end>
      <status>unmodified</status>
      <modifiedWord/>
      <trackRevisions>false</trackRevisions>
    </reviewItem>
    <reviewItem>
      <errorID>10b46329-e337-448a-8a7e-2971833ce4b7</errorID>
      <errorWord>)</errorWord>
      <group>L1_Format</group>
      <groupName>格式问题</groupName>
      <ability>L2_HalfPunc</ability>
      <abilityName>全半角检查</abilityName>
      <candidateList>
        <item>）</item>
      </candidateList>
      <explain>文本全半角错误。</explain>
      <paraID>49E3D6F2</paraID>
      <start>7</start>
      <end>8</end>
      <status>unmodified</status>
      <modifiedWord/>
      <trackRevisions>false</trackRevisions>
    </reviewItem>
    <reviewItem>
      <errorID>74b35c14-ca55-4692-b4ee-05c5e3b8684d</errorID>
      <errorWord>（</errorWord>
      <group>L1_Format</group>
      <groupName>格式问题</groupName>
      <ability>L2_HalfPunc</ability>
      <abilityName>全半角检查</abilityName>
      <candidateList>
        <item>(</item>
      </candidateList>
      <explain>文本全半角错误。</explain>
      <paraID> 4D4ACDB</paraID>
      <start>6</start>
      <end>7</end>
      <status>unmodified</status>
      <modifiedWord/>
      <trackRevisions>false</trackRevisions>
    </reviewItem>
    <reviewItem>
      <errorID>7d0d4604-40c0-49a2-a6b9-facd72281ce6</errorID>
      <errorWord>）</errorWord>
      <group>L1_Format</group>
      <groupName>格式问题</groupName>
      <ability>L2_HalfPunc</ability>
      <abilityName>全半角检查</abilityName>
      <candidateList>
        <item>)</item>
      </candidateList>
      <explain>文本全半角错误。</explain>
      <paraID> 4D4ACDB</paraID>
      <start>17</start>
      <end>18</end>
      <status>unmodified</status>
      <modifiedWord/>
      <trackRevisions>false</trackRevisions>
    </reviewItem>
    <reviewItem>
      <errorID>ab9dd3d2-1750-4865-b685-d69fd9b142f9</errorID>
      <errorWord>:</errorWord>
      <group>L1_Format</group>
      <groupName>格式问题</groupName>
      <ability>L2_HalfPunc</ability>
      <abilityName>全半角检查</abilityName>
      <candidateList>
        <item>：</item>
      </candidateList>
      <explain>文本全半角错误。</explain>
      <paraID>22A573A6</paraID>
      <start>1</start>
      <end>2</end>
      <status>unmodified</status>
      <modifiedWord/>
      <trackRevisions>false</trackRevisions>
    </reviewItem>
    <reviewItem>
      <errorID>7d43bbe6-963a-4c05-9576-bdb54fb611a6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277EB1A6</paraID>
      <start>0</start>
      <end>2</end>
      <status>unmodified</status>
      <modifiedWord/>
      <trackRevisions>false</trackRevisions>
    </reviewItem>
    <reviewItem>
      <errorID>578fb16c-cc4a-4ba5-8704-140760b51b30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746A7F92</paraID>
      <start>0</start>
      <end>2</end>
      <status>unmodified</status>
      <modifiedWord/>
      <trackRevisions>false</trackRevisions>
    </reviewItem>
    <reviewItem>
      <errorID>45dc0013-d4fc-489f-ac8d-fb1d9e44c771</errorID>
      <errorWord>-</errorWord>
      <group>L1_Format</group>
      <groupName>格式问题</groupName>
      <ability>L2_HalfPunc</ability>
      <abilityName>全半角检查</abilityName>
      <candidateList>
        <item>－</item>
      </candidateList>
      <explain>文本全半角错误。</explain>
      <paraID>72AABA52</paraID>
      <start>145</start>
      <end>146</end>
      <status>unmodified</status>
      <modifiedWord/>
      <trackRevisions>false</trackRevisions>
    </reviewItem>
    <reviewItem>
      <errorID>a3e1e01a-d81c-4f16-a35e-d2b8412347e1</errorID>
      <errorWord>,</errorWord>
      <group>L1_Format</group>
      <groupName>格式问题</groupName>
      <ability>L2_HalfPunc</ability>
      <abilityName>全半角检查</abilityName>
      <candidateList>
        <item>，</item>
      </candidateList>
      <explain>文本全半角错误。</explain>
      <paraID> 57E6D31</paraID>
      <start>296</start>
      <end>297</end>
      <status>unmodified</status>
      <modifiedWord/>
      <trackRevisions>false</trackRevisions>
    </reviewItem>
    <reviewItem>
      <errorID>7e9f8d68-4367-4b4a-b50d-bc91991d5bd4</errorID>
      <errorWord>(</errorWord>
      <group>L1_Format</group>
      <groupName>格式问题</groupName>
      <ability>L2_HalfPunc</ability>
      <abilityName>全半角检查</abilityName>
      <candidateList>
        <item>（</item>
      </candidateList>
      <explain>文本全半角错误。</explain>
      <paraID> 57E6D31</paraID>
      <start>378</start>
      <end>379</end>
      <status>unmodified</status>
      <modifiedWord/>
      <trackRevisions>false</trackRevisions>
    </reviewItem>
    <reviewItem>
      <errorID>0dd82581-f3ca-40c8-bc56-867ff173a274</errorID>
      <errorWord>)</errorWord>
      <group>L1_Format</group>
      <groupName>格式问题</groupName>
      <ability>L2_HalfPunc</ability>
      <abilityName>全半角检查</abilityName>
      <candidateList>
        <item>）</item>
      </candidateList>
      <explain>文本全半角错误。</explain>
      <paraID> 57E6D31</paraID>
      <start>586</start>
      <end>587</end>
      <status>unmodified</status>
      <modifiedWord/>
      <trackRevisions>false</trackRevisions>
    </reviewItem>
    <reviewItem>
      <errorID>426d8ffa-3f67-4ff4-abe0-af53f08687d8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3D25CC1B</paraID>
      <start>0</start>
      <end>2</end>
      <status>unmodified</status>
      <modifiedWord/>
      <trackRevisions>false</trackRevisions>
    </reviewItem>
    <reviewItem>
      <errorID>48149c35-a695-44ef-ba37-b50c515cfb94</errorID>
      <errorWord>(</errorWord>
      <group>L1_Format</group>
      <groupName>格式问题</groupName>
      <ability>L2_HalfPunc</ability>
      <abilityName>全半角检查</abilityName>
      <candidateList>
        <item>（</item>
      </candidateList>
      <explain>文本全半角错误。</explain>
      <paraID>2202AF7A</paraID>
      <start>25</start>
      <end>26</end>
      <status>unmodified</status>
      <modifiedWord/>
      <trackRevisions>false</trackRevisions>
    </reviewItem>
    <reviewItem>
      <errorID>1006049c-e2a1-4a46-8cad-23d1fd4256d3</errorID>
      <errorWord>)</errorWord>
      <group>L1_Format</group>
      <groupName>格式问题</groupName>
      <ability>L2_HalfPunc</ability>
      <abilityName>全半角检查</abilityName>
      <candidateList>
        <item>）</item>
      </candidateList>
      <explain>文本全半角错误。</explain>
      <paraID>2202AF7A</paraID>
      <start>38</start>
      <end>39</end>
      <status>unmodified</status>
      <modifiedWord/>
      <trackRevisions>false</trackRevisions>
    </reviewItem>
    <reviewItem>
      <errorID>670c4d1a-e4fe-45f4-80d9-57d1d7b4bd87</errorID>
      <errorWord>两类</errorWord>
      <group>L1_Knowledge</group>
      <groupName>知识性问题</groupName>
      <ability>L2_Knowledge</ability>
      <abilityName>其他知识</abilityName>
      <candidateList>
        <item>两种</item>
      </candidateList>
      <explain/>
      <paraID>2202AF7A</paraID>
      <start>65</start>
      <end>67</end>
      <status>unmodified</status>
      <modifiedWord/>
      <trackRevisions>false</trackRevisions>
    </reviewItem>
    <reviewItem>
      <errorID>f6842c0b-0e84-40a3-b0f0-1d124a211a47</errorID>
      <errorWord>;</errorWord>
      <group>L1_Format</group>
      <groupName>格式问题</groupName>
      <ability>L2_HalfPunc</ability>
      <abilityName>全半角检查</abilityName>
      <candidateList>
        <item>；</item>
      </candidateList>
      <explain>文本全半角错误。</explain>
      <paraID>2202AF7A</paraID>
      <start>85</start>
      <end>86</end>
      <status>unmodified</status>
      <modifiedWord/>
      <trackRevisions>false</trackRevisions>
    </reviewItem>
    <reviewItem>
      <errorID>99450b27-dd0c-49b6-ab75-735f8265b5db</errorID>
      <errorWord>(</errorWord>
      <group>L1_Format</group>
      <groupName>格式问题</groupName>
      <ability>L2_HalfPunc</ability>
      <abilityName>全半角检查</abilityName>
      <candidateList>
        <item>（</item>
      </candidateList>
      <explain>文本全半角错误。</explain>
      <paraID>2202AF7A</paraID>
      <start>147</start>
      <end>148</end>
      <status>unmodified</status>
      <modifiedWord/>
      <trackRevisions>false</trackRevisions>
    </reviewItem>
    <reviewItem>
      <errorID>27dfa583-e2ff-4c23-9186-539cf706be66</errorID>
      <errorWord>)</errorWord>
      <group>L1_Format</group>
      <groupName>格式问题</groupName>
      <ability>L2_HalfPunc</ability>
      <abilityName>全半角检查</abilityName>
      <candidateList>
        <item>）</item>
      </candidateList>
      <explain>文本全半角错误。</explain>
      <paraID>2202AF7A</paraID>
      <start>150</start>
      <end>151</end>
      <status>unmodified</status>
      <modifiedWord/>
      <trackRevisions>false</trackRevisions>
    </reviewItem>
    <reviewItem>
      <errorID>25380404-bf93-4386-9b02-4ca8a836b0ab</errorID>
      <errorWord>(</errorWord>
      <group>L1_Format</group>
      <groupName>格式问题</groupName>
      <ability>L2_HalfPunc</ability>
      <abilityName>全半角检查</abilityName>
      <candidateList>
        <item>（</item>
      </candidateList>
      <explain>文本全半角错误。</explain>
      <paraID>2202AF7A</paraID>
      <start>152</start>
      <end>153</end>
      <status>unmodified</status>
      <modifiedWord/>
      <trackRevisions>false</trackRevisions>
    </reviewItem>
    <reviewItem>
      <errorID>055658e8-daf8-418b-9825-e9fcb695a260</errorID>
      <errorWord>)</errorWord>
      <group>L1_Format</group>
      <groupName>格式问题</groupName>
      <ability>L2_HalfPunc</ability>
      <abilityName>全半角检查</abilityName>
      <candidateList>
        <item>）</item>
      </candidateList>
      <explain>文本全半角错误。</explain>
      <paraID>2202AF7A</paraID>
      <start>166</start>
      <end>167</end>
      <status>unmodified</status>
      <modifiedWord/>
      <trackRevisions>false</trackRevisions>
    </reviewItem>
    <reviewItem>
      <errorID>b22b7a94-2f41-48ad-9af8-6e1b8a6a1b4b</errorID>
      <errorWord>II级</errorWord>
      <group>L1_Knowledge</group>
      <groupName>知识性问题</groupName>
      <ability>L2_Knowledge</ability>
      <abilityName>其他知识</abilityName>
      <candidateList>
        <item>Ⅱ级</item>
      </candidateList>
      <explain/>
      <paraID>2202AF7A</paraID>
      <start>185</start>
      <end>188</end>
      <status>unmodified</status>
      <modifiedWord/>
      <trackRevisions>false</trackRevisions>
    </reviewItem>
    <reviewItem>
      <errorID>7050ae9c-5887-4726-b3c1-3de248cb03c5</errorID>
      <errorWord>III级</errorWord>
      <group>L1_Knowledge</group>
      <groupName>知识性问题</groupName>
      <ability>L2_Knowledge</ability>
      <abilityName>其他知识</abilityName>
      <candidateList>
        <item>Ⅲ级</item>
      </candidateList>
      <explain/>
      <paraID>2202AF7A</paraID>
      <start>220</start>
      <end>224</end>
      <status>unmodified</status>
      <modifiedWord/>
      <trackRevisions>false</trackRevisions>
    </reviewItem>
    <reviewItem>
      <errorID>2313dc44-7109-4d64-9baa-c722307e1c3c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588E5683</paraID>
      <start>0</start>
      <end>2</end>
      <status>unmodified</status>
      <modifiedWord/>
      <trackRevisions>false</trackRevisions>
    </reviewItem>
    <reviewItem>
      <errorID>b029492a-ae66-4727-9516-ac1b5d2f7467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583A6AD6</paraID>
      <start>0</start>
      <end>2</end>
      <status>unmodified</status>
      <modifiedWord/>
      <trackRevisions>false</trackRevisions>
    </reviewItem>
    <reviewItem>
      <errorID>a85de8d7-bf0e-4115-9568-1191a11fefba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190B6BB4</paraID>
      <start>379</start>
      <end>380</end>
      <status>unmodified</status>
      <modifiedWord/>
      <trackRevisions>false</trackRevisions>
    </reviewItem>
    <reviewItem>
      <errorID>cd9aa2c0-943a-44ed-91ae-b0b2d2ddc840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E1899F1</paraID>
      <start>41</start>
      <end>42</end>
      <status>unmodified</status>
      <modifiedWord/>
      <trackRevisions>false</trackRevisions>
    </reviewItem>
    <reviewItem>
      <errorID>94f4c41b-625e-4796-a4c9-38f043d9604b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E1899F1</paraID>
      <start>62</start>
      <end>63</end>
      <status>unmodified</status>
      <modifiedWord/>
      <trackRevisions>false</trackRevisions>
    </reviewItem>
    <reviewItem>
      <errorID>ac299ee4-e2e8-4d0b-83c5-21ed5e7d6c25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E1899F1</paraID>
      <start>153</start>
      <end>154</end>
      <status>unmodified</status>
      <modifiedWord/>
      <trackRevisions>false</trackRevisions>
    </reviewItem>
    <reviewItem>
      <errorID>c5173631-7d1e-4bd3-951f-5fcccffade5e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FD704D8</paraID>
      <start>0</start>
      <end>2</end>
      <status>unmodified</status>
      <modifiedWord/>
      <trackRevisions>false</trackRevisions>
    </reviewItem>
    <reviewItem>
      <errorID>9758837a-0bee-48c5-be5b-4ef003ee519d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54EBC1E5</paraID>
      <start>0</start>
      <end>2</end>
      <status>unmodified</status>
      <modifiedWord/>
      <trackRevisions>false</trackRevisions>
    </reviewItem>
    <reviewItem>
      <errorID>eaa877cb-395f-470d-bdbb-918af32a6f2a</errorID>
      <errorWord>沙土</errorWord>
      <group>L1_Word</group>
      <groupName>字词问题</groupName>
      <ability>L2_Typo</ability>
      <abilityName>字词错误</abilityName>
      <candidateList>
        <item>砂土</item>
      </candidateList>
      <explain/>
      <paraID> 189EB57</paraID>
      <start>46</start>
      <end>48</end>
      <status>unmodified</status>
      <modifiedWord/>
      <trackRevisions>false</trackRevisions>
    </reviewItem>
    <reviewItem>
      <errorID>0f3253dd-b6db-4cf5-88a1-f0a66613f2b7</errorID>
      <errorWord>；</errorWord>
      <group>L1_Word</group>
      <groupName>字词问题</groupName>
      <ability>L2_Typo</ability>
      <abilityName>字词错误</abilityName>
      <candidateList>
        <item>；具</item>
      </candidateList>
      <explain/>
      <paraID>38DF499B</paraID>
      <start>52</start>
      <end>53</end>
      <status>unmodified</status>
      <modifiedWord/>
      <trackRevisions>false</trackRevisions>
    </reviewItem>
    <reviewItem>
      <errorID>b4d64727-fa63-4928-9a83-fbe5d727b14f</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❺〈书〉〈介〉用法跟“连”相同（常跟“而”、“亦”呼应）：～此而不知｜～此浅近原理亦不能明。</explain>
      <paraID>722A4BC4</paraID>
      <start>26</start>
      <end>28</end>
      <status>unmodified</status>
      <modifiedWord/>
      <trackRevisions>false</trackRevisions>
    </reviewItem>
    <reviewItem>
      <errorID>a5855c42-52ee-4c9b-a27d-84ad60bb3a3f</errorID>
      <errorWord>作</errorWord>
      <group>L1_Word</group>
      <groupName>字词问题</groupName>
      <ability>L2_Typo</ability>
      <abilityName>字词错误</abilityName>
      <candidateList>
        <item>做</item>
      </candidateList>
      <explain>存在发音相同字词的误用。</explain>
      <paraID>722A4BC4</paraID>
      <start>30</start>
      <end>31</end>
      <status>unmodified</status>
      <modifiedWord/>
      <trackRevisions>false</trackRevisions>
    </reviewItem>
    <reviewItem>
      <errorID>e8656e73-6a0d-4933-9357-dd04729d43bc</errorID>
      <errorWord>水池</errorWord>
      <group>L1_Word</group>
      <groupName>字词问题</groupName>
      <ability>L2_Typo</ability>
      <abilityName>字词错误</abilityName>
      <candidateList>
        <item>池</item>
      </candidateList>
      <explain/>
      <paraID>6D78E72A</paraID>
      <start>21</start>
      <end>23</end>
      <status>unmodified</status>
      <modifiedWord/>
      <trackRevisions>false</trackRevisions>
    </reviewItem>
    <reviewItem>
      <errorID>49849b4b-260a-411d-87d8-48ee17f40853</errorID>
      <errorWord>(</errorWord>
      <group>L1_Format</group>
      <groupName>格式问题</groupName>
      <ability>L2_HalfPunc</ability>
      <abilityName>全半角检查</abilityName>
      <candidateList>
        <item>（</item>
      </candidateList>
      <explain>文本全半角错误。</explain>
      <paraID>4E6F87DF</paraID>
      <start>3</start>
      <end>4</end>
      <status>unmodified</status>
      <modifiedWord/>
      <trackRevisions>false</trackRevisions>
    </reviewItem>
    <reviewItem>
      <errorID>8af1a8d6-6b39-414a-aa40-468615c25c11</errorID>
      <errorWord>)</errorWord>
      <group>L1_Format</group>
      <groupName>格式问题</groupName>
      <ability>L2_HalfPunc</ability>
      <abilityName>全半角检查</abilityName>
      <candidateList>
        <item>）</item>
      </candidateList>
      <explain>文本全半角错误。</explain>
      <paraID>4E6F87DF</paraID>
      <start>12</start>
      <end>13</end>
      <status>unmodified</status>
      <modifiedWord/>
      <trackRevisions>false</trackRevisions>
    </reviewItem>
    <reviewItem>
      <errorID>15dfc76c-bca1-4c91-9a47-a7d3daf7a68b</errorID>
      <errorWord>。]</errorWord>
      <group>L1_Punc</group>
      <groupName>标点问题</groupName>
      <ability>L2_Punc</ability>
      <abilityName>标点符号检查</abilityName>
      <candidateList>
        <item>]</item>
      </candidateList>
      <explain/>
      <paraID>4E6F87DF</paraID>
      <start>52</start>
      <end>54</end>
      <status>unmodified</status>
      <modifiedWord/>
      <trackRevisions>false</trackRevisions>
    </reviewItem>
    <reviewItem>
      <errorID>4d84326f-9062-4810-9bd8-ffc57d35c651</errorID>
      <errorWord>转输</errorWord>
      <group>L1_Word</group>
      <groupName>字词问题</groupName>
      <ability>L2_Typo</ability>
      <abilityName>字词错误</abilityName>
      <candidateList>
        <item>传输</item>
      </candidateList>
      <explain>存在发音相同字词的误用。</explain>
      <paraID> EF76FAD</paraID>
      <start>8</start>
      <end>10</end>
      <status>unmodified</status>
      <modifiedWord/>
      <trackRevisions>false</trackRevisions>
    </reviewItem>
    <reviewItem>
      <errorID>a611e654-df1a-48e3-b2f7-857e12e4a325</errorID>
      <errorWord>(</errorWord>
      <group>L1_Format</group>
      <groupName>格式问题</groupName>
      <ability>L2_HalfPunc</ability>
      <abilityName>全半角检查</abilityName>
      <candidateList>
        <item>（</item>
      </candidateList>
      <explain>文本全半角错误。</explain>
      <paraID>3626C3BA</paraID>
      <start>15</start>
      <end>16</end>
      <status>unmodified</status>
      <modifiedWord/>
      <trackRevisions>false</trackRevisions>
    </reviewItem>
    <reviewItem>
      <errorID>122a91b7-4927-4b4f-bac7-a4a3f89ca7c6</errorID>
      <errorWord>)</errorWord>
      <group>L1_Format</group>
      <groupName>格式问题</groupName>
      <ability>L2_HalfPunc</ability>
      <abilityName>全半角检查</abilityName>
      <candidateList>
        <item>）</item>
      </candidateList>
      <explain>文本全半角错误。</explain>
      <paraID>3626C3BA</paraID>
      <start>28</start>
      <end>29</end>
      <status>unmodified</status>
      <modifiedWord/>
      <trackRevisions>false</trackRevisions>
    </reviewItem>
    <reviewItem>
      <errorID>70737482-114f-41ae-81d7-7638a008f654</errorID>
      <errorWord>q：</errorWord>
      <group>L1_Format</group>
      <groupName>格式问题</groupName>
      <ability>L2_Ordinal</ability>
      <abilityName>序号格式</abilityName>
      <candidateList>
        <item>q.</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4A91CFCC</paraID>
      <start>0</start>
      <end>2</end>
      <status>unmodified</status>
      <modifiedWord/>
      <trackRevisions>false</trackRevisions>
    </reviewItem>
    <reviewItem>
      <errorID>deebe314-c47a-47da-9ab2-5f7bcc5991eb</errorID>
      <errorWord>n：</errorWord>
      <group>L1_Format</group>
      <groupName>格式问题</groupName>
      <ability>L2_Ordinal</ability>
      <abilityName>序号格式</abilityName>
      <candidateList>
        <item>n.</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4D7C7320</paraID>
      <start>0</start>
      <end>2</end>
      <status>unmodified</status>
      <modifiedWord/>
      <trackRevisions>false</trackRevisions>
    </reviewItem>
    <reviewItem>
      <errorID>45daf9b2-30d1-40fa-80ca-fb6befabfbf7</errorID>
      <errorWord>坛</errorWord>
      <group>L1_Word</group>
      <groupName>字词问题</groupName>
      <ability>L2_Typo</ability>
      <abilityName>字词错误</abilityName>
      <candidateList>
        <item>坛区</item>
      </candidateList>
      <explain/>
      <paraID>7D3A5697</paraID>
      <start>119</start>
      <end>120</end>
      <status>unmodified</status>
      <modifiedWord/>
      <trackRevisions>false</trackRevisions>
    </reviewItem>
    <reviewItem>
      <errorID>b6594d92-7b3d-4254-9375-1bc5bf662578</errorID>
      <errorWord>(</errorWord>
      <group>L1_Format</group>
      <groupName>格式问题</groupName>
      <ability>L2_HalfPunc</ability>
      <abilityName>全半角检查</abilityName>
      <candidateList>
        <item>（</item>
      </candidateList>
      <explain>文本全半角错误。</explain>
      <paraID>2DF3678C</paraID>
      <start>28</start>
      <end>29</end>
      <status>unmodified</status>
      <modifiedWord/>
      <trackRevisions>false</trackRevisions>
    </reviewItem>
    <reviewItem>
      <errorID>5126efc5-f438-4c89-abd8-da14e93e6b9a</errorID>
      <errorWord>)</errorWord>
      <group>L1_Format</group>
      <groupName>格式问题</groupName>
      <ability>L2_HalfPunc</ability>
      <abilityName>全半角检查</abilityName>
      <candidateList>
        <item>）</item>
      </candidateList>
      <explain>文本全半角错误。</explain>
      <paraID>2DF3678C</paraID>
      <start>41</start>
      <end>42</end>
      <status>unmodified</status>
      <modifiedWord/>
      <trackRevisions>false</trackRevisions>
    </reviewItem>
    <reviewItem>
      <errorID>d52a6c6b-ba61-47ef-9a65-145f1cbfc8a2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519B58C5</paraID>
      <start>0</start>
      <end>2</end>
      <status>unmodified</status>
      <modifiedWord/>
      <trackRevisions>false</trackRevisions>
    </reviewItem>
    <reviewItem>
      <errorID>691117af-07ea-4955-87c2-c24aa2056174</errorID>
      <errorWord>案</errorWord>
      <group>L1_Word</group>
      <groupName>字词问题</groupName>
      <ability>L2_Typo</ability>
      <abilityName>字词错误</abilityName>
      <candidateList>
        <item>案和</item>
      </candidateList>
      <explain/>
      <paraID>519B58C5</paraID>
      <start>11</start>
      <end>12</end>
      <status>unmodified</status>
      <modifiedWord/>
      <trackRevisions>false</trackRevisions>
    </reviewItem>
    <reviewItem>
      <errorID>15f7697e-413a-462a-a786-26a5c8906971</errorID>
      <errorWord>(</errorWord>
      <group>L1_Format</group>
      <groupName>格式问题</groupName>
      <ability>L2_HalfPunc</ability>
      <abilityName>全半角检查</abilityName>
      <candidateList>
        <item>（</item>
      </candidateList>
      <explain>文本全半角错误。</explain>
      <paraID>6BFA05AF</paraID>
      <start>3</start>
      <end>4</end>
      <status>unmodified</status>
      <modifiedWord/>
      <trackRevisions>false</trackRevisions>
    </reviewItem>
    <reviewItem>
      <errorID>71d46838-cca0-4153-9623-62fad676b121</errorID>
      <errorWord>)</errorWord>
      <group>L1_Format</group>
      <groupName>格式问题</groupName>
      <ability>L2_HalfPunc</ability>
      <abilityName>全半角检查</abilityName>
      <candidateList>
        <item>）</item>
      </candidateList>
      <explain>文本全半角错误。</explain>
      <paraID>6BFA05AF</paraID>
      <start>9</start>
      <end>10</end>
      <status>unmodified</status>
      <modifiedWord/>
      <trackRevisions>false</trackRevisions>
    </reviewItem>
    <reviewItem>
      <errorID>43a623aa-6fe9-4b88-a8c5-916fb60a37f9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597E604A</paraID>
      <start>0</start>
      <end>2</end>
      <status>unmodified</status>
      <modifiedWord/>
      <trackRevisions>false</trackRevisions>
    </reviewItem>
    <reviewItem>
      <errorID>61060a23-1b1e-42f7-b844-d5dab9d82178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3A399AEC</paraID>
      <start>0</start>
      <end>2</end>
      <status>unmodified</status>
      <modifiedWord/>
      <trackRevisions>false</trackRevisions>
    </reviewItem>
    <reviewItem>
      <errorID>a78e315b-8a2b-453c-8c34-e387d0edb0a9</errorID>
      <errorWord>，</errorWord>
      <group>L1_Word</group>
      <groupName>字词问题</groupName>
      <ability>L2_Typo</ability>
      <abilityName>字词错误</abilityName>
      <candidateList>
        <item>，对</item>
      </candidateList>
      <explain/>
      <paraID>3A399AEC</paraID>
      <start>22</start>
      <end>23</end>
      <status>unmodified</status>
      <modifiedWord/>
      <trackRevisions>false</trackRevisions>
    </reviewItem>
    <reviewItem>
      <errorID>0536626b-8a22-4eed-9615-59b47761fdff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439FD297</paraID>
      <start>0</start>
      <end>2</end>
      <status>unmodified</status>
      <modifiedWord/>
      <trackRevisions>false</trackRevisions>
    </reviewItem>
    <reviewItem>
      <errorID>7d7052ae-0246-4904-9877-3a705368f0b8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55F6D6A</paraID>
      <start>0</start>
      <end>2</end>
      <status>unmodified</status>
      <modifiedWord/>
      <trackRevisions>false</trackRevisions>
    </reviewItem>
    <reviewItem>
      <errorID>89c4381e-6793-40d1-b4e3-1d31ae311506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70FE037A</paraID>
      <start>0</start>
      <end>2</end>
      <status>unmodified</status>
      <modifiedWord/>
      <trackRevisions>false</trackRevisions>
    </reviewItem>
    <reviewItem>
      <errorID>60205e64-cf6e-47c1-88d4-bc1dce48d8d9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6F7EF63</paraID>
      <start>0</start>
      <end>2</end>
      <status>unmodified</status>
      <modifiedWord/>
      <trackRevisions>false</trackRevisions>
    </reviewItem>
    <reviewItem>
      <errorID>22acf043-7edd-4d6a-9258-6dcffef90449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14B1F3BD</paraID>
      <start>0</start>
      <end>2</end>
      <status>unmodified</status>
      <modifiedWord/>
      <trackRevisions>false</trackRevisions>
    </reviewItem>
    <reviewItem>
      <errorID>aa08424d-f67d-41d7-8201-2a649728ffc4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3A260656</paraID>
      <start>0</start>
      <end>2</end>
      <status>unmodified</status>
      <modifiedWord/>
      <trackRevisions>false</trackRevisions>
    </reviewItem>
    <reviewItem>
      <errorID>71acd55b-a6a5-479e-a5ce-a02dadd3c320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1C26433</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7fb4e2-bc19-423a-bac7-ff3ef620c476}">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73</Pages>
  <Words>2754</Words>
  <Characters>2953</Characters>
  <Lines>393</Lines>
  <Paragraphs>110</Paragraphs>
  <TotalTime>21</TotalTime>
  <ScaleCrop>false</ScaleCrop>
  <LinksUpToDate>false</LinksUpToDate>
  <CharactersWithSpaces>3004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2021-04-26T02:29:00Z</dcterms:created>
  <dc:creator>lhj</dc:creator>
  <cp:lastModifiedBy>球球</cp:lastModifiedBy>
  <cp:lastPrinted>2026-03-12T03:47:00Z</cp:lastPrinted>
  <dcterms:modified xsi:type="dcterms:W3CDTF">2026-03-26T08:49:52Z</dcterms:modified>
  <dc:title>附件2</dc:title>
  <cp:revision>958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55890C15BDD647239AE8F86BFB75E25B</vt:lpwstr>
  </property>
  <property fmtid="{D5CDD505-2E9C-101B-9397-08002B2CF9AE}" pid="4" name="KSOTemplateDocerSaveRecord">
    <vt:lpwstr>eyJoZGlkIjoiYWZhMzA0MTE2MGQ3ODcwOTgyMWY3NzY0ZDhkYzQxODciLCJ1c2VySWQiOiIzODk2NzQyOTcifQ==</vt:lpwstr>
  </property>
</Properties>
</file>