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17405">
      <w:pPr>
        <w:rPr>
          <w:rFonts w:hint="default" w:ascii="Times New Roman" w:hAnsi="Times New Roman" w:eastAsia="宋体" w:cs="Times New Roman"/>
          <w:color w:val="000000" w:themeColor="text1"/>
          <w:sz w:val="36"/>
          <w:szCs w:val="36"/>
          <w14:textFill>
            <w14:solidFill>
              <w14:schemeClr w14:val="tx1"/>
            </w14:solidFill>
          </w14:textFill>
        </w:rPr>
      </w:pPr>
    </w:p>
    <w:p w14:paraId="238FC372">
      <w:pPr>
        <w:rPr>
          <w:rFonts w:hint="eastAsia" w:ascii="Times New Roman" w:hAnsi="Times New Roman" w:eastAsia="宋体" w:cs="Times New Roman"/>
          <w:color w:val="000000" w:themeColor="text1"/>
          <w:sz w:val="36"/>
          <w:szCs w:val="36"/>
          <w:lang w:eastAsia="zh-CN"/>
          <w14:textFill>
            <w14:solidFill>
              <w14:schemeClr w14:val="tx1"/>
            </w14:solidFill>
          </w14:textFill>
        </w:rPr>
      </w:pPr>
      <w:r>
        <w:rPr>
          <w:rFonts w:hint="eastAsia" w:ascii="Times New Roman" w:hAnsi="Times New Roman" w:eastAsia="宋体" w:cs="Times New Roman"/>
          <w:color w:val="000000" w:themeColor="text1"/>
          <w:sz w:val="36"/>
          <w:szCs w:val="36"/>
          <w:lang w:eastAsia="zh-CN"/>
          <w14:textFill>
            <w14:solidFill>
              <w14:schemeClr w14:val="tx1"/>
            </w14:solidFill>
          </w14:textFill>
        </w:rPr>
        <w:drawing>
          <wp:inline distT="0" distB="0" distL="114300" distR="114300">
            <wp:extent cx="5751830" cy="8134985"/>
            <wp:effectExtent l="0" t="0" r="1270" b="18415"/>
            <wp:docPr id="28" name="图片 28" descr="封面+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封面+资质_01"/>
                    <pic:cNvPicPr>
                      <a:picLocks noChangeAspect="1"/>
                    </pic:cNvPicPr>
                  </pic:nvPicPr>
                  <pic:blipFill>
                    <a:blip r:embed="rId7"/>
                    <a:stretch>
                      <a:fillRect/>
                    </a:stretch>
                  </pic:blipFill>
                  <pic:spPr>
                    <a:xfrm>
                      <a:off x="0" y="0"/>
                      <a:ext cx="5751830" cy="8134985"/>
                    </a:xfrm>
                    <a:prstGeom prst="rect">
                      <a:avLst/>
                    </a:prstGeom>
                  </pic:spPr>
                </pic:pic>
              </a:graphicData>
            </a:graphic>
          </wp:inline>
        </w:drawing>
      </w:r>
      <w:r>
        <w:rPr>
          <w:rFonts w:hint="eastAsia" w:ascii="Times New Roman" w:hAnsi="Times New Roman" w:eastAsia="宋体" w:cs="Times New Roman"/>
          <w:color w:val="000000" w:themeColor="text1"/>
          <w:sz w:val="36"/>
          <w:szCs w:val="36"/>
          <w:lang w:eastAsia="zh-CN"/>
          <w14:textFill>
            <w14:solidFill>
              <w14:schemeClr w14:val="tx1"/>
            </w14:solidFill>
          </w14:textFill>
        </w:rPr>
        <w:drawing>
          <wp:inline distT="0" distB="0" distL="114300" distR="114300">
            <wp:extent cx="5751830" cy="8134985"/>
            <wp:effectExtent l="0" t="0" r="1270" b="18415"/>
            <wp:docPr id="27" name="图片 27" descr="封面+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封面+资质_02"/>
                    <pic:cNvPicPr>
                      <a:picLocks noChangeAspect="1"/>
                    </pic:cNvPicPr>
                  </pic:nvPicPr>
                  <pic:blipFill>
                    <a:blip r:embed="rId8"/>
                    <a:stretch>
                      <a:fillRect/>
                    </a:stretch>
                  </pic:blipFill>
                  <pic:spPr>
                    <a:xfrm>
                      <a:off x="0" y="0"/>
                      <a:ext cx="5751830" cy="8134985"/>
                    </a:xfrm>
                    <a:prstGeom prst="rect">
                      <a:avLst/>
                    </a:prstGeom>
                  </pic:spPr>
                </pic:pic>
              </a:graphicData>
            </a:graphic>
          </wp:inline>
        </w:drawing>
      </w:r>
    </w:p>
    <w:p w14:paraId="49102B69">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一、建设项目基础情况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526"/>
        <w:gridCol w:w="2178"/>
        <w:gridCol w:w="3185"/>
      </w:tblGrid>
      <w:tr w14:paraId="2059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76220B4">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建设项目名称</w:t>
            </w:r>
          </w:p>
        </w:tc>
        <w:tc>
          <w:tcPr>
            <w:tcW w:w="4248" w:type="pct"/>
            <w:gridSpan w:val="3"/>
            <w:vAlign w:val="center"/>
          </w:tcPr>
          <w:p w14:paraId="29C8FD34">
            <w:pPr>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新建年产12亿套芯片框架组件项目</w:t>
            </w:r>
          </w:p>
        </w:tc>
      </w:tr>
      <w:tr w14:paraId="23B1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4407F05">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项目代码</w:t>
            </w:r>
          </w:p>
        </w:tc>
        <w:tc>
          <w:tcPr>
            <w:tcW w:w="4248" w:type="pct"/>
            <w:gridSpan w:val="3"/>
            <w:vAlign w:val="center"/>
          </w:tcPr>
          <w:p w14:paraId="6E912374">
            <w:pPr>
              <w:jc w:val="center"/>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2507-320458-89-01-365993</w:t>
            </w:r>
          </w:p>
        </w:tc>
      </w:tr>
      <w:tr w14:paraId="7398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84A03D1">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建设单位联系人</w:t>
            </w:r>
          </w:p>
        </w:tc>
        <w:tc>
          <w:tcPr>
            <w:tcW w:w="1360" w:type="pct"/>
            <w:vAlign w:val="center"/>
          </w:tcPr>
          <w:p w14:paraId="0635FB6B">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c>
          <w:tcPr>
            <w:tcW w:w="1173" w:type="pct"/>
            <w:vAlign w:val="center"/>
          </w:tcPr>
          <w:p w14:paraId="444DC97D">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联系方式</w:t>
            </w:r>
          </w:p>
        </w:tc>
        <w:tc>
          <w:tcPr>
            <w:tcW w:w="1715" w:type="pct"/>
            <w:vAlign w:val="center"/>
          </w:tcPr>
          <w:p w14:paraId="7DBE075F">
            <w:pPr>
              <w:jc w:val="center"/>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4094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52" w:type="pct"/>
            <w:vAlign w:val="center"/>
          </w:tcPr>
          <w:p w14:paraId="2C530144">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p>
        </w:tc>
        <w:tc>
          <w:tcPr>
            <w:tcW w:w="4248" w:type="pct"/>
            <w:gridSpan w:val="3"/>
            <w:vAlign w:val="center"/>
          </w:tcPr>
          <w:p w14:paraId="75A57299">
            <w:pPr>
              <w:jc w:val="center"/>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常州市江苏省金坛经济开发区晨风路900号16号楼101室</w:t>
            </w:r>
          </w:p>
          <w:p w14:paraId="20337DFF">
            <w:pPr>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16号楼共3层，均为101室</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142D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317C3C8">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地理坐标</w:t>
            </w:r>
          </w:p>
        </w:tc>
        <w:tc>
          <w:tcPr>
            <w:tcW w:w="4248" w:type="pct"/>
            <w:gridSpan w:val="3"/>
            <w:vAlign w:val="center"/>
          </w:tcPr>
          <w:p w14:paraId="1BFF38CA">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（东经119°38'36.510"，北纬31°45'45.674"）</w:t>
            </w:r>
          </w:p>
        </w:tc>
      </w:tr>
      <w:tr w14:paraId="3CBA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Align w:val="center"/>
          </w:tcPr>
          <w:p w14:paraId="63D0588C">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国民经济行业类别</w:t>
            </w:r>
          </w:p>
        </w:tc>
        <w:tc>
          <w:tcPr>
            <w:tcW w:w="1360" w:type="pct"/>
            <w:vAlign w:val="center"/>
          </w:tcPr>
          <w:p w14:paraId="6DDCCB5A">
            <w:pPr>
              <w:jc w:val="center"/>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C3989其他电子元件制造</w:t>
            </w:r>
          </w:p>
        </w:tc>
        <w:tc>
          <w:tcPr>
            <w:tcW w:w="1173" w:type="pct"/>
            <w:vAlign w:val="center"/>
          </w:tcPr>
          <w:p w14:paraId="5A8A5766">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w:t>
            </w:r>
          </w:p>
          <w:p w14:paraId="66D8E8FA">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行业类别</w:t>
            </w:r>
          </w:p>
        </w:tc>
        <w:tc>
          <w:tcPr>
            <w:tcW w:w="1715" w:type="pct"/>
            <w:vAlign w:val="center"/>
          </w:tcPr>
          <w:p w14:paraId="1AF34220">
            <w:pPr>
              <w:jc w:val="center"/>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三十六、计算机、通信和其他电子设备制造业39-</w:t>
            </w:r>
            <w:r>
              <w:rPr>
                <w:rFonts w:hint="eastAsia" w:ascii="Times New Roman" w:hAnsi="Times New Roman" w:eastAsia="宋体" w:cs="Times New Roman"/>
                <w:color w:val="000000" w:themeColor="text1"/>
                <w:sz w:val="24"/>
                <w:lang w:val="en-US" w:eastAsia="zh-CN"/>
                <w14:textFill>
                  <w14:solidFill>
                    <w14:schemeClr w14:val="tx1"/>
                  </w14:solidFill>
                </w14:textFill>
              </w:rPr>
              <w:t>81</w:t>
            </w:r>
            <w:r>
              <w:rPr>
                <w:rFonts w:hint="default" w:ascii="Times New Roman" w:hAnsi="Times New Roman" w:eastAsia="宋体" w:cs="Times New Roman"/>
                <w:color w:val="000000" w:themeColor="text1"/>
                <w:sz w:val="24"/>
                <w:lang w:val="en-US" w:eastAsia="zh-CN"/>
                <w14:textFill>
                  <w14:solidFill>
                    <w14:schemeClr w14:val="tx1"/>
                  </w14:solidFill>
                </w14:textFill>
              </w:rPr>
              <w:t>电子元件及电子专用材料制造398</w:t>
            </w:r>
          </w:p>
        </w:tc>
      </w:tr>
      <w:tr w14:paraId="3082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74F7A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建设性质</w:t>
            </w:r>
          </w:p>
        </w:tc>
        <w:tc>
          <w:tcPr>
            <w:tcW w:w="1360" w:type="pct"/>
            <w:vAlign w:val="center"/>
          </w:tcPr>
          <w:p w14:paraId="6D8E02A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w:char="00A8"/>
            </w:r>
            <w:r>
              <w:rPr>
                <w:rFonts w:hint="default" w:ascii="Times New Roman" w:hAnsi="Times New Roman" w:eastAsia="宋体" w:cs="Times New Roman"/>
                <w:color w:val="000000" w:themeColor="text1"/>
                <w:sz w:val="24"/>
                <w14:textFill>
                  <w14:solidFill>
                    <w14:schemeClr w14:val="tx1"/>
                  </w14:solidFill>
                </w14:textFill>
              </w:rPr>
              <w:t>新建（迁建）</w:t>
            </w:r>
          </w:p>
          <w:p w14:paraId="375F6DD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w:char="00A8"/>
            </w:r>
            <w:r>
              <w:rPr>
                <w:rFonts w:hint="default" w:ascii="Times New Roman" w:hAnsi="Times New Roman" w:eastAsia="宋体" w:cs="Times New Roman"/>
                <w:color w:val="000000" w:themeColor="text1"/>
                <w:sz w:val="24"/>
                <w14:textFill>
                  <w14:solidFill>
                    <w14:schemeClr w14:val="tx1"/>
                  </w14:solidFill>
                </w14:textFill>
              </w:rPr>
              <w:t>改建</w:t>
            </w:r>
          </w:p>
          <w:p w14:paraId="54B5495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w:char="00FE"/>
            </w:r>
            <w:r>
              <w:rPr>
                <w:rFonts w:hint="default" w:ascii="Times New Roman" w:hAnsi="Times New Roman" w:eastAsia="宋体" w:cs="Times New Roman"/>
                <w:color w:val="000000" w:themeColor="text1"/>
                <w:sz w:val="24"/>
                <w14:textFill>
                  <w14:solidFill>
                    <w14:schemeClr w14:val="tx1"/>
                  </w14:solidFill>
                </w14:textFill>
              </w:rPr>
              <w:t>扩建</w:t>
            </w:r>
          </w:p>
          <w:p w14:paraId="5DAEC30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w:char="00A8"/>
            </w:r>
            <w:r>
              <w:rPr>
                <w:rFonts w:hint="default" w:ascii="Times New Roman" w:hAnsi="Times New Roman" w:eastAsia="宋体" w:cs="Times New Roman"/>
                <w:color w:val="000000" w:themeColor="text1"/>
                <w:sz w:val="24"/>
                <w14:textFill>
                  <w14:solidFill>
                    <w14:schemeClr w14:val="tx1"/>
                  </w14:solidFill>
                </w14:textFill>
              </w:rPr>
              <w:t>技术改造</w:t>
            </w:r>
          </w:p>
        </w:tc>
        <w:tc>
          <w:tcPr>
            <w:tcW w:w="2178" w:type="dxa"/>
            <w:vAlign w:val="center"/>
          </w:tcPr>
          <w:p w14:paraId="21249039">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w:t>
            </w:r>
          </w:p>
          <w:p w14:paraId="37FD4BF4">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申报情形</w:t>
            </w:r>
          </w:p>
        </w:tc>
        <w:tc>
          <w:tcPr>
            <w:tcW w:w="3185" w:type="dxa"/>
            <w:vAlign w:val="center"/>
          </w:tcPr>
          <w:p w14:paraId="6D40ED8B">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☑首次申报项目</w:t>
            </w:r>
          </w:p>
          <w:p w14:paraId="6D1BBFDB">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□不予批准后再次申报项目</w:t>
            </w:r>
          </w:p>
          <w:p w14:paraId="45B8C1F8">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□超五年重新审核项目</w:t>
            </w:r>
          </w:p>
          <w:p w14:paraId="7FD2EB99">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□重大变动重新报批项目</w:t>
            </w:r>
          </w:p>
        </w:tc>
      </w:tr>
      <w:tr w14:paraId="2996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78BEF1B">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w:t>
            </w:r>
          </w:p>
          <w:p w14:paraId="20F77AE8">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（核准/备案）部门</w:t>
            </w:r>
          </w:p>
          <w:p w14:paraId="7EFED61C">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（选填）</w:t>
            </w:r>
          </w:p>
        </w:tc>
        <w:tc>
          <w:tcPr>
            <w:tcW w:w="1360" w:type="pct"/>
            <w:vAlign w:val="center"/>
          </w:tcPr>
          <w:p w14:paraId="286B46B8">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江苏金坛经济开发区经济发展局</w:t>
            </w:r>
          </w:p>
        </w:tc>
        <w:tc>
          <w:tcPr>
            <w:tcW w:w="1173" w:type="pct"/>
            <w:vAlign w:val="center"/>
          </w:tcPr>
          <w:p w14:paraId="336667C6">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项目审批（核准/备案）文号（选填）</w:t>
            </w:r>
          </w:p>
        </w:tc>
        <w:tc>
          <w:tcPr>
            <w:tcW w:w="1715" w:type="pct"/>
            <w:vAlign w:val="center"/>
          </w:tcPr>
          <w:p w14:paraId="314D0016">
            <w:pPr>
              <w:jc w:val="center"/>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坛开经发备字〔2025〕192号</w:t>
            </w:r>
          </w:p>
        </w:tc>
      </w:tr>
      <w:tr w14:paraId="1E37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A1CDB48">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总投资</w:t>
            </w:r>
          </w:p>
          <w:p w14:paraId="0E34AAC0">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（万元）</w:t>
            </w:r>
          </w:p>
        </w:tc>
        <w:tc>
          <w:tcPr>
            <w:tcW w:w="1360" w:type="pct"/>
            <w:vAlign w:val="center"/>
          </w:tcPr>
          <w:p w14:paraId="4C484C8C">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000</w:t>
            </w:r>
          </w:p>
        </w:tc>
        <w:tc>
          <w:tcPr>
            <w:tcW w:w="1173" w:type="pct"/>
            <w:vAlign w:val="center"/>
          </w:tcPr>
          <w:p w14:paraId="60795522">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w:t>
            </w:r>
          </w:p>
          <w:p w14:paraId="798B050B">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（万元）</w:t>
            </w:r>
          </w:p>
        </w:tc>
        <w:tc>
          <w:tcPr>
            <w:tcW w:w="1715" w:type="pct"/>
            <w:vAlign w:val="center"/>
          </w:tcPr>
          <w:p w14:paraId="50B9AF9C">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0</w:t>
            </w:r>
          </w:p>
        </w:tc>
      </w:tr>
      <w:tr w14:paraId="5EF1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13B39EE">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环保投资占比（%）</w:t>
            </w:r>
          </w:p>
        </w:tc>
        <w:tc>
          <w:tcPr>
            <w:tcW w:w="1360" w:type="pct"/>
            <w:vAlign w:val="center"/>
          </w:tcPr>
          <w:p w14:paraId="6C28164C">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w:t>
            </w:r>
          </w:p>
        </w:tc>
        <w:tc>
          <w:tcPr>
            <w:tcW w:w="1173" w:type="pct"/>
            <w:vAlign w:val="center"/>
          </w:tcPr>
          <w:p w14:paraId="59BE9D6F">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1715" w:type="pct"/>
            <w:vAlign w:val="center"/>
          </w:tcPr>
          <w:p w14:paraId="72E215F1">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2个月</w:t>
            </w:r>
          </w:p>
        </w:tc>
      </w:tr>
      <w:tr w14:paraId="6CB9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40064DF">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是否开工建设</w:t>
            </w:r>
          </w:p>
        </w:tc>
        <w:tc>
          <w:tcPr>
            <w:tcW w:w="1360" w:type="pct"/>
            <w:vAlign w:val="center"/>
          </w:tcPr>
          <w:p w14:paraId="7AB53AA8">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sym w:font="Wingdings" w:char="00FE"/>
            </w:r>
            <w:r>
              <w:rPr>
                <w:rFonts w:hint="default" w:ascii="Times New Roman" w:hAnsi="Times New Roman" w:eastAsia="宋体" w:cs="Times New Roman"/>
                <w:color w:val="000000" w:themeColor="text1"/>
                <w:sz w:val="24"/>
                <w14:textFill>
                  <w14:solidFill>
                    <w14:schemeClr w14:val="tx1"/>
                  </w14:solidFill>
                </w14:textFill>
              </w:rPr>
              <w:t>否</w:t>
            </w:r>
          </w:p>
          <w:p w14:paraId="23C14FB6">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sym w:font="Wingdings" w:char="00A8"/>
            </w:r>
            <w:r>
              <w:rPr>
                <w:rFonts w:hint="default" w:ascii="Times New Roman" w:hAnsi="Times New Roman" w:eastAsia="宋体" w:cs="Times New Roman"/>
                <w:color w:val="000000" w:themeColor="text1"/>
                <w:sz w:val="24"/>
                <w14:textFill>
                  <w14:solidFill>
                    <w14:schemeClr w14:val="tx1"/>
                  </w14:solidFill>
                </w14:textFill>
              </w:rPr>
              <w:t>是：</w:t>
            </w:r>
            <w:r>
              <w:rPr>
                <w:rFonts w:hint="default" w:ascii="Times New Roman" w:hAnsi="Times New Roman" w:eastAsia="宋体" w:cs="Times New Roman"/>
                <w:color w:val="000000" w:themeColor="text1"/>
                <w:sz w:val="24"/>
                <w:u w:val="single"/>
                <w14:textFill>
                  <w14:solidFill>
                    <w14:schemeClr w14:val="tx1"/>
                  </w14:solidFill>
                </w14:textFill>
              </w:rPr>
              <w:t xml:space="preserve">            </w:t>
            </w:r>
          </w:p>
        </w:tc>
        <w:tc>
          <w:tcPr>
            <w:tcW w:w="1173" w:type="pct"/>
            <w:vAlign w:val="center"/>
          </w:tcPr>
          <w:p w14:paraId="66EF7630">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用地（用海）</w:t>
            </w:r>
          </w:p>
          <w:p w14:paraId="298A124C">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面积（m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p>
        </w:tc>
        <w:tc>
          <w:tcPr>
            <w:tcW w:w="1715" w:type="pct"/>
            <w:vAlign w:val="center"/>
          </w:tcPr>
          <w:p w14:paraId="3EBE705F">
            <w:pPr>
              <w:jc w:val="center"/>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不新增用地</w:t>
            </w:r>
            <w:r>
              <w:rPr>
                <w:rFonts w:hint="eastAsia" w:ascii="宋体" w:hAnsi="宋体" w:eastAsia="宋体" w:cs="宋体"/>
                <w:color w:val="000000" w:themeColor="text1"/>
                <w:sz w:val="24"/>
                <w:szCs w:val="24"/>
                <w:lang w:eastAsia="zh-CN"/>
                <w14:textFill>
                  <w14:solidFill>
                    <w14:schemeClr w14:val="tx1"/>
                  </w14:solidFill>
                </w14:textFill>
              </w:rPr>
              <w:t>）</w:t>
            </w:r>
          </w:p>
        </w:tc>
      </w:tr>
      <w:tr w14:paraId="2F37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5F31AD9">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专项评价设置情况</w:t>
            </w:r>
          </w:p>
        </w:tc>
        <w:tc>
          <w:tcPr>
            <w:tcW w:w="4248" w:type="pct"/>
            <w:gridSpan w:val="3"/>
            <w:vAlign w:val="center"/>
          </w:tcPr>
          <w:p w14:paraId="64324480">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无</w:t>
            </w:r>
          </w:p>
        </w:tc>
      </w:tr>
      <w:tr w14:paraId="65E3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BADEC98">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规划情况</w:t>
            </w:r>
          </w:p>
        </w:tc>
        <w:tc>
          <w:tcPr>
            <w:tcW w:w="4248" w:type="pct"/>
            <w:gridSpan w:val="3"/>
            <w:vAlign w:val="center"/>
          </w:tcPr>
          <w:p w14:paraId="093277DB">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名称：《金坛经济开发区发展规划》</w:t>
            </w:r>
          </w:p>
          <w:p w14:paraId="09870993">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审批机关：江苏省人民政府</w:t>
            </w:r>
          </w:p>
          <w:p w14:paraId="61512754">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审批文件名称及文号：《省政府关于同意设立海门经济开发区等13家省级开发区的批复》（苏政复〔1993〕60号）</w:t>
            </w:r>
          </w:p>
        </w:tc>
      </w:tr>
      <w:tr w14:paraId="246D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6A068C2">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规划环境影响评价情况</w:t>
            </w:r>
          </w:p>
        </w:tc>
        <w:tc>
          <w:tcPr>
            <w:tcW w:w="4248" w:type="pct"/>
            <w:gridSpan w:val="3"/>
            <w:vAlign w:val="center"/>
          </w:tcPr>
          <w:p w14:paraId="72690106">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名称：《金坛经济开发区发展规划环境影响报告书》</w:t>
            </w:r>
          </w:p>
          <w:p w14:paraId="480105F4">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审批机关：江苏省环境保护厅</w:t>
            </w:r>
          </w:p>
          <w:p w14:paraId="29050ACC">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审批文件名称及文号：《关于金坛经济开发区发展规划环境影响评价审查意见》（苏环审〔2015〕52号）</w:t>
            </w:r>
          </w:p>
          <w:p w14:paraId="621DB0A4">
            <w:pPr>
              <w:spacing w:line="360" w:lineRule="auto"/>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最新的《江苏金坛经济开发区发展规划环境影响评价》正在委托江苏龙环环境科技有限公司更新编制中，现已通过公示阶段</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bl>
    <w:p w14:paraId="188FEC54">
      <w:pPr>
        <w:rPr>
          <w:rFonts w:hint="default" w:ascii="Times New Roman" w:hAnsi="Times New Roman" w:cs="Times New Roman"/>
          <w:color w:val="000000" w:themeColor="text1"/>
          <w14:textFill>
            <w14:solidFill>
              <w14:schemeClr w14:val="tx1"/>
            </w14:solidFill>
          </w14:textFill>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858"/>
      </w:tblGrid>
      <w:tr w14:paraId="48EC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14:paraId="345C0293">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规划及规划环境影响评价符合性分析</w:t>
            </w:r>
          </w:p>
        </w:tc>
        <w:tc>
          <w:tcPr>
            <w:tcW w:w="4769" w:type="pct"/>
            <w:vAlign w:val="center"/>
          </w:tcPr>
          <w:p w14:paraId="4E4A514F">
            <w:pPr>
              <w:spacing w:line="360" w:lineRule="auto"/>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一</w:t>
            </w:r>
            <w:r>
              <w:rPr>
                <w:rFonts w:hint="default" w:ascii="Times New Roman" w:hAnsi="Times New Roman" w:eastAsia="宋体" w:cs="Times New Roman"/>
                <w:b/>
                <w:color w:val="000000" w:themeColor="text1"/>
                <w:sz w:val="24"/>
                <w14:textFill>
                  <w14:solidFill>
                    <w14:schemeClr w14:val="tx1"/>
                  </w14:solidFill>
                </w14:textFill>
              </w:rPr>
              <w:t>）规划相符性分析</w:t>
            </w:r>
          </w:p>
          <w:p w14:paraId="7555314F">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本项目与《金坛经济开发区发展规划》相符性分析见表1-1。</w:t>
            </w:r>
          </w:p>
          <w:p w14:paraId="23D92BC6">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表1-1  项目与《金坛经济开发区发展规划》相符性分析表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4071"/>
              <w:gridCol w:w="2961"/>
              <w:gridCol w:w="925"/>
            </w:tblGrid>
            <w:tr w14:paraId="073CC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396" w:type="pct"/>
                  <w:vAlign w:val="center"/>
                </w:tcPr>
                <w:p w14:paraId="0FE883F1">
                  <w:pPr>
                    <w:autoSpaceDE w:val="0"/>
                    <w:autoSpaceDN w:val="0"/>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序号</w:t>
                  </w:r>
                </w:p>
              </w:tc>
              <w:tc>
                <w:tcPr>
                  <w:tcW w:w="2355" w:type="pct"/>
                  <w:vAlign w:val="center"/>
                </w:tcPr>
                <w:p w14:paraId="12D67D87">
                  <w:pPr>
                    <w:autoSpaceDE w:val="0"/>
                    <w:autoSpaceDN w:val="0"/>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规划情况</w:t>
                  </w:r>
                </w:p>
              </w:tc>
              <w:tc>
                <w:tcPr>
                  <w:tcW w:w="1713" w:type="pct"/>
                  <w:vAlign w:val="center"/>
                </w:tcPr>
                <w:p w14:paraId="73D6982F">
                  <w:pPr>
                    <w:autoSpaceDE w:val="0"/>
                    <w:autoSpaceDN w:val="0"/>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对照简析</w:t>
                  </w:r>
                </w:p>
              </w:tc>
              <w:tc>
                <w:tcPr>
                  <w:tcW w:w="535" w:type="pct"/>
                  <w:vAlign w:val="center"/>
                </w:tcPr>
                <w:p w14:paraId="7B27C72A">
                  <w:pPr>
                    <w:autoSpaceDE w:val="0"/>
                    <w:autoSpaceDN w:val="0"/>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相符性</w:t>
                  </w:r>
                </w:p>
              </w:tc>
            </w:tr>
            <w:tr w14:paraId="0FDE4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6" w:type="pct"/>
                  <w:vAlign w:val="center"/>
                </w:tcPr>
                <w:p w14:paraId="2AE009B8">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2355" w:type="pct"/>
                  <w:vAlign w:val="center"/>
                </w:tcPr>
                <w:p w14:paraId="6D85BED2">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规划范围：东至在建省道203（东环路），南至规划沿江城际铁路，西至金湖路（金宜路）-S340-丹金溧漕河，北近开发区行政界线，距金坛和丹阳市界500m处，总面积71.3km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金坛经济开发区按照产业划分形成传统产业园区（产业北区）和创新型产业园区（产业南区）。传统产业园区：位于金武公路以北，主要发展以服装、电子、机械、新材料和新能源等为主导的产业，规划整合为盐化工产业园、综合制造产业园、高端制造产业园、中小企业园、新能源新材料产业园。创新产业园：位于延政西路以南，从事高新技术产品的研制、开发或提供技术外包服务和业务流程外包服务的企业用地，主要发展以新医药、环保、新传感网等新兴产业的研发、设计与营销为主。</w:t>
                  </w:r>
                </w:p>
              </w:tc>
              <w:tc>
                <w:tcPr>
                  <w:tcW w:w="1713" w:type="pct"/>
                  <w:vAlign w:val="center"/>
                </w:tcPr>
                <w:p w14:paraId="5ABE403A">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项目建设地位于</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color w:val="000000" w:themeColor="text1"/>
                      <w:kern w:val="0"/>
                      <w:szCs w:val="21"/>
                      <w14:textFill>
                        <w14:solidFill>
                          <w14:schemeClr w14:val="tx1"/>
                        </w14:solidFill>
                      </w14:textFill>
                    </w:rPr>
                    <w:t>，位于传统产业园区内；本项目为</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常州市鼎一电子有限公司新建年产12亿套芯片框架组件项目</w:t>
                  </w:r>
                  <w:r>
                    <w:rPr>
                      <w:rFonts w:hint="default" w:ascii="Times New Roman" w:hAnsi="Times New Roman" w:eastAsia="宋体" w:cs="Times New Roman"/>
                      <w:color w:val="000000" w:themeColor="text1"/>
                      <w:kern w:val="0"/>
                      <w:szCs w:val="21"/>
                      <w14:textFill>
                        <w14:solidFill>
                          <w14:schemeClr w14:val="tx1"/>
                        </w14:solidFill>
                      </w14:textFill>
                    </w:rPr>
                    <w:t>，行业类别为</w:t>
                  </w:r>
                  <w:r>
                    <w:rPr>
                      <w:rFonts w:hint="eastAsia" w:ascii="Times New Roman" w:hAnsi="Times New Roman" w:eastAsia="宋体" w:cs="Times New Roman"/>
                      <w:color w:val="000000" w:themeColor="text1"/>
                      <w:kern w:val="0"/>
                      <w:szCs w:val="21"/>
                      <w:lang w:eastAsia="zh-CN"/>
                      <w14:textFill>
                        <w14:solidFill>
                          <w14:schemeClr w14:val="tx1"/>
                        </w14:solidFill>
                      </w14:textFill>
                    </w:rPr>
                    <w:t>C3989其他电子元件制造</w:t>
                  </w:r>
                  <w:r>
                    <w:rPr>
                      <w:rFonts w:hint="default" w:ascii="Times New Roman" w:hAnsi="Times New Roman" w:eastAsia="宋体" w:cs="Times New Roman"/>
                      <w:color w:val="000000" w:themeColor="text1"/>
                      <w:kern w:val="0"/>
                      <w:szCs w:val="21"/>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电子</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行业，因此</w:t>
                  </w:r>
                  <w:r>
                    <w:rPr>
                      <w:rFonts w:hint="default" w:ascii="Times New Roman" w:hAnsi="Times New Roman" w:eastAsia="宋体" w:cs="Times New Roman"/>
                      <w:color w:val="000000" w:themeColor="text1"/>
                      <w:kern w:val="0"/>
                      <w:szCs w:val="21"/>
                      <w14:textFill>
                        <w14:solidFill>
                          <w14:schemeClr w14:val="tx1"/>
                        </w14:solidFill>
                      </w14:textFill>
                    </w:rPr>
                    <w:t>符合传统产业园区产业定位要求</w:t>
                  </w:r>
                </w:p>
              </w:tc>
              <w:tc>
                <w:tcPr>
                  <w:tcW w:w="535" w:type="pct"/>
                  <w:vAlign w:val="center"/>
                </w:tcPr>
                <w:p w14:paraId="744FE81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14:paraId="05B50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6" w:type="pct"/>
                  <w:vAlign w:val="center"/>
                </w:tcPr>
                <w:p w14:paraId="097B278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w:t>
                  </w:r>
                </w:p>
              </w:tc>
              <w:tc>
                <w:tcPr>
                  <w:tcW w:w="2355" w:type="pct"/>
                  <w:vAlign w:val="center"/>
                </w:tcPr>
                <w:p w14:paraId="3E475C2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用地布局：总用地为7130hm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。其中城市建设用地为6411.2hm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（工业用地2278.55hm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），非建设用地为334.4hm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（水域面积258.3hm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），发展备用地384.4hm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p>
              </w:tc>
              <w:tc>
                <w:tcPr>
                  <w:tcW w:w="1713" w:type="pct"/>
                  <w:vAlign w:val="center"/>
                </w:tcPr>
                <w:p w14:paraId="0C4310DA">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项目建设地属于工业用地</w:t>
                  </w:r>
                </w:p>
              </w:tc>
              <w:tc>
                <w:tcPr>
                  <w:tcW w:w="535" w:type="pct"/>
                  <w:vAlign w:val="center"/>
                </w:tcPr>
                <w:p w14:paraId="19389BA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14:paraId="039849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6" w:type="pct"/>
                  <w:vAlign w:val="center"/>
                </w:tcPr>
                <w:p w14:paraId="0C013784">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w:t>
                  </w:r>
                </w:p>
              </w:tc>
              <w:tc>
                <w:tcPr>
                  <w:tcW w:w="2355" w:type="pct"/>
                  <w:vAlign w:val="center"/>
                </w:tcPr>
                <w:p w14:paraId="025CFCD9">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环保基础设施规划：采用雨污分流排水体制，污水经收集后排入金坛第二污水处理厂集中处理。</w:t>
                  </w:r>
                </w:p>
              </w:tc>
              <w:tc>
                <w:tcPr>
                  <w:tcW w:w="1713" w:type="pct"/>
                  <w:vAlign w:val="center"/>
                </w:tcPr>
                <w:p w14:paraId="70E17115">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项目</w:t>
                  </w:r>
                  <w:r>
                    <w:rPr>
                      <w:rStyle w:val="32"/>
                      <w:rFonts w:hint="default" w:ascii="Times New Roman" w:hAnsi="Times New Roman" w:eastAsia="宋体" w:cs="Times New Roman"/>
                      <w:color w:val="000000" w:themeColor="text1"/>
                      <w14:textFill>
                        <w14:solidFill>
                          <w14:schemeClr w14:val="tx1"/>
                        </w14:solidFill>
                      </w14:textFill>
                    </w:rPr>
                    <w:t>所在地已</w:t>
                  </w:r>
                  <w:r>
                    <w:rPr>
                      <w:rFonts w:hint="default" w:ascii="Times New Roman" w:hAnsi="Times New Roman" w:eastAsia="宋体" w:cs="Times New Roman"/>
                      <w:color w:val="000000" w:themeColor="text1"/>
                      <w:kern w:val="0"/>
                      <w14:textFill>
                        <w14:solidFill>
                          <w14:schemeClr w14:val="tx1"/>
                        </w14:solidFill>
                      </w14:textFill>
                    </w:rPr>
                    <w:t>采用雨污分流制；项目不排放生产废水，生活污水接管至常州金坛区第二污水处理有限公司集中处理。</w:t>
                  </w:r>
                </w:p>
              </w:tc>
              <w:tc>
                <w:tcPr>
                  <w:tcW w:w="535" w:type="pct"/>
                  <w:vAlign w:val="center"/>
                </w:tcPr>
                <w:p w14:paraId="6F0D9942">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14:paraId="32A3B8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6" w:type="pct"/>
                  <w:vAlign w:val="center"/>
                </w:tcPr>
                <w:p w14:paraId="08D2C04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w:t>
                  </w:r>
                </w:p>
              </w:tc>
              <w:tc>
                <w:tcPr>
                  <w:tcW w:w="2355" w:type="pct"/>
                  <w:vAlign w:val="center"/>
                </w:tcPr>
                <w:p w14:paraId="66D1CDCD">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环卫：采用垃圾分类处理方式，分类后的无机物、废品垃圾尽量回收利用，有机垃圾以焚烧为主。</w:t>
                  </w:r>
                </w:p>
              </w:tc>
              <w:tc>
                <w:tcPr>
                  <w:tcW w:w="1713" w:type="pct"/>
                  <w:vAlign w:val="center"/>
                </w:tcPr>
                <w:p w14:paraId="75C7086E">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项目生活垃圾由环卫部门统一清运处置。</w:t>
                  </w:r>
                </w:p>
              </w:tc>
              <w:tc>
                <w:tcPr>
                  <w:tcW w:w="535" w:type="pct"/>
                  <w:vAlign w:val="center"/>
                </w:tcPr>
                <w:p w14:paraId="5C6C8CE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bl>
          <w:p w14:paraId="4C869470">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jc w:val="left"/>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项目建设地为</w:t>
            </w:r>
            <w:r>
              <w:rPr>
                <w:rFonts w:hint="eastAsia" w:ascii="Times New Roman" w:hAnsi="Times New Roman" w:eastAsia="宋体" w:cs="Times New Roman"/>
                <w:b w:val="0"/>
                <w:bCs/>
                <w:color w:val="000000" w:themeColor="text1"/>
                <w:sz w:val="24"/>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b w:val="0"/>
                <w:bCs/>
                <w:color w:val="000000" w:themeColor="text1"/>
                <w:sz w:val="24"/>
                <w14:textFill>
                  <w14:solidFill>
                    <w14:schemeClr w14:val="tx1"/>
                  </w14:solidFill>
                </w14:textFill>
              </w:rPr>
              <w:t>，位于传统产业园区内；行业类别为</w:t>
            </w:r>
            <w:r>
              <w:rPr>
                <w:rFonts w:hint="eastAsia" w:ascii="Times New Roman" w:hAnsi="Times New Roman" w:eastAsia="宋体" w:cs="Times New Roman"/>
                <w:b w:val="0"/>
                <w:bCs/>
                <w:color w:val="000000" w:themeColor="text1"/>
                <w:sz w:val="24"/>
                <w:lang w:eastAsia="zh-CN"/>
                <w14:textFill>
                  <w14:solidFill>
                    <w14:schemeClr w14:val="tx1"/>
                  </w14:solidFill>
                </w14:textFill>
              </w:rPr>
              <w:t>C3989其他电子元件制造</w:t>
            </w:r>
            <w:r>
              <w:rPr>
                <w:rFonts w:hint="default" w:ascii="Times New Roman" w:hAnsi="Times New Roman" w:eastAsia="宋体" w:cs="Times New Roman"/>
                <w:b w:val="0"/>
                <w:bCs/>
                <w:color w:val="000000" w:themeColor="text1"/>
                <w:sz w:val="24"/>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产品为芯片框架组件，</w:t>
            </w:r>
            <w:r>
              <w:rPr>
                <w:rFonts w:hint="default" w:ascii="Times New Roman" w:hAnsi="Times New Roman" w:eastAsia="宋体" w:cs="Times New Roman"/>
                <w:b w:val="0"/>
                <w:bCs/>
                <w:color w:val="000000" w:themeColor="text1"/>
                <w:sz w:val="24"/>
                <w14:textFill>
                  <w14:solidFill>
                    <w14:schemeClr w14:val="tx1"/>
                  </w14:solidFill>
                </w14:textFill>
              </w:rPr>
              <w:t>属于</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电子</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行业</w:t>
            </w:r>
            <w:r>
              <w:rPr>
                <w:rFonts w:hint="default" w:ascii="Times New Roman" w:hAnsi="Times New Roman" w:eastAsia="宋体" w:cs="Times New Roman"/>
                <w:b w:val="0"/>
                <w:bCs/>
                <w:color w:val="000000" w:themeColor="text1"/>
                <w:sz w:val="24"/>
                <w14:textFill>
                  <w14:solidFill>
                    <w14:schemeClr w14:val="tx1"/>
                  </w14:solidFill>
                </w14:textFill>
              </w:rPr>
              <w:t>，符合传统产业园区产业定位。项目选址用地性质为金坛经济开发区规划的工业用地范围内，符合用地规划要求。项目所在地区已采用雨污分流制，项目无生产废水排放，生活污水经已建规范化排放口接管至常州金坛区第二污水处理有限公司处理；生活垃圾由环卫部门统一清运处置。因此项目建设符合《金坛经济开发区发展规划》中相关要求。</w:t>
            </w:r>
          </w:p>
          <w:p w14:paraId="74F398E5">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（二）与《金坛经济开发区发展规划环境影响报告书》符合性分析</w:t>
            </w:r>
          </w:p>
          <w:p w14:paraId="395598EE">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1、规划范围</w:t>
            </w:r>
          </w:p>
          <w:p w14:paraId="6A44EAE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《关于金坛经济开发区发展规划环境影响评价审查意见》（苏环审〔2015〕52号）</w:t>
            </w:r>
            <w:r>
              <w:rPr>
                <w:rFonts w:hint="default" w:ascii="Times New Roman" w:hAnsi="Times New Roman" w:eastAsia="宋体" w:cs="Times New Roman"/>
                <w:bCs/>
                <w:color w:val="000000" w:themeColor="text1"/>
                <w:sz w:val="24"/>
                <w:szCs w:val="24"/>
                <w14:textFill>
                  <w14:solidFill>
                    <w14:schemeClr w14:val="tx1"/>
                  </w14:solidFill>
                </w14:textFill>
              </w:rPr>
              <w:t>，金坛经济开发区具体范围为：东至规划在建省道203（东环路），南至规划沿江城际铁路，西至金湖路（金宜路）-S340-丹金溧漕河，北近开发区行政界线，距金坛和丹阳市界500m处，总面积为71.3km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。其中盐化工区四至范围为：东至大柘荡、南至兴荣兆邦北厂界、西至丹金溧漕河、北至离金坛和丹阳市界500m处，面积为3.55km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w:t>
            </w:r>
          </w:p>
          <w:p w14:paraId="5299E2A3">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eastAsia" w:ascii="Times New Roman" w:hAnsi="Times New Roman" w:eastAsia="宋体" w:cs="Times New Roman"/>
                <w:color w:val="000000" w:themeColor="text1"/>
                <w:sz w:val="24"/>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bCs/>
                <w:color w:val="000000" w:themeColor="text1"/>
                <w:sz w:val="24"/>
                <w:szCs w:val="24"/>
                <w14:textFill>
                  <w14:solidFill>
                    <w14:schemeClr w14:val="tx1"/>
                  </w14:solidFill>
                </w14:textFill>
              </w:rPr>
              <w:t>，位于金坛经济开发区范围，根据《金坛经济开发区土地利用规划图》，项目所在地已规划为工业用地，本项目符合用地性质要求。</w:t>
            </w:r>
          </w:p>
          <w:p w14:paraId="0502AABE">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2、产业定位</w:t>
            </w:r>
          </w:p>
          <w:p w14:paraId="6FDC778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金坛经济开发区将按照“优化一产、提升二产、扩大三产”的思路，加快发展创新型经济，改造提升传统产业，促进新兴产业向规模化方向发展、主导产业向高端化方向发展、传统产业向品牌化方向发展，构建具有开发区特色和优势的现代产业体系。具体产业为：纺织服装、机械电子、高端装备制造、盐化工、新能源、新材料、节能环保、新医药、研发服务。</w:t>
            </w:r>
          </w:p>
          <w:p w14:paraId="720A50CA">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年产12亿套芯片框架组件项目</w:t>
            </w:r>
            <w:r>
              <w:rPr>
                <w:rFonts w:hint="default" w:ascii="Times New Roman" w:hAnsi="Times New Roman" w:eastAsia="宋体" w:cs="Times New Roman"/>
                <w:bCs/>
                <w:color w:val="000000" w:themeColor="text1"/>
                <w:sz w:val="24"/>
                <w:szCs w:val="24"/>
                <w14:textFill>
                  <w14:solidFill>
                    <w14:schemeClr w14:val="tx1"/>
                  </w14:solidFill>
                </w14:textFill>
              </w:rPr>
              <w:t>，国民经济行业类别属于“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C3989其他电子元件制造</w:t>
            </w:r>
            <w:r>
              <w:rPr>
                <w:rFonts w:hint="default" w:ascii="Times New Roman" w:hAnsi="Times New Roman" w:eastAsia="宋体" w:cs="Times New Roman"/>
                <w:bCs/>
                <w:color w:val="000000" w:themeColor="text1"/>
                <w:sz w:val="24"/>
                <w:szCs w:val="24"/>
                <w14:textFill>
                  <w14:solidFill>
                    <w14:schemeClr w14:val="tx1"/>
                  </w14:solidFill>
                </w14:textFill>
              </w:rPr>
              <w:t>”，产品的应用领域主要为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电子</w:t>
            </w:r>
            <w:r>
              <w:rPr>
                <w:rFonts w:hint="default" w:ascii="Times New Roman" w:hAnsi="Times New Roman" w:eastAsia="宋体" w:cs="Times New Roman"/>
                <w:bCs/>
                <w:color w:val="000000" w:themeColor="text1"/>
                <w:sz w:val="24"/>
                <w:szCs w:val="24"/>
                <w14:textFill>
                  <w14:solidFill>
                    <w14:schemeClr w14:val="tx1"/>
                  </w14:solidFill>
                </w14:textFill>
              </w:rPr>
              <w:t>行业，运营期不排放含HCl的废气以及生产废水，废气、</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bCs/>
                <w:color w:val="000000" w:themeColor="text1"/>
                <w:sz w:val="24"/>
                <w:szCs w:val="24"/>
                <w14:textFill>
                  <w14:solidFill>
                    <w14:schemeClr w14:val="tx1"/>
                  </w14:solidFill>
                </w14:textFill>
              </w:rPr>
              <w:t>噪声、固废均配套相应污染防治措施，符合园区产业定位。</w:t>
            </w:r>
          </w:p>
          <w:p w14:paraId="105F54A4">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3、环境准入</w:t>
            </w:r>
          </w:p>
          <w:p w14:paraId="4ED95A1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入区项目必须与国家、江苏省及常州市、金坛区产业政策相符，必须与开发的产业导向相符。优先引进国家《产业结构调整目录》鼓励类项目，禁止引进限制类、淘汰类项目。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优先引进</w:t>
            </w:r>
            <w:r>
              <w:rPr>
                <w:rFonts w:hint="default" w:ascii="Times New Roman" w:hAnsi="Times New Roman" w:eastAsia="宋体" w:cs="Times New Roman"/>
                <w:bCs/>
                <w:color w:val="000000" w:themeColor="text1"/>
                <w:sz w:val="24"/>
                <w:szCs w:val="24"/>
                <w14:textFill>
                  <w14:solidFill>
                    <w14:schemeClr w14:val="tx1"/>
                  </w14:solidFill>
                </w14:textFill>
              </w:rPr>
              <w:t>属于《产业结构调整指导目录》（20</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Cs/>
                <w:color w:val="000000" w:themeColor="text1"/>
                <w:sz w:val="24"/>
                <w:szCs w:val="24"/>
                <w14:textFill>
                  <w14:solidFill>
                    <w14:schemeClr w14:val="tx1"/>
                  </w14:solidFill>
                </w14:textFill>
              </w:rPr>
              <w:t>年本）鼓励类且符合开发区产业规划的项目。</w:t>
            </w:r>
          </w:p>
          <w:p w14:paraId="27F8D46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（1）进区项目应是科技含量高、产品附加值高、无污染或者污染很轻的项目，其生产工艺、设备和环保设施应达到同类国际先进水平，至少是国内先进水平；</w:t>
            </w:r>
          </w:p>
          <w:p w14:paraId="2DE5FB8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（2）废水经预处理可达到开发区污水处理厂的接管标准，并确保不影响污水处理厂的处理效果，“三废”排放能实现稳定达标排放；</w:t>
            </w:r>
          </w:p>
          <w:p w14:paraId="2FBC2BD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（3）采用有效的回收、回用技术，包括余热利用、物料回收套用、各类废水回用等。</w:t>
            </w:r>
          </w:p>
          <w:p w14:paraId="301244A0">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p>
          <w:p w14:paraId="14ECBDF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根据建设单位提供的资料，本项目投产后年产值约</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00万元。经计算，本项目GDP水耗为</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0.23</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/万元，GDP能耗为0.</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012</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吨标准煤/万元，均低于《金坛经济开发区发展规划环境影响报告书》中的设计值（参考2030年），即单位GDP水耗为6m</w:t>
            </w:r>
            <w:r>
              <w:rPr>
                <w:rFonts w:hint="default" w:ascii="Times New Roman" w:hAnsi="Times New Roman" w:eastAsia="宋体" w:cs="Times New Roman"/>
                <w:b w:val="0"/>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/万元，单位GDP能耗≤0.25吨标准煤/万元，满足开发区的资源指标要求。项目单位产品能耗、物耗、污染物排放和资源利用率均可到同行业国内先进</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水平。</w:t>
            </w:r>
          </w:p>
          <w:p w14:paraId="215FC77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lang w:eastAsia="zh-CN"/>
                <w14:textFill>
                  <w14:solidFill>
                    <w14:schemeClr w14:val="tx1"/>
                  </w14:solidFill>
                </w14:textFill>
              </w:rPr>
              <w:t>年产12亿套芯片框架组件项目</w:t>
            </w:r>
            <w:r>
              <w:rPr>
                <w:rFonts w:hint="default" w:ascii="Times New Roman" w:hAnsi="Times New Roman" w:eastAsia="宋体" w:cs="Times New Roman"/>
                <w:bCs/>
                <w:color w:val="000000" w:themeColor="text1"/>
                <w:sz w:val="24"/>
                <w:szCs w:val="24"/>
                <w14:textFill>
                  <w14:solidFill>
                    <w14:schemeClr w14:val="tx1"/>
                  </w14:solidFill>
                </w14:textFill>
              </w:rPr>
              <w:t>，项目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酸洗、铜保护</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工序</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产生的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经</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集气设施收集+</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碱喷淋塔+除雾器+二级活性炭吸附装置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处理后通过20m排气筒排放</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处理后的废气污染物排放量较少；本项目生产工艺成熟，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Cs/>
                <w:color w:val="000000" w:themeColor="text1"/>
                <w:sz w:val="24"/>
                <w:szCs w:val="24"/>
                <w14:textFill>
                  <w14:solidFill>
                    <w14:schemeClr w14:val="tx1"/>
                  </w14:solidFill>
                </w14:textFill>
              </w:rPr>
              <w:t>达标接管至</w:t>
            </w:r>
            <w:r>
              <w:rPr>
                <w:rFonts w:hint="default" w:ascii="Times New Roman" w:hAnsi="Times New Roman" w:eastAsia="宋体" w:cs="Times New Roman"/>
                <w:color w:val="000000" w:themeColor="text1"/>
                <w:sz w:val="24"/>
                <w:szCs w:val="24"/>
                <w14:textFill>
                  <w14:solidFill>
                    <w14:schemeClr w14:val="tx1"/>
                  </w14:solidFill>
                </w14:textFill>
              </w:rPr>
              <w:t>常州金坛区第二污水处理有限公司</w:t>
            </w:r>
            <w:r>
              <w:rPr>
                <w:rFonts w:hint="default" w:ascii="Times New Roman" w:hAnsi="Times New Roman" w:eastAsia="宋体" w:cs="Times New Roman"/>
                <w:bCs/>
                <w:color w:val="000000" w:themeColor="text1"/>
                <w:sz w:val="24"/>
                <w:szCs w:val="24"/>
                <w14:textFill>
                  <w14:solidFill>
                    <w14:schemeClr w14:val="tx1"/>
                  </w14:solidFill>
                </w14:textFill>
              </w:rPr>
              <w:t>，废气均达标排放，项目运营期东、南、西、北各厂界昼间噪声值均符合《工业企业厂界环境噪声排放标准》中标准</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限值</w:t>
            </w:r>
            <w:r>
              <w:rPr>
                <w:rFonts w:hint="default" w:ascii="Times New Roman" w:hAnsi="Times New Roman" w:eastAsia="宋体" w:cs="Times New Roman"/>
                <w:bCs/>
                <w:color w:val="000000" w:themeColor="text1"/>
                <w:sz w:val="24"/>
                <w:szCs w:val="24"/>
                <w14:textFill>
                  <w14:solidFill>
                    <w14:schemeClr w14:val="tx1"/>
                  </w14:solidFill>
                </w14:textFill>
              </w:rPr>
              <w:t>，固废100%处理处置，不外排。</w:t>
            </w:r>
          </w:p>
          <w:p w14:paraId="11239054">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、环境禁止</w:t>
            </w:r>
          </w:p>
          <w:p w14:paraId="62213DC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（1）严把环境禁止关，不符合开发区产业定位的项目禁止建设。</w:t>
            </w:r>
          </w:p>
          <w:p w14:paraId="2AB424C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（2）由于开发区现状大气因子HCl超标，故大气中HCl稳定达标前禁止引进排放大气污染物HCl的企业项目。</w:t>
            </w:r>
          </w:p>
          <w:p w14:paraId="2C1C610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（3）凡是列入国家《产业结构调整指导目录</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2024年本</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》淘汰类的项目禁止建设，禁止外商投资的产业项目禁止建设，违反国家规定，采用国家明令淘汰的落后工艺、技术和设备，不符合国家产业政策和环保政策的项目禁止建设。</w:t>
            </w:r>
          </w:p>
          <w:p w14:paraId="256C8B3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（4）未开展环境影响评价、未经环境保护行政主管部门批准的企业项目禁止建设。</w:t>
            </w:r>
          </w:p>
          <w:p w14:paraId="3D1F07A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5）不符合《太湖流域管理条例》（中华人民共和国国务院令第604号）、《江苏省太湖水污染防治条例》等相关太湖流域管理规定的项目禁止建设。禁止新建、改建、扩建化学制浆造纸、制革、酿造、染料、印染、电镀以及其他排放含磷、氮等污染物的企业和项目。</w:t>
            </w:r>
          </w:p>
          <w:p w14:paraId="56C1CC4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6）改建、扩建和技术改造项目属于下列情况之一的禁止建设：①无法通过采取“以新带老”、“以大带小”的措施，实现增产不增污、削减污染负荷的建设项目；②不履行环保“三同时”的建设项目；③建设单位目前污染物排放超过标准或总量控制指标，需要配套的污染防治设施和生态保护措施未落实的建设项目。</w:t>
            </w:r>
          </w:p>
          <w:p w14:paraId="03008AB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（7）对于建设单位目前污染物排放超过相关环境标准或超过总量控制指标的企业，需要配套建设污染防治设施和生态保护措施，否则，将视为环境禁止项目。</w:t>
            </w:r>
          </w:p>
          <w:p w14:paraId="141BB8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表1-2   金坛经济开发区禁止项目清单</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95"/>
              <w:gridCol w:w="4550"/>
              <w:gridCol w:w="3197"/>
            </w:tblGrid>
            <w:tr w14:paraId="60DEC1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blHeader/>
                <w:jc w:val="center"/>
              </w:trPr>
              <w:tc>
                <w:tcPr>
                  <w:tcW w:w="517" w:type="pct"/>
                  <w:tcBorders>
                    <w:tl2br w:val="nil"/>
                    <w:tr2bl w:val="nil"/>
                  </w:tcBorders>
                  <w:noWrap/>
                  <w:vAlign w:val="center"/>
                </w:tcPr>
                <w:p w14:paraId="20279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主导</w:t>
                  </w:r>
                </w:p>
                <w:p w14:paraId="6C0459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行业</w:t>
                  </w:r>
                </w:p>
              </w:tc>
              <w:tc>
                <w:tcPr>
                  <w:tcW w:w="2633" w:type="pct"/>
                  <w:tcBorders>
                    <w:tl2br w:val="nil"/>
                    <w:tr2bl w:val="nil"/>
                  </w:tcBorders>
                  <w:noWrap/>
                  <w:vAlign w:val="center"/>
                </w:tcPr>
                <w:p w14:paraId="52DDC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优先引入类别</w:t>
                  </w:r>
                </w:p>
              </w:tc>
              <w:tc>
                <w:tcPr>
                  <w:tcW w:w="1849" w:type="pct"/>
                  <w:tcBorders>
                    <w:tl2br w:val="nil"/>
                    <w:tr2bl w:val="nil"/>
                  </w:tcBorders>
                  <w:noWrap/>
                  <w:vAlign w:val="center"/>
                </w:tcPr>
                <w:p w14:paraId="3A0958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禁止引入类别</w:t>
                  </w:r>
                </w:p>
              </w:tc>
            </w:tr>
            <w:tr w14:paraId="321381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40EAE6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纺织服装</w:t>
                  </w:r>
                </w:p>
              </w:tc>
              <w:tc>
                <w:tcPr>
                  <w:tcW w:w="2633" w:type="pct"/>
                  <w:tcBorders>
                    <w:tl2br w:val="nil"/>
                    <w:tr2bl w:val="nil"/>
                  </w:tcBorders>
                  <w:noWrap/>
                  <w:vAlign w:val="center"/>
                </w:tcPr>
                <w:p w14:paraId="4F1C8C6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废旧纺织品回收再利用技术与产品生产、服装企业计算机集成制造及数字化、信息化、自动化技术和装备的应用</w:t>
                  </w:r>
                </w:p>
              </w:tc>
              <w:tc>
                <w:tcPr>
                  <w:tcW w:w="1849" w:type="pct"/>
                  <w:tcBorders>
                    <w:tl2br w:val="nil"/>
                    <w:tr2bl w:val="nil"/>
                  </w:tcBorders>
                  <w:noWrap/>
                  <w:vAlign w:val="center"/>
                </w:tcPr>
                <w:p w14:paraId="5CB4157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废水排放量较大的纯印染和纯染整类企业</w:t>
                  </w:r>
                </w:p>
              </w:tc>
            </w:tr>
            <w:tr w14:paraId="57FF5A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32DEA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机械电子、高端装备制造业</w:t>
                  </w:r>
                </w:p>
              </w:tc>
              <w:tc>
                <w:tcPr>
                  <w:tcW w:w="2633" w:type="pct"/>
                  <w:tcBorders>
                    <w:tl2br w:val="nil"/>
                    <w:tr2bl w:val="nil"/>
                  </w:tcBorders>
                  <w:noWrap/>
                  <w:vAlign w:val="center"/>
                </w:tcPr>
                <w:p w14:paraId="517D24E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轨道交通、通用航空交通、智能化制造装备、电子设备和系统、输配电及控制设备、海洋工程装备等成套设备及其零部件、工程机械系列、矿山机械系列、建材机械系列、农林机械系列、环保机械设备、关键零部件（发动机、液压传输设备）、其它在传统产业基础上应用的新工艺、新技术，汽车关键零部件、新能源汽车关键零部件、车载充电机、非车载充电设备、汽车电子控制系统、汽车产品开发、试验、检测设备及设施建设</w:t>
                  </w:r>
                </w:p>
              </w:tc>
              <w:tc>
                <w:tcPr>
                  <w:tcW w:w="1849" w:type="pct"/>
                  <w:tcBorders>
                    <w:tl2br w:val="nil"/>
                    <w:tr2bl w:val="nil"/>
                  </w:tcBorders>
                  <w:noWrap/>
                  <w:vAlign w:val="center"/>
                </w:tcPr>
                <w:p w14:paraId="7B1FA99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电镀、表面处理类企业，淘汰、限制类的如普通高速钢钻头、铣刀、锯片、丝锥、板牙项目、普通微小型球轴承制造项目；禁止生产国家禁止或公告停止销售的车辆；有害物质含量超标准的汽车</w:t>
                  </w:r>
                </w:p>
              </w:tc>
            </w:tr>
            <w:tr w14:paraId="053448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15E1B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化工</w:t>
                  </w:r>
                </w:p>
              </w:tc>
              <w:tc>
                <w:tcPr>
                  <w:tcW w:w="2633" w:type="pct"/>
                  <w:tcBorders>
                    <w:tl2br w:val="nil"/>
                    <w:tr2bl w:val="nil"/>
                  </w:tcBorders>
                  <w:noWrap/>
                  <w:vAlign w:val="center"/>
                </w:tcPr>
                <w:p w14:paraId="3A62ACB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卤水为主要原料、真空制盐和氯碱项目为支撑的盐化工特色产业</w:t>
                  </w:r>
                </w:p>
              </w:tc>
              <w:tc>
                <w:tcPr>
                  <w:tcW w:w="1849" w:type="pct"/>
                  <w:tcBorders>
                    <w:tl2br w:val="nil"/>
                    <w:tr2bl w:val="nil"/>
                  </w:tcBorders>
                  <w:noWrap/>
                  <w:vAlign w:val="center"/>
                </w:tcPr>
                <w:p w14:paraId="5AD06E0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与盐化工及下游产品生产不相关的化工项目</w:t>
                  </w:r>
                </w:p>
              </w:tc>
            </w:tr>
            <w:tr w14:paraId="7A73F5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0E5CA7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新能源产业</w:t>
                  </w:r>
                </w:p>
              </w:tc>
              <w:tc>
                <w:tcPr>
                  <w:tcW w:w="2633" w:type="pct"/>
                  <w:tcBorders>
                    <w:tl2br w:val="nil"/>
                    <w:tr2bl w:val="nil"/>
                  </w:tcBorders>
                  <w:noWrap/>
                  <w:vAlign w:val="center"/>
                </w:tcPr>
                <w:p w14:paraId="57281A2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太阳能热发电集热系统、太阳能光伏发电系统集成技术开发应用、逆变控制系统开发制造、风电与光伏发电互补系统技术开发与应用</w:t>
                  </w:r>
                </w:p>
              </w:tc>
              <w:tc>
                <w:tcPr>
                  <w:tcW w:w="1849" w:type="pct"/>
                  <w:tcBorders>
                    <w:tl2br w:val="nil"/>
                    <w:tr2bl w:val="nil"/>
                  </w:tcBorders>
                  <w:noWrap/>
                  <w:vAlign w:val="center"/>
                </w:tcPr>
                <w:p w14:paraId="1DCF7DC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48DE7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40F4C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新材料产业</w:t>
                  </w:r>
                </w:p>
              </w:tc>
              <w:tc>
                <w:tcPr>
                  <w:tcW w:w="2633" w:type="pct"/>
                  <w:tcBorders>
                    <w:tl2br w:val="nil"/>
                    <w:tr2bl w:val="nil"/>
                  </w:tcBorders>
                  <w:noWrap/>
                  <w:vAlign w:val="center"/>
                </w:tcPr>
                <w:p w14:paraId="2A0C12E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径200mm以上的硅单晶及抛光片、各类晶体硅和薄膜太阳能光伏电池生产设备、先进的各类太阳能光伏电池及高纯晶体硅材料、硅材料下游项目，光电板、太阳能电池组件、光电子科学和光机电一体化技术，新型墙体和屋面材料、绝热隔音材料、建筑防水和密封等材料的开发与生产，新型节能环保材料</w:t>
                  </w:r>
                </w:p>
              </w:tc>
              <w:tc>
                <w:tcPr>
                  <w:tcW w:w="1849" w:type="pct"/>
                  <w:tcBorders>
                    <w:tl2br w:val="nil"/>
                    <w:tr2bl w:val="nil"/>
                  </w:tcBorders>
                  <w:noWrap/>
                  <w:vAlign w:val="center"/>
                </w:tcPr>
                <w:p w14:paraId="628A6AA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太阳能电池切片生产项目</w:t>
                  </w:r>
                </w:p>
              </w:tc>
            </w:tr>
            <w:tr w14:paraId="3C47AF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105CC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节能环保产业</w:t>
                  </w:r>
                </w:p>
              </w:tc>
              <w:tc>
                <w:tcPr>
                  <w:tcW w:w="2633" w:type="pct"/>
                  <w:tcBorders>
                    <w:tl2br w:val="nil"/>
                    <w:tr2bl w:val="nil"/>
                  </w:tcBorders>
                  <w:noWrap/>
                  <w:vAlign w:val="center"/>
                </w:tcPr>
                <w:p w14:paraId="674A285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高效节能、先进环保和资源循环利用、半导体照明、太阳能利用技术、风力发电等新技术装备与产品、新型墙体材料、节能建筑材料</w:t>
                  </w:r>
                </w:p>
              </w:tc>
              <w:tc>
                <w:tcPr>
                  <w:tcW w:w="1849" w:type="pct"/>
                  <w:tcBorders>
                    <w:tl2br w:val="nil"/>
                    <w:tr2bl w:val="nil"/>
                  </w:tcBorders>
                  <w:noWrap/>
                  <w:vAlign w:val="center"/>
                </w:tcPr>
                <w:p w14:paraId="0BC9EC4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5D1F91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55EA5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化工新材料</w:t>
                  </w:r>
                </w:p>
              </w:tc>
              <w:tc>
                <w:tcPr>
                  <w:tcW w:w="2633" w:type="pct"/>
                  <w:tcBorders>
                    <w:tl2br w:val="nil"/>
                    <w:tr2bl w:val="nil"/>
                  </w:tcBorders>
                  <w:noWrap/>
                  <w:vAlign w:val="center"/>
                </w:tcPr>
                <w:p w14:paraId="2CF3EE0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有机硅材料、有机氟材料、工程塑料、高性能聚氨酯、高性能纤维、生物基化工新材料</w:t>
                  </w:r>
                </w:p>
              </w:tc>
              <w:tc>
                <w:tcPr>
                  <w:tcW w:w="1849" w:type="pct"/>
                  <w:tcBorders>
                    <w:tl2br w:val="nil"/>
                    <w:tr2bl w:val="nil"/>
                  </w:tcBorders>
                  <w:noWrap/>
                  <w:vAlign w:val="center"/>
                </w:tcPr>
                <w:p w14:paraId="1EEB858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钢铁等传统型金属材料；水泥等传统型非金属材料</w:t>
                  </w:r>
                </w:p>
              </w:tc>
            </w:tr>
            <w:tr w14:paraId="6D171C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17" w:type="pct"/>
                  <w:tcBorders>
                    <w:tl2br w:val="nil"/>
                    <w:tr2bl w:val="nil"/>
                  </w:tcBorders>
                  <w:noWrap/>
                  <w:vAlign w:val="center"/>
                </w:tcPr>
                <w:p w14:paraId="667D7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新医药产业</w:t>
                  </w:r>
                </w:p>
              </w:tc>
              <w:tc>
                <w:tcPr>
                  <w:tcW w:w="2633" w:type="pct"/>
                  <w:tcBorders>
                    <w:tl2br w:val="nil"/>
                    <w:tr2bl w:val="nil"/>
                  </w:tcBorders>
                  <w:noWrap/>
                  <w:vAlign w:val="center"/>
                </w:tcPr>
                <w:p w14:paraId="5FBFAEC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生物制药、化学药品、医疗器械与卫生材料、中药、生物工业、生物农业、生物环保、生物能源</w:t>
                  </w:r>
                </w:p>
              </w:tc>
              <w:tc>
                <w:tcPr>
                  <w:tcW w:w="1849" w:type="pct"/>
                  <w:tcBorders>
                    <w:tl2br w:val="nil"/>
                    <w:tr2bl w:val="nil"/>
                  </w:tcBorders>
                  <w:noWrap/>
                  <w:vAlign w:val="center"/>
                </w:tcPr>
                <w:p w14:paraId="604E7FD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不符合GMP要求的安瓿拉丝灌封机、劳动保护、安瓿灌装注射用无菌粉末、非易折安瓿等，以及《产业结构调整指导目录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2024年本</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》规定的淘汰类产业及工艺</w:t>
                  </w:r>
                </w:p>
              </w:tc>
            </w:tr>
          </w:tbl>
          <w:p w14:paraId="76206DE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本项目为</w:t>
            </w:r>
            <w:r>
              <w:rPr>
                <w:rFonts w:hint="eastAsia" w:ascii="Times New Roman" w:hAnsi="Times New Roman" w:eastAsia="宋体" w:cs="Times New Roman"/>
                <w:color w:val="000000" w:themeColor="text1"/>
                <w:sz w:val="24"/>
                <w:lang w:eastAsia="zh-CN"/>
                <w14:textFill>
                  <w14:solidFill>
                    <w14:schemeClr w14:val="tx1"/>
                  </w14:solidFill>
                </w14:textFill>
              </w:rPr>
              <w:t>年产12亿套芯片框架组件项目</w:t>
            </w:r>
            <w:r>
              <w:rPr>
                <w:rFonts w:hint="default" w:ascii="Times New Roman" w:hAnsi="Times New Roman" w:eastAsia="宋体" w:cs="Times New Roman"/>
                <w:bCs/>
                <w:color w:val="000000" w:themeColor="text1"/>
                <w:sz w:val="24"/>
                <w:szCs w:val="24"/>
                <w14:textFill>
                  <w14:solidFill>
                    <w14:schemeClr w14:val="tx1"/>
                  </w14:solidFill>
                </w14:textFill>
              </w:rPr>
              <w:t>，国民经济行业类别属于“</w:t>
            </w:r>
            <w:r>
              <w:rPr>
                <w:rFonts w:hint="eastAsia" w:ascii="Times New Roman" w:hAnsi="Times New Roman" w:eastAsia="宋体" w:cs="Times New Roman"/>
                <w:color w:val="000000" w:themeColor="text1"/>
                <w:sz w:val="24"/>
                <w:lang w:eastAsia="zh-CN"/>
                <w14:textFill>
                  <w14:solidFill>
                    <w14:schemeClr w14:val="tx1"/>
                  </w14:solidFill>
                </w14:textFill>
              </w:rPr>
              <w:t>C3989其他电子元件制造</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本项目工艺中涉及酸洗工序，仅是生产过程中的一个工段，本单位不是专门表面处理类企业，因此本项目</w:t>
            </w:r>
            <w:r>
              <w:rPr>
                <w:rFonts w:hint="default" w:ascii="Times New Roman" w:hAnsi="Times New Roman" w:eastAsia="宋体" w:cs="Times New Roman"/>
                <w:bCs/>
                <w:color w:val="000000" w:themeColor="text1"/>
                <w:sz w:val="24"/>
                <w:szCs w:val="24"/>
                <w14:textFill>
                  <w14:solidFill>
                    <w14:schemeClr w14:val="tx1"/>
                  </w14:solidFill>
                </w14:textFill>
              </w:rPr>
              <w:t>不属于上述禁止引入的项目，不属于《产业结构调整指导目录（2024年本）》中限制类及淘汰类项目，符合国家、江苏省及常州市、金坛区产业政策；营运期不排放含HCl的废气以及含氮磷生产废水，废水、废气、噪声、固废均配套相应污染防治措施，项目在开工前按要求开展环境影响评价。综上所述，本项目不属于上述规定的禁止建设类项目。</w:t>
            </w:r>
          </w:p>
          <w:p w14:paraId="7DC8567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与“金坛经济开发区”规划环评相符性分析</w:t>
            </w:r>
          </w:p>
          <w:p w14:paraId="0926A4F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2014年，金坛经济开发区管理委员会委托江苏常环环境科技有限公司编制完成《金坛经济开发区发展规划环境影响报告书》并于2015年5月25日取得了原江苏省环境保护厅审查意见，文号为“苏环审</w:t>
            </w:r>
            <w:r>
              <w:rPr>
                <w:rFonts w:hint="eastAsia" w:ascii="Times New Roman" w:hAnsi="Times New Roman" w:eastAsia="宋体" w:cs="Times New Roman"/>
                <w:color w:val="000000" w:themeColor="text1"/>
                <w:sz w:val="24"/>
                <w:szCs w:val="24"/>
                <w:lang w:eastAsia="zh-CN"/>
                <w14:textFill>
                  <w14:solidFill>
                    <w14:schemeClr w14:val="tx1"/>
                  </w14:solidFill>
                </w14:textFill>
              </w:rPr>
              <w:t>〔2015〕52号</w:t>
            </w:r>
            <w:r>
              <w:rPr>
                <w:rFonts w:hint="default" w:ascii="Times New Roman" w:hAnsi="Times New Roman" w:eastAsia="宋体" w:cs="Times New Roman"/>
                <w:color w:val="000000" w:themeColor="text1"/>
                <w:sz w:val="24"/>
                <w:szCs w:val="24"/>
                <w14:textFill>
                  <w14:solidFill>
                    <w14:schemeClr w14:val="tx1"/>
                  </w14:solidFill>
                </w14:textFill>
              </w:rPr>
              <w:t>”。本项目与《金坛经济开发区发展规划环境影响评价</w:t>
            </w:r>
            <w:r>
              <w:rPr>
                <w:rFonts w:hint="default" w:ascii="Times New Roman" w:hAnsi="Times New Roman" w:eastAsia="宋体" w:cs="Times New Roman"/>
                <w:bCs/>
                <w:color w:val="000000" w:themeColor="text1"/>
                <w:sz w:val="24"/>
                <w:szCs w:val="24"/>
                <w14:textFill>
                  <w14:solidFill>
                    <w14:schemeClr w14:val="tx1"/>
                  </w14:solidFill>
                </w14:textFill>
              </w:rPr>
              <w:t>审查意见</w:t>
            </w:r>
            <w:r>
              <w:rPr>
                <w:rFonts w:hint="default" w:ascii="Times New Roman" w:hAnsi="Times New Roman" w:eastAsia="宋体" w:cs="Times New Roman"/>
                <w:color w:val="000000" w:themeColor="text1"/>
                <w:sz w:val="24"/>
                <w:szCs w:val="24"/>
                <w14:textFill>
                  <w14:solidFill>
                    <w14:schemeClr w14:val="tx1"/>
                  </w14:solidFill>
                </w14:textFill>
              </w:rPr>
              <w:t>》相符性分析见下表。</w:t>
            </w:r>
          </w:p>
          <w:p w14:paraId="4ED1D10D">
            <w:pPr>
              <w:pStyle w:val="12"/>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表1-</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本项目与金坛经济开发区发展规划环境影响评价审查意见</w:t>
            </w:r>
          </w:p>
          <w:p w14:paraId="4CF28718">
            <w:pPr>
              <w:pStyle w:val="12"/>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相符性分析一览表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344"/>
              <w:gridCol w:w="3986"/>
              <w:gridCol w:w="793"/>
            </w:tblGrid>
            <w:tr w14:paraId="488A5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144AC58C">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935" w:type="pct"/>
                  <w:noWrap w:val="0"/>
                  <w:tcMar>
                    <w:top w:w="0" w:type="dxa"/>
                    <w:left w:w="0" w:type="dxa"/>
                    <w:bottom w:w="0" w:type="dxa"/>
                    <w:right w:w="0" w:type="dxa"/>
                  </w:tcMar>
                  <w:vAlign w:val="center"/>
                </w:tcPr>
                <w:p w14:paraId="7A7B276B">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审查意见要求</w:t>
                  </w:r>
                </w:p>
              </w:tc>
              <w:tc>
                <w:tcPr>
                  <w:tcW w:w="2306" w:type="pct"/>
                  <w:noWrap w:val="0"/>
                  <w:tcMar>
                    <w:top w:w="0" w:type="dxa"/>
                    <w:left w:w="0" w:type="dxa"/>
                    <w:bottom w:w="0" w:type="dxa"/>
                    <w:right w:w="0" w:type="dxa"/>
                  </w:tcMar>
                  <w:vAlign w:val="center"/>
                </w:tcPr>
                <w:p w14:paraId="40DF195E">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w:t>
                  </w:r>
                </w:p>
              </w:tc>
              <w:tc>
                <w:tcPr>
                  <w:tcW w:w="459" w:type="pct"/>
                  <w:noWrap w:val="0"/>
                  <w:tcMar>
                    <w:top w:w="0" w:type="dxa"/>
                    <w:left w:w="0" w:type="dxa"/>
                    <w:bottom w:w="0" w:type="dxa"/>
                    <w:right w:w="0" w:type="dxa"/>
                  </w:tcMar>
                  <w:vAlign w:val="center"/>
                </w:tcPr>
                <w:p w14:paraId="732EBD48">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w:t>
                  </w:r>
                </w:p>
              </w:tc>
            </w:tr>
            <w:tr w14:paraId="4FC07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5C4EE5DD">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935" w:type="pct"/>
                  <w:noWrap w:val="0"/>
                  <w:tcMar>
                    <w:top w:w="0" w:type="dxa"/>
                    <w:left w:w="0" w:type="dxa"/>
                    <w:bottom w:w="0" w:type="dxa"/>
                    <w:right w:w="0" w:type="dxa"/>
                  </w:tcMar>
                  <w:vAlign w:val="center"/>
                </w:tcPr>
                <w:p w14:paraId="3F76F2A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发区应引进科技含量高、产品附加值高、无污染或程度低的项目，其生产工艺、装备水平污染治理技术，以及单位产品能耗、物耗、污染物排放和资源利用率均须达到同行业国际先进水平，至少是国内先进水平。</w:t>
                  </w:r>
                </w:p>
              </w:tc>
              <w:tc>
                <w:tcPr>
                  <w:tcW w:w="2306" w:type="pct"/>
                  <w:noWrap w:val="0"/>
                  <w:tcMar>
                    <w:top w:w="0" w:type="dxa"/>
                    <w:left w:w="0" w:type="dxa"/>
                    <w:bottom w:w="0" w:type="dxa"/>
                    <w:right w:w="0" w:type="dxa"/>
                  </w:tcMar>
                  <w:vAlign w:val="center"/>
                </w:tcPr>
                <w:p w14:paraId="43DD8AA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，项目废气可达标排放，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污染程度较低。根据建设单位提供的资料，本项目投产后年产值约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00万元。经计算，本项目GDP水耗为0.23m</w:t>
                  </w:r>
                  <w:r>
                    <w:rPr>
                      <w:rFonts w:hint="default"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/万元，GDP能耗为0.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12吨标准煤/万元，均低于《金坛经济开发区发展规划环境影响报告书》中的设计值（参考2030年），即单位GDP水耗为6m</w:t>
                  </w:r>
                  <w:r>
                    <w:rPr>
                      <w:rFonts w:hint="default"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/万元，单位GDP能耗≤0.25吨标准煤/万元，满足开发区的资源指标要求。项目单位产品能耗、物耗、污染物排放和资源利用率均可到同行业国内先进水平。</w:t>
                  </w:r>
                </w:p>
              </w:tc>
              <w:tc>
                <w:tcPr>
                  <w:tcW w:w="459" w:type="pct"/>
                  <w:noWrap w:val="0"/>
                  <w:tcMar>
                    <w:top w:w="0" w:type="dxa"/>
                    <w:left w:w="0" w:type="dxa"/>
                    <w:bottom w:w="0" w:type="dxa"/>
                    <w:right w:w="0" w:type="dxa"/>
                  </w:tcMar>
                  <w:vAlign w:val="center"/>
                </w:tcPr>
                <w:p w14:paraId="480EB3A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3ECC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6DC37698">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935" w:type="pct"/>
                  <w:noWrap w:val="0"/>
                  <w:tcMar>
                    <w:top w:w="0" w:type="dxa"/>
                    <w:left w:w="0" w:type="dxa"/>
                    <w:bottom w:w="0" w:type="dxa"/>
                    <w:right w:w="0" w:type="dxa"/>
                  </w:tcMar>
                  <w:vAlign w:val="center"/>
                </w:tcPr>
                <w:p w14:paraId="7975F2A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废水排放量较大的纯印染和纯染整类企业和项目。在园区大气中HCI稳定达标前禁止引进排放大气</w:t>
                  </w:r>
                  <w:r>
                    <w:rPr>
                      <w:rFonts w:hint="default" w:ascii="Times New Roman" w:hAnsi="Times New Roman" w:eastAsia="宋体" w:cs="Times New Roman"/>
                      <w:color w:val="000000" w:themeColor="text1"/>
                      <w:kern w:val="0"/>
                      <w:sz w:val="21"/>
                      <w:szCs w:val="21"/>
                      <w14:textFill>
                        <w14:solidFill>
                          <w14:schemeClr w14:val="tx1"/>
                        </w14:solidFill>
                      </w14:textFill>
                    </w:rPr>
                    <w:t>污染物HCl的企业和项目。</w:t>
                  </w:r>
                </w:p>
              </w:tc>
              <w:tc>
                <w:tcPr>
                  <w:tcW w:w="2306" w:type="pct"/>
                  <w:noWrap w:val="0"/>
                  <w:tcMar>
                    <w:top w:w="0" w:type="dxa"/>
                    <w:left w:w="0" w:type="dxa"/>
                    <w:bottom w:w="0" w:type="dxa"/>
                    <w:right w:w="0" w:type="dxa"/>
                  </w:tcMar>
                  <w:vAlign w:val="center"/>
                </w:tcPr>
                <w:p w14:paraId="1CDAD53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本项目行业类别属于C3989其他电子元件制造，生产工艺中涉及酸洗工序，但酸洗仅是生产过程中的一个工段，本单位不是专门表面处理类企业，因此本项目不属于禁止引进类项目。</w:t>
                  </w:r>
                  <w:r>
                    <w:rPr>
                      <w:rFonts w:hint="default" w:ascii="Times New Roman" w:hAnsi="Times New Roman" w:eastAsia="宋体" w:cs="Times New Roman"/>
                      <w:color w:val="000000" w:themeColor="text1"/>
                      <w:kern w:val="0"/>
                      <w:sz w:val="21"/>
                      <w:szCs w:val="21"/>
                      <w14:textFill>
                        <w14:solidFill>
                          <w14:schemeClr w14:val="tx1"/>
                        </w14:solidFill>
                      </w14:textFill>
                    </w:rPr>
                    <w:t>项目不排放HCl废气。</w:t>
                  </w:r>
                </w:p>
              </w:tc>
              <w:tc>
                <w:tcPr>
                  <w:tcW w:w="459" w:type="pct"/>
                  <w:noWrap w:val="0"/>
                  <w:tcMar>
                    <w:top w:w="0" w:type="dxa"/>
                    <w:left w:w="0" w:type="dxa"/>
                    <w:bottom w:w="0" w:type="dxa"/>
                    <w:right w:w="0" w:type="dxa"/>
                  </w:tcMar>
                  <w:vAlign w:val="center"/>
                </w:tcPr>
                <w:p w14:paraId="3EDC160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4598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13B161E1">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935" w:type="pct"/>
                  <w:noWrap w:val="0"/>
                  <w:tcMar>
                    <w:top w:w="0" w:type="dxa"/>
                    <w:left w:w="0" w:type="dxa"/>
                    <w:bottom w:w="0" w:type="dxa"/>
                    <w:right w:w="0" w:type="dxa"/>
                  </w:tcMar>
                  <w:vAlign w:val="center"/>
                </w:tcPr>
                <w:p w14:paraId="7F0BA2D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加强区域大气环境保护，强化恶臭、VOCs等特征污染物的控制与治理，严格控制SO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、NOx、VOCs等大气污染物排放总量，确保重点区域大气环境质量如期改善与稳定达标。</w:t>
                  </w:r>
                </w:p>
              </w:tc>
              <w:tc>
                <w:tcPr>
                  <w:tcW w:w="2306" w:type="pct"/>
                  <w:noWrap w:val="0"/>
                  <w:tcMar>
                    <w:top w:w="0" w:type="dxa"/>
                    <w:left w:w="0" w:type="dxa"/>
                    <w:bottom w:w="0" w:type="dxa"/>
                    <w:right w:w="0" w:type="dxa"/>
                  </w:tcMar>
                  <w:vAlign w:val="center"/>
                </w:tcPr>
                <w:p w14:paraId="35118772">
                  <w:pPr>
                    <w:pStyle w:val="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酸洗、铜保护工序产生的废气经集气设施收集+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碱喷淋塔+除雾器+二级活性炭吸附装置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处理后通过20m排气筒排放</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废气经处理后均可达标排放，对大气环境影响较小，不会对区域大气环境质量造成明显。</w:t>
                  </w:r>
                </w:p>
              </w:tc>
              <w:tc>
                <w:tcPr>
                  <w:tcW w:w="459" w:type="pct"/>
                  <w:noWrap w:val="0"/>
                  <w:tcMar>
                    <w:top w:w="0" w:type="dxa"/>
                    <w:left w:w="0" w:type="dxa"/>
                    <w:bottom w:w="0" w:type="dxa"/>
                    <w:right w:w="0" w:type="dxa"/>
                  </w:tcMar>
                  <w:vAlign w:val="center"/>
                </w:tcPr>
                <w:p w14:paraId="6AE9BEA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75484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11F9770C">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935" w:type="pct"/>
                  <w:noWrap w:val="0"/>
                  <w:tcMar>
                    <w:top w:w="0" w:type="dxa"/>
                    <w:left w:w="0" w:type="dxa"/>
                    <w:bottom w:w="0" w:type="dxa"/>
                    <w:right w:w="0" w:type="dxa"/>
                  </w:tcMar>
                  <w:vAlign w:val="center"/>
                </w:tcPr>
                <w:p w14:paraId="2F982C7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与钱资荡生态红线区边界邻近2000米内布置为污染程度低的工业项目。</w:t>
                  </w:r>
                </w:p>
              </w:tc>
              <w:tc>
                <w:tcPr>
                  <w:tcW w:w="2306" w:type="pct"/>
                  <w:noWrap w:val="0"/>
                  <w:tcMar>
                    <w:top w:w="0" w:type="dxa"/>
                    <w:left w:w="0" w:type="dxa"/>
                    <w:bottom w:w="0" w:type="dxa"/>
                    <w:right w:w="0" w:type="dxa"/>
                  </w:tcMar>
                  <w:vAlign w:val="center"/>
                </w:tcPr>
                <w:p w14:paraId="10CC7F8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本项目距离钱资荡生态红线区边界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14:textFill>
                        <w14:solidFill>
                          <w14:schemeClr w14:val="tx1"/>
                        </w14:solidFill>
                      </w14:textFill>
                    </w:rPr>
                    <w:t>米，项目排放污染物均得到有效处置，污染物排放总量降为最低，满足环保主管部门指标的要求。项目不涉及重金属排放。项目不产生含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氮、</w:t>
                  </w:r>
                  <w:r>
                    <w:rPr>
                      <w:rFonts w:hint="default" w:ascii="Times New Roman" w:hAnsi="Times New Roman" w:eastAsia="宋体" w:cs="Times New Roman"/>
                      <w:color w:val="000000" w:themeColor="text1"/>
                      <w:sz w:val="21"/>
                      <w:szCs w:val="21"/>
                      <w14:textFill>
                        <w14:solidFill>
                          <w14:schemeClr w14:val="tx1"/>
                        </w14:solidFill>
                      </w14:textFill>
                    </w:rPr>
                    <w:t>磷生产废水，产生的生活污水一起接管排入金坛第二污水处理厂集中处理。项目属于“污染程度低的工业项目”。</w:t>
                  </w:r>
                </w:p>
              </w:tc>
              <w:tc>
                <w:tcPr>
                  <w:tcW w:w="459" w:type="pct"/>
                  <w:noWrap w:val="0"/>
                  <w:tcMar>
                    <w:top w:w="0" w:type="dxa"/>
                    <w:left w:w="0" w:type="dxa"/>
                    <w:bottom w:w="0" w:type="dxa"/>
                    <w:right w:w="0" w:type="dxa"/>
                  </w:tcMar>
                  <w:vAlign w:val="center"/>
                </w:tcPr>
                <w:p w14:paraId="6BB1411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DC8E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3F6249BB">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935" w:type="pct"/>
                  <w:noWrap w:val="0"/>
                  <w:tcMar>
                    <w:top w:w="0" w:type="dxa"/>
                    <w:left w:w="0" w:type="dxa"/>
                    <w:bottom w:w="0" w:type="dxa"/>
                    <w:right w:w="0" w:type="dxa"/>
                  </w:tcMar>
                  <w:vAlign w:val="center"/>
                </w:tcPr>
                <w:p w14:paraId="1AD3744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加快环保基础设施建设。园区实现雨污分流、清污分流和污水集中处理。加强固体废物的集中处理处置，危险废物交由有资质的单位处置。</w:t>
                  </w:r>
                </w:p>
              </w:tc>
              <w:tc>
                <w:tcPr>
                  <w:tcW w:w="2306" w:type="pct"/>
                  <w:noWrap w:val="0"/>
                  <w:tcMar>
                    <w:top w:w="0" w:type="dxa"/>
                    <w:left w:w="0" w:type="dxa"/>
                    <w:bottom w:w="0" w:type="dxa"/>
                    <w:right w:w="0" w:type="dxa"/>
                  </w:tcMar>
                  <w:vAlign w:val="center"/>
                </w:tcPr>
                <w:p w14:paraId="5150CEB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本项目所在厂区已实现雨污分流，不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14:textFill>
                        <w14:solidFill>
                          <w14:schemeClr w14:val="tx1"/>
                        </w14:solidFill>
                      </w14:textFill>
                    </w:rPr>
                    <w:t>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氮、</w:t>
                  </w:r>
                  <w:r>
                    <w:rPr>
                      <w:rFonts w:hint="default" w:ascii="Times New Roman" w:hAnsi="Times New Roman" w:eastAsia="宋体" w:cs="Times New Roman"/>
                      <w:color w:val="000000" w:themeColor="text1"/>
                      <w:sz w:val="21"/>
                      <w:szCs w:val="21"/>
                      <w14:textFill>
                        <w14:solidFill>
                          <w14:schemeClr w14:val="tx1"/>
                        </w14:solidFill>
                      </w14:textFill>
                    </w:rPr>
                    <w:t>磷生产废水，产生的生活污水接管至常州金坛区第二污水处理有限公司集中处理。本项目产生的危险废物定期交由有资质单位处置。</w:t>
                  </w:r>
                </w:p>
              </w:tc>
              <w:tc>
                <w:tcPr>
                  <w:tcW w:w="459" w:type="pct"/>
                  <w:noWrap w:val="0"/>
                  <w:tcMar>
                    <w:top w:w="0" w:type="dxa"/>
                    <w:left w:w="0" w:type="dxa"/>
                    <w:bottom w:w="0" w:type="dxa"/>
                    <w:right w:w="0" w:type="dxa"/>
                  </w:tcMar>
                  <w:vAlign w:val="center"/>
                </w:tcPr>
                <w:p w14:paraId="4917BA5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5F557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noWrap w:val="0"/>
                  <w:tcMar>
                    <w:top w:w="0" w:type="dxa"/>
                    <w:left w:w="0" w:type="dxa"/>
                    <w:bottom w:w="0" w:type="dxa"/>
                    <w:right w:w="0" w:type="dxa"/>
                  </w:tcMar>
                  <w:vAlign w:val="center"/>
                </w:tcPr>
                <w:p w14:paraId="646F52AF">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935" w:type="pct"/>
                  <w:noWrap w:val="0"/>
                  <w:tcMar>
                    <w:top w:w="0" w:type="dxa"/>
                    <w:left w:w="0" w:type="dxa"/>
                    <w:bottom w:w="0" w:type="dxa"/>
                    <w:right w:w="0" w:type="dxa"/>
                  </w:tcMar>
                  <w:vAlign w:val="center"/>
                </w:tcPr>
                <w:p w14:paraId="7D1AED9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落实《江苏省太湖水污染防治条例》要求，加强太湖流域水环境保护。严格控制COD、氨氮、总磷等污染物排放总量。</w:t>
                  </w:r>
                </w:p>
              </w:tc>
              <w:tc>
                <w:tcPr>
                  <w:tcW w:w="2306" w:type="pct"/>
                  <w:noWrap w:val="0"/>
                  <w:tcMar>
                    <w:top w:w="0" w:type="dxa"/>
                    <w:left w:w="0" w:type="dxa"/>
                    <w:bottom w:w="0" w:type="dxa"/>
                    <w:right w:w="0" w:type="dxa"/>
                  </w:tcMar>
                  <w:vAlign w:val="center"/>
                </w:tcPr>
                <w:p w14:paraId="67FDDF3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14:textFill>
                        <w14:solidFill>
                          <w14:schemeClr w14:val="tx1"/>
                        </w14:solidFill>
                      </w14:textFill>
                    </w:rPr>
                    <w:t>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氮、</w:t>
                  </w:r>
                  <w:r>
                    <w:rPr>
                      <w:rFonts w:hint="default" w:ascii="Times New Roman" w:hAnsi="Times New Roman" w:eastAsia="宋体" w:cs="Times New Roman"/>
                      <w:color w:val="000000" w:themeColor="text1"/>
                      <w:sz w:val="21"/>
                      <w:szCs w:val="21"/>
                      <w14:textFill>
                        <w14:solidFill>
                          <w14:schemeClr w14:val="tx1"/>
                        </w14:solidFill>
                      </w14:textFill>
                    </w:rPr>
                    <w:t>磷生产废水，产生的生活污水接管至常州金坛区第二污水处理有限公司集中处理。</w:t>
                  </w:r>
                </w:p>
              </w:tc>
              <w:tc>
                <w:tcPr>
                  <w:tcW w:w="459" w:type="pct"/>
                  <w:noWrap w:val="0"/>
                  <w:tcMar>
                    <w:top w:w="0" w:type="dxa"/>
                    <w:left w:w="0" w:type="dxa"/>
                    <w:bottom w:w="0" w:type="dxa"/>
                    <w:right w:w="0" w:type="dxa"/>
                  </w:tcMar>
                  <w:vAlign w:val="center"/>
                </w:tcPr>
                <w:p w14:paraId="678C4A4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3FDEB1E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综上，对照《金坛经济开发区发展规划环境影响报告书》，本项目符合金坛经济开发区发展规划。</w:t>
            </w:r>
          </w:p>
          <w:p w14:paraId="74E0C05E">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三</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）与《</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江苏</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金坛经济开发区</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开发建设</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规划（</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2023-2035年</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）环境影响报告书》符合性分析</w:t>
            </w:r>
          </w:p>
          <w:p w14:paraId="7CBBB411">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1、规划范围</w:t>
            </w:r>
          </w:p>
          <w:p w14:paraId="74D21FC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江苏</w:t>
            </w:r>
            <w:r>
              <w:rPr>
                <w:rFonts w:hint="default" w:ascii="Times New Roman" w:hAnsi="Times New Roman" w:eastAsia="宋体" w:cs="Times New Roman"/>
                <w:bCs/>
                <w:color w:val="000000" w:themeColor="text1"/>
                <w:sz w:val="24"/>
                <w:szCs w:val="24"/>
                <w14:textFill>
                  <w14:solidFill>
                    <w14:schemeClr w14:val="tx1"/>
                  </w14:solidFill>
                </w14:textFill>
              </w:rPr>
              <w:t>金坛经济开发区具体范围为：东至银湖路、南至金坛大道—鑫城大道—华城路，西至丹金溧漕河，北至华洲路—通闸路—金城大道，总用地面积36.53km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w:t>
            </w:r>
          </w:p>
          <w:p w14:paraId="7579C7CF">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eastAsia" w:ascii="Times New Roman" w:hAnsi="Times New Roman" w:eastAsia="宋体" w:cs="Times New Roman"/>
                <w:color w:val="000000" w:themeColor="text1"/>
                <w:sz w:val="24"/>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bCs/>
                <w:color w:val="000000" w:themeColor="text1"/>
                <w:sz w:val="24"/>
                <w:szCs w:val="24"/>
                <w14:textFill>
                  <w14:solidFill>
                    <w14:schemeClr w14:val="tx1"/>
                  </w14:solidFill>
                </w14:textFill>
              </w:rPr>
              <w:t>，位于</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江苏</w:t>
            </w:r>
            <w:r>
              <w:rPr>
                <w:rFonts w:hint="default" w:ascii="Times New Roman" w:hAnsi="Times New Roman" w:eastAsia="宋体" w:cs="Times New Roman"/>
                <w:bCs/>
                <w:color w:val="000000" w:themeColor="text1"/>
                <w:sz w:val="24"/>
                <w:szCs w:val="24"/>
                <w14:textFill>
                  <w14:solidFill>
                    <w14:schemeClr w14:val="tx1"/>
                  </w14:solidFill>
                </w14:textFill>
              </w:rPr>
              <w:t>金坛经济开发区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新一轮规划</w:t>
            </w:r>
            <w:r>
              <w:rPr>
                <w:rFonts w:hint="default" w:ascii="Times New Roman" w:hAnsi="Times New Roman" w:eastAsia="宋体" w:cs="Times New Roman"/>
                <w:bCs/>
                <w:color w:val="000000" w:themeColor="text1"/>
                <w:sz w:val="24"/>
                <w:szCs w:val="24"/>
                <w14:textFill>
                  <w14:solidFill>
                    <w14:schemeClr w14:val="tx1"/>
                  </w14:solidFill>
                </w14:textFill>
              </w:rPr>
              <w:t>范围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内</w:t>
            </w:r>
            <w:r>
              <w:rPr>
                <w:rFonts w:hint="default" w:ascii="Times New Roman" w:hAnsi="Times New Roman" w:eastAsia="宋体" w:cs="Times New Roman"/>
                <w:bCs/>
                <w:color w:val="000000" w:themeColor="text1"/>
                <w:sz w:val="24"/>
                <w:szCs w:val="24"/>
                <w14:textFill>
                  <w14:solidFill>
                    <w14:schemeClr w14:val="tx1"/>
                  </w14:solidFill>
                </w14:textFill>
              </w:rPr>
              <w:t>。</w:t>
            </w:r>
          </w:p>
          <w:p w14:paraId="6CDE3C5E">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2、产业定位</w:t>
            </w:r>
          </w:p>
          <w:p w14:paraId="3EC4094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提升改造传统产业（纺织服装、机械电子、装备制造），构建“五新产业”（新能源、新能源汽车、新智能、新医药、新材料5 大产业），提速发展数字经济，加快智能化改造、数字化转型。</w:t>
            </w:r>
          </w:p>
          <w:p w14:paraId="1C005E2B">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年产12亿套芯片框架组件项目</w:t>
            </w:r>
            <w:r>
              <w:rPr>
                <w:rFonts w:hint="default" w:ascii="Times New Roman" w:hAnsi="Times New Roman" w:eastAsia="宋体" w:cs="Times New Roman"/>
                <w:bCs/>
                <w:color w:val="000000" w:themeColor="text1"/>
                <w:sz w:val="24"/>
                <w:szCs w:val="24"/>
                <w14:textFill>
                  <w14:solidFill>
                    <w14:schemeClr w14:val="tx1"/>
                  </w14:solidFill>
                </w14:textFill>
              </w:rPr>
              <w:t>，国民经济行业类别属于“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C3989其他电子元件制造</w:t>
            </w:r>
            <w:r>
              <w:rPr>
                <w:rFonts w:hint="default" w:ascii="Times New Roman" w:hAnsi="Times New Roman" w:eastAsia="宋体" w:cs="Times New Roman"/>
                <w:bCs/>
                <w:color w:val="000000" w:themeColor="text1"/>
                <w:sz w:val="24"/>
                <w:szCs w:val="24"/>
                <w14:textFill>
                  <w14:solidFill>
                    <w14:schemeClr w14:val="tx1"/>
                  </w14:solidFill>
                </w14:textFill>
              </w:rPr>
              <w:t>”，产品的应用领域主要为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电子</w:t>
            </w:r>
            <w:r>
              <w:rPr>
                <w:rFonts w:hint="default" w:ascii="Times New Roman" w:hAnsi="Times New Roman" w:eastAsia="宋体" w:cs="Times New Roman"/>
                <w:bCs/>
                <w:color w:val="000000" w:themeColor="text1"/>
                <w:sz w:val="24"/>
                <w:szCs w:val="24"/>
                <w14:textFill>
                  <w14:solidFill>
                    <w14:schemeClr w14:val="tx1"/>
                  </w14:solidFill>
                </w14:textFill>
              </w:rPr>
              <w:t>行业，符合</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江苏</w:t>
            </w:r>
            <w:r>
              <w:rPr>
                <w:rFonts w:hint="default" w:ascii="Times New Roman" w:hAnsi="Times New Roman" w:eastAsia="宋体" w:cs="Times New Roman"/>
                <w:bCs/>
                <w:color w:val="000000" w:themeColor="text1"/>
                <w:sz w:val="24"/>
                <w:szCs w:val="24"/>
                <w14:textFill>
                  <w14:solidFill>
                    <w14:schemeClr w14:val="tx1"/>
                  </w14:solidFill>
                </w14:textFill>
              </w:rPr>
              <w:t>金坛经济开发区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新一轮规划</w:t>
            </w:r>
            <w:r>
              <w:rPr>
                <w:rFonts w:hint="default" w:ascii="Times New Roman" w:hAnsi="Times New Roman" w:eastAsia="宋体" w:cs="Times New Roman"/>
                <w:bCs/>
                <w:color w:val="000000" w:themeColor="text1"/>
                <w:sz w:val="24"/>
                <w:szCs w:val="24"/>
                <w14:textFill>
                  <w14:solidFill>
                    <w14:schemeClr w14:val="tx1"/>
                  </w14:solidFill>
                </w14:textFill>
              </w:rPr>
              <w:t>产业定位。</w:t>
            </w:r>
          </w:p>
          <w:p w14:paraId="5A573E4A">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四</w:t>
            </w:r>
            <w:r>
              <w:rPr>
                <w:rFonts w:hint="default" w:ascii="Times New Roman" w:hAnsi="Times New Roman" w:eastAsia="宋体" w:cs="Times New Roman"/>
                <w:b/>
                <w:bCs/>
                <w:color w:val="000000" w:themeColor="text1"/>
                <w:sz w:val="24"/>
                <w:szCs w:val="24"/>
                <w14:textFill>
                  <w14:solidFill>
                    <w14:schemeClr w14:val="tx1"/>
                  </w14:solidFill>
                </w14:textFill>
              </w:rPr>
              <w:t>）选址合理性分析</w:t>
            </w:r>
          </w:p>
          <w:p w14:paraId="0320ACC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购买位于联东U谷金坛科技产业园内的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现有厂房</w:t>
            </w:r>
            <w:r>
              <w:rPr>
                <w:rFonts w:hint="default" w:ascii="Times New Roman" w:hAnsi="Times New Roman" w:eastAsia="宋体" w:cs="Times New Roman"/>
                <w:bCs/>
                <w:color w:val="000000" w:themeColor="text1"/>
                <w:sz w:val="24"/>
                <w:szCs w:val="24"/>
                <w14:textFill>
                  <w14:solidFill>
                    <w14:schemeClr w14:val="tx1"/>
                  </w14:solidFill>
                </w14:textFill>
              </w:rPr>
              <w:t>进行生产，</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该产业园</w:t>
            </w:r>
            <w:r>
              <w:rPr>
                <w:rFonts w:hint="default" w:ascii="Times New Roman" w:hAnsi="Times New Roman" w:eastAsia="宋体" w:cs="Times New Roman"/>
                <w:bCs/>
                <w:color w:val="000000" w:themeColor="text1"/>
                <w:sz w:val="24"/>
                <w:szCs w:val="24"/>
                <w14:textFill>
                  <w14:solidFill>
                    <w14:schemeClr w14:val="tx1"/>
                  </w14:solidFill>
                </w14:textFill>
              </w:rPr>
              <w:t>已取得《不动产权证书》（苏</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2020</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金坛区不动产权第0053862号），用地性质为工业用地。根据《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江苏</w:t>
            </w:r>
            <w:r>
              <w:rPr>
                <w:rFonts w:hint="default" w:ascii="Times New Roman" w:hAnsi="Times New Roman" w:eastAsia="宋体" w:cs="Times New Roman"/>
                <w:color w:val="000000" w:themeColor="text1"/>
                <w:sz w:val="24"/>
                <w:szCs w:val="24"/>
                <w14:textFill>
                  <w14:solidFill>
                    <w14:schemeClr w14:val="tx1"/>
                  </w14:solidFill>
                </w14:textFill>
              </w:rPr>
              <w:t>金坛经济开发区土地利用规划图》，本项目所在地已规划为工业用地，本项目国民经济行业类别属于“</w:t>
            </w:r>
            <w:r>
              <w:rPr>
                <w:rFonts w:hint="eastAsia" w:ascii="Times New Roman" w:hAnsi="Times New Roman" w:eastAsia="宋体" w:cs="Times New Roman"/>
                <w:color w:val="000000" w:themeColor="text1"/>
                <w:sz w:val="24"/>
                <w:lang w:eastAsia="zh-CN"/>
                <w14:textFill>
                  <w14:solidFill>
                    <w14:schemeClr w14:val="tx1"/>
                  </w14:solidFill>
                </w14:textFill>
              </w:rPr>
              <w:t>C3989其他电子元件制造</w:t>
            </w:r>
            <w:r>
              <w:rPr>
                <w:rFonts w:hint="default" w:ascii="Times New Roman" w:hAnsi="Times New Roman" w:eastAsia="宋体" w:cs="Times New Roman"/>
                <w:color w:val="000000" w:themeColor="text1"/>
                <w:sz w:val="24"/>
                <w:szCs w:val="24"/>
                <w14:textFill>
                  <w14:solidFill>
                    <w14:schemeClr w14:val="tx1"/>
                  </w14:solidFill>
                </w14:textFill>
              </w:rPr>
              <w:t>”，从事工业生产，用地性质符合要求。</w:t>
            </w:r>
          </w:p>
          <w:p w14:paraId="7DA5FFD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综上，本项目选址合理。</w:t>
            </w:r>
          </w:p>
          <w:p w14:paraId="265B8AC7">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五</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与国土空间规划“三区三线”相符性</w:t>
            </w:r>
          </w:p>
          <w:p w14:paraId="4797216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（1）与永久基本农田相符性分析</w:t>
            </w:r>
          </w:p>
          <w:p w14:paraId="5C92A66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本项目不新增建设用地，原有用地与经部质检通过的“三区三线”划定成果中永久基本农田进行核对，本次拟建项目建设用地不涉及“三区三线”划定成果中永久基本农田。</w:t>
            </w:r>
          </w:p>
          <w:p w14:paraId="18DC794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（2）与生态保护红线相符性分析</w:t>
            </w:r>
          </w:p>
          <w:p w14:paraId="4430F62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本项目严格贯彻</w:t>
            </w:r>
            <w:r>
              <w:rPr>
                <w:rFonts w:hint="eastAsia" w:ascii="Times New Roman" w:hAnsi="Times New Roman" w:eastAsia="宋体" w:cs="Times New Roman"/>
                <w:color w:val="000000" w:themeColor="text1"/>
                <w:sz w:val="24"/>
                <w:szCs w:val="24"/>
                <w:lang w:eastAsia="zh-CN"/>
                <w14:textFill>
                  <w14:solidFill>
                    <w14:schemeClr w14:val="tx1"/>
                  </w14:solidFill>
                </w14:textFill>
              </w:rPr>
              <w:t>习近平</w:t>
            </w:r>
            <w:bookmarkStart w:id="14" w:name="_GoBack"/>
            <w:bookmarkEnd w:id="14"/>
            <w:r>
              <w:rPr>
                <w:rFonts w:hint="default" w:ascii="Times New Roman" w:hAnsi="Times New Roman" w:eastAsia="宋体" w:cs="Times New Roman"/>
                <w:color w:val="000000" w:themeColor="text1"/>
                <w:sz w:val="24"/>
                <w:szCs w:val="24"/>
                <w14:textFill>
                  <w14:solidFill>
                    <w14:schemeClr w14:val="tx1"/>
                  </w14:solidFill>
                </w14:textFill>
              </w:rPr>
              <w:t>生态文明思想和新发展理念，按照</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生态优先、绿色发展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的要求，以保障国家生态安全为目标，严守生态保护底线，本次拟建项目建设用地位于经部质检通过的“三区三线”划定成果中的生态保护红线外。</w:t>
            </w:r>
          </w:p>
          <w:p w14:paraId="762C2F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（3）与城镇开发边界的相符性分析</w:t>
            </w:r>
          </w:p>
          <w:p w14:paraId="1A480A6E">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金坛经济开发区发展规划</w:t>
            </w:r>
            <w:r>
              <w:rPr>
                <w:rFonts w:hint="default" w:ascii="Times New Roman" w:hAnsi="Times New Roman" w:eastAsia="宋体" w:cs="Times New Roman"/>
                <w:color w:val="000000" w:themeColor="text1"/>
                <w:sz w:val="24"/>
                <w:szCs w:val="24"/>
                <w14:textFill>
                  <w14:solidFill>
                    <w14:schemeClr w14:val="tx1"/>
                  </w14:solidFill>
                </w14:textFill>
              </w:rPr>
              <w:t>》土地利用规划图，本项目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所在地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属于二类工业用地</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详见附图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对照《常州市金坛区国土空间总体规划（2021-2035年）》，本项目位于城镇开发边界内</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详见附图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p>
        </w:tc>
      </w:tr>
    </w:tbl>
    <w:p w14:paraId="55B1CC17">
      <w:p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623"/>
      </w:tblGrid>
      <w:tr w14:paraId="4D14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vAlign w:val="center"/>
          </w:tcPr>
          <w:p w14:paraId="2DF5B49F">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其他相符性分析</w:t>
            </w:r>
          </w:p>
        </w:tc>
        <w:tc>
          <w:tcPr>
            <w:tcW w:w="4642" w:type="pct"/>
            <w:vAlign w:val="center"/>
          </w:tcPr>
          <w:p w14:paraId="76610B24">
            <w:pPr>
              <w:spacing w:line="360" w:lineRule="auto"/>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1、产业政策相符性分析</w:t>
            </w:r>
          </w:p>
          <w:p w14:paraId="19F757E4">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（1）本项目为</w:t>
            </w:r>
            <w:r>
              <w:rPr>
                <w:rFonts w:hint="eastAsia" w:ascii="Times New Roman" w:hAnsi="Times New Roman" w:eastAsia="宋体" w:cs="Times New Roman"/>
                <w:color w:val="000000" w:themeColor="text1"/>
                <w:sz w:val="24"/>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4"/>
                <w14:textFill>
                  <w14:solidFill>
                    <w14:schemeClr w14:val="tx1"/>
                  </w14:solidFill>
                </w14:textFill>
              </w:rPr>
              <w:t>，工艺、设备不属于《产业结构调整指导目录（2024年本）》中鼓励类、限制类或淘汰类项目；不属于《市场准入负面清单（2025年版）》禁止准入类和限制准入类中。</w:t>
            </w:r>
          </w:p>
          <w:p w14:paraId="795D010E">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（2）本项目不属于《长江经济带发展负面清单指南》中禁止类项目；本公司位于太湖三级保护区，本公司无氮、磷工业废水外排，不属于《江苏省太湖水污染防治条例》</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江苏省太湖流域禁止和限制的产业产品目录（2024年本）</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14:textFill>
                  <w14:solidFill>
                    <w14:schemeClr w14:val="tx1"/>
                  </w14:solidFill>
                </w14:textFill>
              </w:rPr>
              <w:t>中禁止类项目。</w:t>
            </w:r>
          </w:p>
          <w:p w14:paraId="06F544DD">
            <w:pPr>
              <w:spacing w:line="360" w:lineRule="auto"/>
              <w:ind w:firstLine="480" w:firstLineChars="200"/>
              <w:jc w:val="left"/>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本项目属于</w:t>
            </w:r>
            <w:r>
              <w:rPr>
                <w:rFonts w:hint="eastAsia" w:ascii="Times New Roman" w:hAnsi="Times New Roman" w:eastAsia="宋体" w:cs="Times New Roman"/>
                <w:color w:val="000000" w:themeColor="text1"/>
                <w:sz w:val="24"/>
                <w:lang w:eastAsia="zh-CN"/>
                <w14:textFill>
                  <w14:solidFill>
                    <w14:schemeClr w14:val="tx1"/>
                  </w14:solidFill>
                </w14:textFill>
              </w:rPr>
              <w:t>C3989其他电子元件制造</w:t>
            </w:r>
            <w:r>
              <w:rPr>
                <w:rFonts w:hint="eastAsia" w:ascii="Times New Roman" w:hAnsi="Times New Roman" w:eastAsia="宋体" w:cs="Times New Roman"/>
                <w:color w:val="000000" w:themeColor="text1"/>
                <w:sz w:val="24"/>
                <w:lang w:val="en-US" w:eastAsia="zh-CN"/>
                <w14:textFill>
                  <w14:solidFill>
                    <w14:schemeClr w14:val="tx1"/>
                  </w14:solidFill>
                </w14:textFill>
              </w:rPr>
              <w:t>，不属于《江苏省“两高”项目管理目录（2025年版）》中“两高”项目范围。</w:t>
            </w:r>
          </w:p>
          <w:p w14:paraId="2F0FEAAC">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因此，本项目符合国家及地方产业政策。</w:t>
            </w:r>
          </w:p>
          <w:p w14:paraId="39FE9B32">
            <w:pPr>
              <w:spacing w:line="360" w:lineRule="auto"/>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2、与江苏省“三线一单”相符性分析</w:t>
            </w:r>
          </w:p>
          <w:p w14:paraId="5D37F6EE">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根据《省政府关于印发江苏省“三线一单”生态环境分区管控方案的通知》（苏政发〔2020〕49号），本项目位于太湖流域，属于江苏省重点管控单元。</w:t>
            </w:r>
          </w:p>
          <w:p w14:paraId="415D0FF8">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表1-4  江苏省生态环境准入清单</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4296"/>
              <w:gridCol w:w="2853"/>
            </w:tblGrid>
            <w:tr w14:paraId="7EE11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Align w:val="center"/>
                </w:tcPr>
                <w:p w14:paraId="06CD5D95">
                  <w:pPr>
                    <w:tabs>
                      <w:tab w:val="left" w:pos="1935"/>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环境管控单元名称</w:t>
                  </w:r>
                </w:p>
              </w:tc>
              <w:tc>
                <w:tcPr>
                  <w:tcW w:w="2554" w:type="pct"/>
                  <w:vAlign w:val="center"/>
                </w:tcPr>
                <w:p w14:paraId="31F608E4">
                  <w:pPr>
                    <w:tabs>
                      <w:tab w:val="left" w:pos="1935"/>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生态环境准入清单</w:t>
                  </w:r>
                </w:p>
              </w:tc>
              <w:tc>
                <w:tcPr>
                  <w:tcW w:w="1696" w:type="pct"/>
                  <w:vAlign w:val="center"/>
                </w:tcPr>
                <w:p w14:paraId="720D3EB2">
                  <w:pPr>
                    <w:tabs>
                      <w:tab w:val="left" w:pos="1935"/>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对照分析</w:t>
                  </w:r>
                </w:p>
              </w:tc>
            </w:tr>
            <w:tr w14:paraId="7DCA2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restart"/>
                  <w:vAlign w:val="center"/>
                </w:tcPr>
                <w:p w14:paraId="4FC0DF02">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太湖流域</w:t>
                  </w:r>
                </w:p>
              </w:tc>
              <w:tc>
                <w:tcPr>
                  <w:tcW w:w="2554" w:type="pct"/>
                  <w:vAlign w:val="center"/>
                </w:tcPr>
                <w:p w14:paraId="5C09FDD8">
                  <w:pPr>
                    <w:tabs>
                      <w:tab w:val="left" w:pos="1935"/>
                    </w:tabs>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空间布局约束：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96" w:type="pct"/>
                  <w:vAlign w:val="center"/>
                </w:tcPr>
                <w:p w14:paraId="5E02B65E">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本项目位于太湖流域三级保护区，本项目为</w:t>
                  </w:r>
                  <w:r>
                    <w:rPr>
                      <w:rFonts w:hint="eastAsia" w:ascii="Times New Roman" w:hAnsi="Times New Roman" w:eastAsia="宋体" w:cs="Times New Roman"/>
                      <w:color w:val="000000" w:themeColor="text1"/>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Cs w:val="21"/>
                      <w14:textFill>
                        <w14:solidFill>
                          <w14:schemeClr w14:val="tx1"/>
                        </w14:solidFill>
                      </w14:textFill>
                    </w:rPr>
                    <w:t>，无氮、磷工业废水外排，生活污水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Cs w:val="21"/>
                      <w14:textFill>
                        <w14:solidFill>
                          <w14:schemeClr w14:val="tx1"/>
                        </w14:solidFill>
                      </w14:textFill>
                    </w:rPr>
                    <w:t>常州市金坛区第二污水处理厂进行集中处理</w:t>
                  </w:r>
                </w:p>
              </w:tc>
            </w:tr>
            <w:tr w14:paraId="1BD58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67D89638">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2554" w:type="pct"/>
                  <w:vAlign w:val="center"/>
                </w:tcPr>
                <w:p w14:paraId="13ADF930">
                  <w:pPr>
                    <w:tabs>
                      <w:tab w:val="left" w:pos="1935"/>
                    </w:tabs>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污染物排放管控：城镇污水处理厂、纺织工业、化学工业、造纸工业、钢铁工业、电镀工业和食品工业的污水处理设施执行《太湖地区城镇污水处理厂及重点工业行业主要水污染物排放限值》。</w:t>
                  </w:r>
                </w:p>
              </w:tc>
              <w:tc>
                <w:tcPr>
                  <w:tcW w:w="1696" w:type="pct"/>
                  <w:vAlign w:val="center"/>
                </w:tcPr>
                <w:p w14:paraId="31DC345E">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Cs w:val="21"/>
                      <w14:textFill>
                        <w14:solidFill>
                          <w14:schemeClr w14:val="tx1"/>
                        </w14:solidFill>
                      </w14:textFill>
                    </w:rPr>
                    <w:t>常州市金坛区第二污水处理厂集中处理，金坛区第二污水处理厂尾水排放标准执</w:t>
                  </w:r>
                  <w:r>
                    <w:rPr>
                      <w:rFonts w:hint="eastAsia" w:ascii="Times New Roman" w:hAnsi="Times New Roman" w:eastAsia="宋体" w:cs="Times New Roman"/>
                      <w:color w:val="000000" w:themeColor="text1"/>
                      <w:szCs w:val="21"/>
                      <w:lang w:val="en-US" w:eastAsia="zh-CN"/>
                      <w14:textFill>
                        <w14:solidFill>
                          <w14:schemeClr w14:val="tx1"/>
                        </w14:solidFill>
                      </w14:textFill>
                    </w:rPr>
                    <w:t>行《太湖地区城镇污水处理厂及重点工业行业主要水污染物排放限值》（DB 32/1072-2018）</w:t>
                  </w:r>
                </w:p>
              </w:tc>
            </w:tr>
            <w:tr w14:paraId="5E2B2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65AD36BF">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2554" w:type="pct"/>
                  <w:vAlign w:val="center"/>
                </w:tcPr>
                <w:p w14:paraId="20A76B6B">
                  <w:pPr>
                    <w:tabs>
                      <w:tab w:val="left" w:pos="1935"/>
                    </w:tabs>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风险防控：1、运输剧毒物质、危险化学品的船舶不得进入太湖。2、禁止向太湖流域水体排放或者倾倒油类、酸液、碱液、剧毒废渣废液、含放射性废渣废液、含病原体污水、工业废渣以及其他废弃物。3、加强太湖流域生态环境风险应急管控，着力提高防控太湖蓝藻水华风险预警和应急处置能力。</w:t>
                  </w:r>
                </w:p>
              </w:tc>
              <w:tc>
                <w:tcPr>
                  <w:tcW w:w="1696" w:type="pct"/>
                  <w:vAlign w:val="center"/>
                </w:tcPr>
                <w:p w14:paraId="69195712">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本项目不涉及上述内容</w:t>
                  </w:r>
                </w:p>
              </w:tc>
            </w:tr>
            <w:tr w14:paraId="359B7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6B641F9C">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p>
              </w:tc>
              <w:tc>
                <w:tcPr>
                  <w:tcW w:w="2554" w:type="pct"/>
                  <w:vAlign w:val="center"/>
                </w:tcPr>
                <w:p w14:paraId="7E925D93">
                  <w:pPr>
                    <w:tabs>
                      <w:tab w:val="left" w:pos="1935"/>
                    </w:tabs>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资源开发效率要求：1、太湖流域加强水资源配置与调度，优先满足居民生活用水，兼顾生产、生态用水以及航运等需要。2、2020年底前，太湖流域所有省级以上开发区开展园区循环化改造。</w:t>
                  </w:r>
                </w:p>
              </w:tc>
              <w:tc>
                <w:tcPr>
                  <w:tcW w:w="1696" w:type="pct"/>
                  <w:vAlign w:val="center"/>
                </w:tcPr>
                <w:p w14:paraId="010E1DA5">
                  <w:pPr>
                    <w:tabs>
                      <w:tab w:val="left" w:pos="1935"/>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bl>
          <w:p w14:paraId="1F02BB92">
            <w:pPr>
              <w:pStyle w:val="8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本项目与</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江苏省2023年度生态环境分区管控动态更新成果公告</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相符性分析见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下表。</w:t>
            </w:r>
          </w:p>
          <w:p w14:paraId="08289C70">
            <w:pPr>
              <w:pStyle w:val="82"/>
              <w:spacing w:line="240" w:lineRule="auto"/>
              <w:ind w:left="0" w:leftChars="0" w:firstLine="0" w:firstLineChars="0"/>
              <w:jc w:val="center"/>
              <w:rPr>
                <w:rFonts w:hint="default" w:ascii="Times New Roman" w:hAnsi="Times New Roman" w:eastAsia="宋体" w:cs="Times New Roman"/>
                <w:b/>
                <w:bCs/>
                <w:color w:val="000000" w:themeColor="text1"/>
                <w:sz w:val="24"/>
                <w:szCs w:val="24"/>
                <w:highlight w:val="yellow"/>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5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与《</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江苏省2023年度生态环境分区管控动态更新成果公告</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》相符性分析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9"/>
              <w:gridCol w:w="577"/>
              <w:gridCol w:w="3842"/>
              <w:gridCol w:w="2761"/>
              <w:gridCol w:w="715"/>
            </w:tblGrid>
            <w:tr w14:paraId="303A15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tcBorders>
                    <w:tl2br w:val="nil"/>
                    <w:tr2bl w:val="nil"/>
                  </w:tcBorders>
                  <w:noWrap w:val="0"/>
                  <w:tcMar>
                    <w:top w:w="0" w:type="dxa"/>
                    <w:left w:w="0" w:type="dxa"/>
                    <w:bottom w:w="0" w:type="dxa"/>
                    <w:right w:w="0" w:type="dxa"/>
                  </w:tcMar>
                  <w:vAlign w:val="center"/>
                </w:tcPr>
                <w:p w14:paraId="1176ABD5">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628" w:type="pct"/>
                  <w:gridSpan w:val="2"/>
                  <w:tcBorders>
                    <w:tl2br w:val="nil"/>
                    <w:tr2bl w:val="nil"/>
                  </w:tcBorders>
                  <w:noWrap w:val="0"/>
                  <w:tcMar>
                    <w:top w:w="0" w:type="dxa"/>
                    <w:left w:w="0" w:type="dxa"/>
                    <w:bottom w:w="0" w:type="dxa"/>
                    <w:right w:w="0" w:type="dxa"/>
                  </w:tcMar>
                  <w:vAlign w:val="center"/>
                </w:tcPr>
                <w:p w14:paraId="6C2AAFB4">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管控要求</w:t>
                  </w:r>
                </w:p>
              </w:tc>
              <w:tc>
                <w:tcPr>
                  <w:tcW w:w="1642" w:type="pct"/>
                  <w:tcBorders>
                    <w:tl2br w:val="nil"/>
                    <w:tr2bl w:val="nil"/>
                  </w:tcBorders>
                  <w:noWrap w:val="0"/>
                  <w:tcMar>
                    <w:top w:w="0" w:type="dxa"/>
                    <w:left w:w="0" w:type="dxa"/>
                    <w:bottom w:w="0" w:type="dxa"/>
                    <w:right w:w="0" w:type="dxa"/>
                  </w:tcMar>
                  <w:vAlign w:val="center"/>
                </w:tcPr>
                <w:p w14:paraId="26D4F14B">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本项目相关内容</w:t>
                  </w:r>
                </w:p>
              </w:tc>
              <w:tc>
                <w:tcPr>
                  <w:tcW w:w="425" w:type="pct"/>
                  <w:tcBorders>
                    <w:tl2br w:val="nil"/>
                    <w:tr2bl w:val="nil"/>
                  </w:tcBorders>
                  <w:noWrap w:val="0"/>
                  <w:tcMar>
                    <w:top w:w="0" w:type="dxa"/>
                    <w:left w:w="0" w:type="dxa"/>
                    <w:bottom w:w="0" w:type="dxa"/>
                    <w:right w:w="0" w:type="dxa"/>
                  </w:tcMar>
                  <w:vAlign w:val="center"/>
                </w:tcPr>
                <w:p w14:paraId="5631AFFD">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w:t>
                  </w:r>
                </w:p>
              </w:tc>
            </w:tr>
            <w:tr w14:paraId="03FE02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3" w:type="pct"/>
                  <w:vMerge w:val="restart"/>
                  <w:tcBorders>
                    <w:tl2br w:val="nil"/>
                    <w:tr2bl w:val="nil"/>
                  </w:tcBorders>
                  <w:noWrap w:val="0"/>
                  <w:tcMar>
                    <w:top w:w="0" w:type="dxa"/>
                    <w:left w:w="0" w:type="dxa"/>
                    <w:bottom w:w="0" w:type="dxa"/>
                    <w:right w:w="0" w:type="dxa"/>
                  </w:tcMar>
                  <w:vAlign w:val="center"/>
                </w:tcPr>
                <w:p w14:paraId="6D444CF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43" w:type="pct"/>
                  <w:vMerge w:val="restart"/>
                  <w:tcBorders>
                    <w:tl2br w:val="nil"/>
                    <w:tr2bl w:val="nil"/>
                  </w:tcBorders>
                  <w:noWrap w:val="0"/>
                  <w:tcMar>
                    <w:top w:w="0" w:type="dxa"/>
                    <w:left w:w="0" w:type="dxa"/>
                    <w:bottom w:w="0" w:type="dxa"/>
                    <w:right w:w="0" w:type="dxa"/>
                  </w:tcMar>
                  <w:vAlign w:val="center"/>
                </w:tcPr>
                <w:p w14:paraId="261DDFE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285" w:type="pct"/>
                  <w:tcBorders>
                    <w:tl2br w:val="nil"/>
                    <w:tr2bl w:val="nil"/>
                  </w:tcBorders>
                  <w:noWrap w:val="0"/>
                  <w:tcMar>
                    <w:top w:w="0" w:type="dxa"/>
                    <w:left w:w="0" w:type="dxa"/>
                    <w:bottom w:w="0" w:type="dxa"/>
                    <w:right w:w="0" w:type="dxa"/>
                  </w:tcMar>
                  <w:vAlign w:val="center"/>
                </w:tcPr>
                <w:p w14:paraId="04FC2E3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1．按照《自然资源部生态环境部国家林业和草原局关于加强生态保护红线管理的通知（试行）》（自然资发〔2022〕</w:t>
                  </w:r>
                </w:p>
                <w:p w14:paraId="03693FE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142号）、《省政府关于印发江苏省生态空间管控区域规划的通知》（苏政发〔2020〕1号）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《关于进一步加强生态保护红线监督管理的通知》（苏自然函</w:t>
                  </w:r>
                  <w:r>
                    <w:rPr>
                      <w:rFonts w:hint="eastAsia" w:ascii="Times New Roman" w:hAnsi="Times New Roman" w:eastAsia="宋体" w:cs="Times New Roman"/>
                      <w:color w:val="000000" w:themeColor="text1"/>
                      <w:sz w:val="21"/>
                      <w:szCs w:val="21"/>
                      <w:lang w:eastAsia="zh-CN"/>
                      <w14:textFill>
                        <w14:solidFill>
                          <w14:schemeClr w14:val="tx1"/>
                        </w14:solidFill>
                      </w14:textFill>
                    </w:rPr>
                    <w:t>〔2023〕880号</w:t>
                  </w:r>
                  <w:r>
                    <w:rPr>
                      <w:rFonts w:hint="default" w:ascii="Times New Roman" w:hAnsi="Times New Roman" w:eastAsia="宋体" w:cs="Times New Roman"/>
                      <w:color w:val="000000" w:themeColor="text1"/>
                      <w:sz w:val="21"/>
                      <w:szCs w:val="21"/>
                      <w14:textFill>
                        <w14:solidFill>
                          <w14:schemeClr w14:val="tx1"/>
                        </w14:solidFill>
                      </w14:textFill>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642" w:type="pct"/>
                  <w:tcBorders>
                    <w:tl2br w:val="nil"/>
                    <w:tr2bl w:val="nil"/>
                  </w:tcBorders>
                  <w:noWrap w:val="0"/>
                  <w:tcMar>
                    <w:top w:w="0" w:type="dxa"/>
                    <w:left w:w="0" w:type="dxa"/>
                    <w:bottom w:w="0" w:type="dxa"/>
                    <w:right w:w="0" w:type="dxa"/>
                  </w:tcMar>
                  <w:vAlign w:val="center"/>
                </w:tcPr>
                <w:p w14:paraId="2DF8947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本项目不在生态保护红线范围内，项目实施后，不会使生态功能降低、不会影响生态空间面积、不会改变生态空间性质。</w:t>
                  </w:r>
                </w:p>
              </w:tc>
              <w:tc>
                <w:tcPr>
                  <w:tcW w:w="425" w:type="pct"/>
                  <w:tcBorders>
                    <w:tl2br w:val="nil"/>
                    <w:tr2bl w:val="nil"/>
                  </w:tcBorders>
                  <w:noWrap w:val="0"/>
                  <w:tcMar>
                    <w:top w:w="0" w:type="dxa"/>
                    <w:left w:w="0" w:type="dxa"/>
                    <w:bottom w:w="0" w:type="dxa"/>
                    <w:right w:w="0" w:type="dxa"/>
                  </w:tcMar>
                  <w:vAlign w:val="center"/>
                </w:tcPr>
                <w:p w14:paraId="57CA987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0EE0CD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592ACA5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26859C24">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34770D0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642" w:type="pct"/>
                  <w:tcBorders>
                    <w:tl2br w:val="nil"/>
                    <w:tr2bl w:val="nil"/>
                  </w:tcBorders>
                  <w:noWrap w:val="0"/>
                  <w:tcMar>
                    <w:top w:w="0" w:type="dxa"/>
                    <w:left w:w="0" w:type="dxa"/>
                    <w:bottom w:w="0" w:type="dxa"/>
                    <w:right w:w="0" w:type="dxa"/>
                  </w:tcMar>
                  <w:vAlign w:val="center"/>
                </w:tcPr>
                <w:p w14:paraId="19F73C3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本项目不在重点保护的岸线、河段、区域范围内，不属于排放量打、</w:t>
                  </w:r>
                  <w:r>
                    <w:rPr>
                      <w:rFonts w:hint="default" w:ascii="Times New Roman" w:hAnsi="Times New Roman" w:eastAsia="宋体" w:cs="Times New Roman"/>
                      <w:color w:val="000000" w:themeColor="text1"/>
                      <w:sz w:val="21"/>
                      <w:szCs w:val="21"/>
                      <w14:textFill>
                        <w14:solidFill>
                          <w14:schemeClr w14:val="tx1"/>
                        </w14:solidFill>
                      </w14:textFill>
                    </w:rPr>
                    <w:t>耗能高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、产能过剩的产业。</w:t>
                  </w:r>
                </w:p>
              </w:tc>
              <w:tc>
                <w:tcPr>
                  <w:tcW w:w="425" w:type="pct"/>
                  <w:tcBorders>
                    <w:tl2br w:val="nil"/>
                    <w:tr2bl w:val="nil"/>
                  </w:tcBorders>
                  <w:noWrap w:val="0"/>
                  <w:tcMar>
                    <w:top w:w="0" w:type="dxa"/>
                    <w:left w:w="0" w:type="dxa"/>
                    <w:bottom w:w="0" w:type="dxa"/>
                    <w:right w:w="0" w:type="dxa"/>
                  </w:tcMar>
                  <w:vAlign w:val="center"/>
                </w:tcPr>
                <w:p w14:paraId="7699FA0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2B9C7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346F84E1">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7AC619A8">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72E3803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642" w:type="pct"/>
                  <w:tcBorders>
                    <w:tl2br w:val="nil"/>
                    <w:tr2bl w:val="nil"/>
                  </w:tcBorders>
                  <w:noWrap w:val="0"/>
                  <w:tcMar>
                    <w:top w:w="0" w:type="dxa"/>
                    <w:left w:w="0" w:type="dxa"/>
                    <w:bottom w:w="0" w:type="dxa"/>
                    <w:right w:w="0" w:type="dxa"/>
                  </w:tcMar>
                  <w:vAlign w:val="center"/>
                </w:tcPr>
                <w:p w14:paraId="640A151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本项目不在长江干支流两侧1公里范围内。</w:t>
                  </w:r>
                </w:p>
              </w:tc>
              <w:tc>
                <w:tcPr>
                  <w:tcW w:w="425" w:type="pct"/>
                  <w:tcBorders>
                    <w:tl2br w:val="nil"/>
                    <w:tr2bl w:val="nil"/>
                  </w:tcBorders>
                  <w:noWrap w:val="0"/>
                  <w:tcMar>
                    <w:top w:w="0" w:type="dxa"/>
                    <w:left w:w="0" w:type="dxa"/>
                    <w:bottom w:w="0" w:type="dxa"/>
                    <w:right w:w="0" w:type="dxa"/>
                  </w:tcMar>
                  <w:vAlign w:val="center"/>
                </w:tcPr>
                <w:p w14:paraId="255868E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5697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2C9EC4F8">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7572AE3B">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6888C3F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642" w:type="pct"/>
                  <w:tcBorders>
                    <w:tl2br w:val="nil"/>
                    <w:tr2bl w:val="nil"/>
                  </w:tcBorders>
                  <w:noWrap w:val="0"/>
                  <w:tcMar>
                    <w:top w:w="0" w:type="dxa"/>
                    <w:left w:w="0" w:type="dxa"/>
                    <w:bottom w:w="0" w:type="dxa"/>
                    <w:right w:w="0" w:type="dxa"/>
                  </w:tcMar>
                  <w:vAlign w:val="center"/>
                </w:tcPr>
                <w:p w14:paraId="7127981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本项目不属于钢铁行业。</w:t>
                  </w:r>
                </w:p>
              </w:tc>
              <w:tc>
                <w:tcPr>
                  <w:tcW w:w="425" w:type="pct"/>
                  <w:tcBorders>
                    <w:tl2br w:val="nil"/>
                    <w:tr2bl w:val="nil"/>
                  </w:tcBorders>
                  <w:noWrap w:val="0"/>
                  <w:tcMar>
                    <w:top w:w="0" w:type="dxa"/>
                    <w:left w:w="0" w:type="dxa"/>
                    <w:bottom w:w="0" w:type="dxa"/>
                    <w:right w:w="0" w:type="dxa"/>
                  </w:tcMar>
                  <w:vAlign w:val="center"/>
                </w:tcPr>
                <w:p w14:paraId="0EACEF8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B0944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3E2A6A2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79F0C838">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0BEA3DA2">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642" w:type="pct"/>
                  <w:tcBorders>
                    <w:tl2br w:val="nil"/>
                    <w:tr2bl w:val="nil"/>
                  </w:tcBorders>
                  <w:noWrap w:val="0"/>
                  <w:tcMar>
                    <w:top w:w="0" w:type="dxa"/>
                    <w:left w:w="0" w:type="dxa"/>
                    <w:bottom w:w="0" w:type="dxa"/>
                    <w:right w:w="0" w:type="dxa"/>
                  </w:tcMar>
                  <w:vAlign w:val="center"/>
                </w:tcPr>
                <w:p w14:paraId="43AE289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14:textFill>
                        <w14:solidFill>
                          <w14:schemeClr w14:val="tx1"/>
                        </w14:solidFill>
                      </w14:textFill>
                    </w:rPr>
                    <w:t>生态保护红线</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相关法定保护区的重大民生项目、</w:t>
                  </w:r>
                  <w:r>
                    <w:rPr>
                      <w:rFonts w:hint="default" w:ascii="Times New Roman" w:hAnsi="Times New Roman" w:eastAsia="宋体" w:cs="Times New Roman"/>
                      <w:color w:val="000000" w:themeColor="text1"/>
                      <w:sz w:val="21"/>
                      <w:szCs w:val="21"/>
                      <w14:textFill>
                        <w14:solidFill>
                          <w14:schemeClr w14:val="tx1"/>
                        </w14:solidFill>
                      </w14:textFill>
                    </w:rPr>
                    <w:t>重大基础设施项目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25" w:type="pct"/>
                  <w:tcBorders>
                    <w:tl2br w:val="nil"/>
                    <w:tr2bl w:val="nil"/>
                  </w:tcBorders>
                  <w:noWrap w:val="0"/>
                  <w:tcMar>
                    <w:top w:w="0" w:type="dxa"/>
                    <w:left w:w="0" w:type="dxa"/>
                    <w:bottom w:w="0" w:type="dxa"/>
                    <w:right w:w="0" w:type="dxa"/>
                  </w:tcMar>
                  <w:vAlign w:val="center"/>
                </w:tcPr>
                <w:p w14:paraId="0852A99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39F67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noWrap w:val="0"/>
                  <w:tcMar>
                    <w:top w:w="0" w:type="dxa"/>
                    <w:left w:w="0" w:type="dxa"/>
                    <w:bottom w:w="0" w:type="dxa"/>
                    <w:right w:w="0" w:type="dxa"/>
                  </w:tcMar>
                  <w:vAlign w:val="center"/>
                </w:tcPr>
                <w:p w14:paraId="0A4FF1D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43" w:type="pct"/>
                  <w:vMerge w:val="restart"/>
                  <w:tcBorders>
                    <w:tl2br w:val="nil"/>
                    <w:tr2bl w:val="nil"/>
                  </w:tcBorders>
                  <w:noWrap w:val="0"/>
                  <w:tcMar>
                    <w:top w:w="0" w:type="dxa"/>
                    <w:left w:w="0" w:type="dxa"/>
                    <w:bottom w:w="0" w:type="dxa"/>
                    <w:right w:w="0" w:type="dxa"/>
                  </w:tcMar>
                  <w:vAlign w:val="center"/>
                </w:tcPr>
                <w:p w14:paraId="1AA3EE8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285" w:type="pct"/>
                  <w:tcBorders>
                    <w:tl2br w:val="nil"/>
                    <w:tr2bl w:val="nil"/>
                  </w:tcBorders>
                  <w:noWrap w:val="0"/>
                  <w:tcMar>
                    <w:top w:w="0" w:type="dxa"/>
                    <w:left w:w="0" w:type="dxa"/>
                    <w:bottom w:w="0" w:type="dxa"/>
                    <w:right w:w="0" w:type="dxa"/>
                  </w:tcMar>
                  <w:vAlign w:val="center"/>
                </w:tcPr>
                <w:p w14:paraId="7711297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1．坚持生态环境质量只能更好、不能变坏，实施污染物总量控制，以环境容量定产业、定项目、定规模，确保开发建设行为不突破生态环境承载力。</w:t>
                  </w:r>
                </w:p>
              </w:tc>
              <w:tc>
                <w:tcPr>
                  <w:tcW w:w="1642" w:type="pct"/>
                  <w:tcBorders>
                    <w:tl2br w:val="nil"/>
                    <w:tr2bl w:val="nil"/>
                  </w:tcBorders>
                  <w:noWrap w:val="0"/>
                  <w:tcMar>
                    <w:top w:w="0" w:type="dxa"/>
                    <w:left w:w="0" w:type="dxa"/>
                    <w:bottom w:w="0" w:type="dxa"/>
                    <w:right w:w="0" w:type="dxa"/>
                  </w:tcMar>
                  <w:vAlign w:val="center"/>
                </w:tcPr>
                <w:p w14:paraId="56F68B6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本项目应按要求向常州市金坛生态环境局申请总量。</w:t>
                  </w:r>
                </w:p>
              </w:tc>
              <w:tc>
                <w:tcPr>
                  <w:tcW w:w="425" w:type="pct"/>
                  <w:tcBorders>
                    <w:tl2br w:val="nil"/>
                    <w:tr2bl w:val="nil"/>
                  </w:tcBorders>
                  <w:noWrap w:val="0"/>
                  <w:tcMar>
                    <w:top w:w="0" w:type="dxa"/>
                    <w:left w:w="0" w:type="dxa"/>
                    <w:bottom w:w="0" w:type="dxa"/>
                    <w:right w:w="0" w:type="dxa"/>
                  </w:tcMar>
                  <w:vAlign w:val="center"/>
                </w:tcPr>
                <w:p w14:paraId="7264AB8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C3F6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3FE64C3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117C153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1C686A2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联防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联控。</w:t>
                  </w:r>
                </w:p>
              </w:tc>
              <w:tc>
                <w:tcPr>
                  <w:tcW w:w="1642" w:type="pct"/>
                  <w:tcBorders>
                    <w:tl2br w:val="nil"/>
                    <w:tr2bl w:val="nil"/>
                  </w:tcBorders>
                  <w:noWrap w:val="0"/>
                  <w:tcMar>
                    <w:top w:w="0" w:type="dxa"/>
                    <w:left w:w="0" w:type="dxa"/>
                    <w:bottom w:w="0" w:type="dxa"/>
                    <w:right w:w="0" w:type="dxa"/>
                  </w:tcMar>
                  <w:vAlign w:val="center"/>
                </w:tcPr>
                <w:p w14:paraId="6E6A0FB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高能耗</w:t>
                  </w:r>
                  <w:r>
                    <w:rPr>
                      <w:rFonts w:hint="default" w:ascii="Times New Roman" w:hAnsi="Times New Roman" w:eastAsia="宋体" w:cs="Times New Roman"/>
                      <w:color w:val="000000" w:themeColor="text1"/>
                      <w:sz w:val="21"/>
                      <w:szCs w:val="21"/>
                      <w14:textFill>
                        <w14:solidFill>
                          <w14:schemeClr w14:val="tx1"/>
                        </w14:solidFill>
                      </w14:textFill>
                    </w:rPr>
                    <w:t>工业。</w:t>
                  </w:r>
                </w:p>
              </w:tc>
              <w:tc>
                <w:tcPr>
                  <w:tcW w:w="425" w:type="pct"/>
                  <w:tcBorders>
                    <w:tl2br w:val="nil"/>
                    <w:tr2bl w:val="nil"/>
                  </w:tcBorders>
                  <w:noWrap w:val="0"/>
                  <w:tcMar>
                    <w:top w:w="0" w:type="dxa"/>
                    <w:left w:w="0" w:type="dxa"/>
                    <w:bottom w:w="0" w:type="dxa"/>
                    <w:right w:w="0" w:type="dxa"/>
                  </w:tcMar>
                  <w:vAlign w:val="center"/>
                </w:tcPr>
                <w:p w14:paraId="4E0A96B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6116C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noWrap w:val="0"/>
                  <w:tcMar>
                    <w:top w:w="0" w:type="dxa"/>
                    <w:left w:w="0" w:type="dxa"/>
                    <w:bottom w:w="0" w:type="dxa"/>
                    <w:right w:w="0" w:type="dxa"/>
                  </w:tcMar>
                  <w:vAlign w:val="center"/>
                </w:tcPr>
                <w:p w14:paraId="318369E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43" w:type="pct"/>
                  <w:vMerge w:val="restart"/>
                  <w:tcBorders>
                    <w:tl2br w:val="nil"/>
                    <w:tr2bl w:val="nil"/>
                  </w:tcBorders>
                  <w:noWrap w:val="0"/>
                  <w:tcMar>
                    <w:top w:w="0" w:type="dxa"/>
                    <w:left w:w="0" w:type="dxa"/>
                    <w:bottom w:w="0" w:type="dxa"/>
                    <w:right w:w="0" w:type="dxa"/>
                  </w:tcMar>
                  <w:vAlign w:val="center"/>
                </w:tcPr>
                <w:p w14:paraId="59EC0E7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285" w:type="pct"/>
                  <w:tcBorders>
                    <w:tl2br w:val="nil"/>
                    <w:tr2bl w:val="nil"/>
                  </w:tcBorders>
                  <w:noWrap w:val="0"/>
                  <w:tcMar>
                    <w:top w:w="0" w:type="dxa"/>
                    <w:left w:w="0" w:type="dxa"/>
                    <w:bottom w:w="0" w:type="dxa"/>
                    <w:right w:w="0" w:type="dxa"/>
                  </w:tcMar>
                  <w:vAlign w:val="center"/>
                </w:tcPr>
                <w:p w14:paraId="3727E6E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642" w:type="pct"/>
                  <w:tcBorders>
                    <w:tl2br w:val="nil"/>
                    <w:tr2bl w:val="nil"/>
                  </w:tcBorders>
                  <w:noWrap w:val="0"/>
                  <w:tcMar>
                    <w:top w:w="0" w:type="dxa"/>
                    <w:left w:w="0" w:type="dxa"/>
                    <w:bottom w:w="0" w:type="dxa"/>
                    <w:right w:w="0" w:type="dxa"/>
                  </w:tcMar>
                  <w:vAlign w:val="center"/>
                </w:tcPr>
                <w:p w14:paraId="05DC07E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本项目不运输剧毒物质和危险化学品；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产生的危险废物交由有资质单位处置，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零</w:t>
                  </w:r>
                  <w:r>
                    <w:rPr>
                      <w:rFonts w:hint="default" w:ascii="Times New Roman" w:hAnsi="Times New Roman" w:eastAsia="宋体" w:cs="Times New Roman"/>
                      <w:color w:val="000000" w:themeColor="text1"/>
                      <w:sz w:val="21"/>
                      <w:szCs w:val="21"/>
                      <w14:textFill>
                        <w14:solidFill>
                          <w14:schemeClr w14:val="tx1"/>
                        </w14:solidFill>
                      </w14:textFill>
                    </w:rPr>
                    <w:t>排放。</w:t>
                  </w:r>
                </w:p>
              </w:tc>
              <w:tc>
                <w:tcPr>
                  <w:tcW w:w="425" w:type="pct"/>
                  <w:tcBorders>
                    <w:tl2br w:val="nil"/>
                    <w:tr2bl w:val="nil"/>
                  </w:tcBorders>
                  <w:noWrap w:val="0"/>
                  <w:tcMar>
                    <w:top w:w="0" w:type="dxa"/>
                    <w:left w:w="0" w:type="dxa"/>
                    <w:bottom w:w="0" w:type="dxa"/>
                    <w:right w:w="0" w:type="dxa"/>
                  </w:tcMar>
                  <w:vAlign w:val="center"/>
                </w:tcPr>
                <w:p w14:paraId="351804D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16781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5AB6A48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787BC52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030ACF0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2．强化环境事故应急管理。深化跨部门、跨区域环境应急协调联动，分区域建立环境应急物资储备库。各级工业园区（集聚区）和企业的环境应急装备和储备物资应纳入储备体系。</w:t>
                  </w:r>
                </w:p>
              </w:tc>
              <w:tc>
                <w:tcPr>
                  <w:tcW w:w="1642" w:type="pct"/>
                  <w:tcBorders>
                    <w:tl2br w:val="nil"/>
                    <w:tr2bl w:val="nil"/>
                  </w:tcBorders>
                  <w:noWrap w:val="0"/>
                  <w:tcMar>
                    <w:top w:w="0" w:type="dxa"/>
                    <w:left w:w="0" w:type="dxa"/>
                    <w:bottom w:w="0" w:type="dxa"/>
                    <w:right w:w="0" w:type="dxa"/>
                  </w:tcMar>
                  <w:vAlign w:val="center"/>
                </w:tcPr>
                <w:p w14:paraId="75C1D73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项目实施后，按要求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配备环境应急装备、储备应急物资</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5" w:type="pct"/>
                  <w:tcBorders>
                    <w:tl2br w:val="nil"/>
                    <w:tr2bl w:val="nil"/>
                  </w:tcBorders>
                  <w:noWrap w:val="0"/>
                  <w:tcMar>
                    <w:top w:w="0" w:type="dxa"/>
                    <w:left w:w="0" w:type="dxa"/>
                    <w:bottom w:w="0" w:type="dxa"/>
                    <w:right w:w="0" w:type="dxa"/>
                  </w:tcMar>
                  <w:vAlign w:val="center"/>
                </w:tcPr>
                <w:p w14:paraId="6A04F55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1CDF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72327DF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2ACB7D5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4A6B864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42" w:type="pct"/>
                  <w:tcBorders>
                    <w:tl2br w:val="nil"/>
                    <w:tr2bl w:val="nil"/>
                  </w:tcBorders>
                  <w:noWrap w:val="0"/>
                  <w:tcMar>
                    <w:top w:w="0" w:type="dxa"/>
                    <w:left w:w="0" w:type="dxa"/>
                    <w:bottom w:w="0" w:type="dxa"/>
                    <w:right w:w="0" w:type="dxa"/>
                  </w:tcMar>
                  <w:vAlign w:val="center"/>
                </w:tcPr>
                <w:p w14:paraId="35250C7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项目实施后，按要求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w:t>
                  </w:r>
                  <w:r>
                    <w:rPr>
                      <w:rFonts w:hint="default" w:ascii="Times New Roman" w:hAnsi="Times New Roman" w:eastAsia="宋体" w:cs="Times New Roman"/>
                      <w:color w:val="000000" w:themeColor="text1"/>
                      <w:sz w:val="21"/>
                      <w:szCs w:val="21"/>
                      <w14:textFill>
                        <w14:solidFill>
                          <w14:schemeClr w14:val="tx1"/>
                        </w14:solidFill>
                      </w14:textFill>
                    </w:rPr>
                    <w:t>编突发环境事件应急预案并报相关部门备案。</w:t>
                  </w:r>
                </w:p>
              </w:tc>
              <w:tc>
                <w:tcPr>
                  <w:tcW w:w="425" w:type="pct"/>
                  <w:tcBorders>
                    <w:tl2br w:val="nil"/>
                    <w:tr2bl w:val="nil"/>
                  </w:tcBorders>
                  <w:noWrap w:val="0"/>
                  <w:tcMar>
                    <w:top w:w="0" w:type="dxa"/>
                    <w:left w:w="0" w:type="dxa"/>
                    <w:bottom w:w="0" w:type="dxa"/>
                    <w:right w:w="0" w:type="dxa"/>
                  </w:tcMar>
                  <w:vAlign w:val="center"/>
                </w:tcPr>
                <w:p w14:paraId="59855A0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B5CE1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noWrap w:val="0"/>
                  <w:tcMar>
                    <w:top w:w="0" w:type="dxa"/>
                    <w:left w:w="0" w:type="dxa"/>
                    <w:bottom w:w="0" w:type="dxa"/>
                    <w:right w:w="0" w:type="dxa"/>
                  </w:tcMar>
                  <w:vAlign w:val="center"/>
                </w:tcPr>
                <w:p w14:paraId="28BB9CA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43" w:type="pct"/>
                  <w:vMerge w:val="restart"/>
                  <w:tcBorders>
                    <w:tl2br w:val="nil"/>
                    <w:tr2bl w:val="nil"/>
                  </w:tcBorders>
                  <w:noWrap w:val="0"/>
                  <w:tcMar>
                    <w:top w:w="0" w:type="dxa"/>
                    <w:left w:w="0" w:type="dxa"/>
                    <w:bottom w:w="0" w:type="dxa"/>
                    <w:right w:w="0" w:type="dxa"/>
                  </w:tcMar>
                  <w:vAlign w:val="center"/>
                </w:tcPr>
                <w:p w14:paraId="224ABFA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资源利用效率要求</w:t>
                  </w:r>
                </w:p>
              </w:tc>
              <w:tc>
                <w:tcPr>
                  <w:tcW w:w="2285" w:type="pct"/>
                  <w:tcBorders>
                    <w:tl2br w:val="nil"/>
                    <w:tr2bl w:val="nil"/>
                  </w:tcBorders>
                  <w:noWrap w:val="0"/>
                  <w:tcMar>
                    <w:top w:w="0" w:type="dxa"/>
                    <w:left w:w="0" w:type="dxa"/>
                    <w:bottom w:w="0" w:type="dxa"/>
                    <w:right w:w="0" w:type="dxa"/>
                  </w:tcMar>
                  <w:vAlign w:val="center"/>
                </w:tcPr>
                <w:p w14:paraId="51383E3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1．水资源利用总量及效率要求：到2025年，全省用水总量控制在525.9亿立方米以内，万元地区生产总值用水量、万元工业增加值用水量下降完成国家下达目标，农田灌溉水有效利用系数提高到0.625。</w:t>
                  </w:r>
                </w:p>
              </w:tc>
              <w:tc>
                <w:tcPr>
                  <w:tcW w:w="1642" w:type="pct"/>
                  <w:tcBorders>
                    <w:tl2br w:val="nil"/>
                    <w:tr2bl w:val="nil"/>
                  </w:tcBorders>
                  <w:noWrap w:val="0"/>
                  <w:tcMar>
                    <w:top w:w="0" w:type="dxa"/>
                    <w:left w:w="0" w:type="dxa"/>
                    <w:bottom w:w="0" w:type="dxa"/>
                    <w:right w:w="0" w:type="dxa"/>
                  </w:tcMar>
                  <w:vAlign w:val="center"/>
                </w:tcPr>
                <w:p w14:paraId="4812F07A">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本项目GDP水耗低于《江苏省金坛经济开发区发展规划环境影响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报告书</w:t>
                  </w:r>
                  <w:r>
                    <w:rPr>
                      <w:rFonts w:hint="default" w:ascii="Times New Roman" w:hAnsi="Times New Roman" w:eastAsia="宋体" w:cs="Times New Roman"/>
                      <w:color w:val="000000" w:themeColor="text1"/>
                      <w:sz w:val="21"/>
                      <w:szCs w:val="21"/>
                      <w14:textFill>
                        <w14:solidFill>
                          <w14:schemeClr w14:val="tx1"/>
                        </w14:solidFill>
                      </w14:textFill>
                    </w:rPr>
                    <w:t>》中的设计值，满足江苏省金坛经济开发区的资源指标要求</w:t>
                  </w:r>
                </w:p>
              </w:tc>
              <w:tc>
                <w:tcPr>
                  <w:tcW w:w="425" w:type="pct"/>
                  <w:tcBorders>
                    <w:tl2br w:val="nil"/>
                    <w:tr2bl w:val="nil"/>
                  </w:tcBorders>
                  <w:noWrap w:val="0"/>
                  <w:tcMar>
                    <w:top w:w="0" w:type="dxa"/>
                    <w:left w:w="0" w:type="dxa"/>
                    <w:bottom w:w="0" w:type="dxa"/>
                    <w:right w:w="0" w:type="dxa"/>
                  </w:tcMar>
                  <w:vAlign w:val="center"/>
                </w:tcPr>
                <w:p w14:paraId="0540E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76213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5FE6D74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64B11D9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79CA63B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2．土地资源总量要求：到2025年，江苏省耕地保有量不低于5977万亩，其中永久基本农田保护面积不低于5344万</w:t>
                  </w:r>
                </w:p>
                <w:p w14:paraId="21F5563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亩。</w:t>
                  </w:r>
                </w:p>
              </w:tc>
              <w:tc>
                <w:tcPr>
                  <w:tcW w:w="1642" w:type="pct"/>
                  <w:tcBorders>
                    <w:tl2br w:val="nil"/>
                    <w:tr2bl w:val="nil"/>
                  </w:tcBorders>
                  <w:noWrap w:val="0"/>
                  <w:tcMar>
                    <w:top w:w="0" w:type="dxa"/>
                    <w:left w:w="0" w:type="dxa"/>
                    <w:bottom w:w="0" w:type="dxa"/>
                    <w:right w:w="0" w:type="dxa"/>
                  </w:tcMar>
                  <w:vAlign w:val="center"/>
                </w:tcPr>
                <w:p w14:paraId="1357803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本项目不新增工业用地。</w:t>
                  </w:r>
                </w:p>
              </w:tc>
              <w:tc>
                <w:tcPr>
                  <w:tcW w:w="425" w:type="pct"/>
                  <w:tcBorders>
                    <w:tl2br w:val="nil"/>
                    <w:tr2bl w:val="nil"/>
                  </w:tcBorders>
                  <w:noWrap w:val="0"/>
                  <w:tcMar>
                    <w:top w:w="0" w:type="dxa"/>
                    <w:left w:w="0" w:type="dxa"/>
                    <w:bottom w:w="0" w:type="dxa"/>
                    <w:right w:w="0" w:type="dxa"/>
                  </w:tcMar>
                  <w:vAlign w:val="center"/>
                </w:tcPr>
                <w:p w14:paraId="38AB42D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7EDB0F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noWrap w:val="0"/>
                  <w:tcMar>
                    <w:top w:w="0" w:type="dxa"/>
                    <w:left w:w="0" w:type="dxa"/>
                    <w:bottom w:w="0" w:type="dxa"/>
                    <w:right w:w="0" w:type="dxa"/>
                  </w:tcMar>
                  <w:vAlign w:val="center"/>
                </w:tcPr>
                <w:p w14:paraId="0CCC060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43" w:type="pct"/>
                  <w:vMerge w:val="continue"/>
                  <w:tcBorders>
                    <w:tl2br w:val="nil"/>
                    <w:tr2bl w:val="nil"/>
                  </w:tcBorders>
                  <w:noWrap w:val="0"/>
                  <w:tcMar>
                    <w:top w:w="0" w:type="dxa"/>
                    <w:left w:w="0" w:type="dxa"/>
                    <w:bottom w:w="0" w:type="dxa"/>
                    <w:right w:w="0" w:type="dxa"/>
                  </w:tcMar>
                  <w:vAlign w:val="center"/>
                </w:tcPr>
                <w:p w14:paraId="58EC10E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85" w:type="pct"/>
                  <w:tcBorders>
                    <w:tl2br w:val="nil"/>
                    <w:tr2bl w:val="nil"/>
                  </w:tcBorders>
                  <w:noWrap w:val="0"/>
                  <w:tcMar>
                    <w:top w:w="0" w:type="dxa"/>
                    <w:left w:w="0" w:type="dxa"/>
                    <w:bottom w:w="0" w:type="dxa"/>
                    <w:right w:w="0" w:type="dxa"/>
                  </w:tcMar>
                  <w:vAlign w:val="center"/>
                </w:tcPr>
                <w:p w14:paraId="77170D2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3．禁燃区要求：在禁燃区内，禁止销售、燃用高污染燃料；禁止新建、扩建燃用高污染燃料的设施，已建成的，应当在城市人民政府规定的期限内改用天然气、页岩气、液化石油气、电或者其他清洁能源。</w:t>
                  </w:r>
                </w:p>
              </w:tc>
              <w:tc>
                <w:tcPr>
                  <w:tcW w:w="1642" w:type="pct"/>
                  <w:tcBorders>
                    <w:tl2br w:val="nil"/>
                    <w:tr2bl w:val="nil"/>
                  </w:tcBorders>
                  <w:noWrap w:val="0"/>
                  <w:tcMar>
                    <w:top w:w="0" w:type="dxa"/>
                    <w:left w:w="0" w:type="dxa"/>
                    <w:bottom w:w="0" w:type="dxa"/>
                    <w:right w:w="0" w:type="dxa"/>
                  </w:tcMar>
                  <w:vAlign w:val="center"/>
                </w:tcPr>
                <w:p w14:paraId="0A2CAB1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电作为清洁能源</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5" w:type="pct"/>
                  <w:tcBorders>
                    <w:tl2br w:val="nil"/>
                    <w:tr2bl w:val="nil"/>
                  </w:tcBorders>
                  <w:noWrap w:val="0"/>
                  <w:tcMar>
                    <w:top w:w="0" w:type="dxa"/>
                    <w:left w:w="0" w:type="dxa"/>
                    <w:bottom w:w="0" w:type="dxa"/>
                    <w:right w:w="0" w:type="dxa"/>
                  </w:tcMar>
                  <w:vAlign w:val="center"/>
                </w:tcPr>
                <w:p w14:paraId="12FB58B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338AE6A7">
            <w:pPr>
              <w:spacing w:line="360" w:lineRule="auto"/>
              <w:ind w:firstLine="480"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由上表可知，本项目符合“三线一单”（即</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生态保护红线</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环境质量底线</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资源利用上线</w:t>
            </w:r>
            <w:r>
              <w:rPr>
                <w:rFonts w:hint="default" w:ascii="Times New Roman" w:hAnsi="Times New Roman" w:eastAsia="宋体" w:cs="Times New Roman"/>
                <w:color w:val="000000" w:themeColor="text1"/>
                <w:sz w:val="24"/>
                <w:szCs w:val="24"/>
                <w14:textFill>
                  <w14:solidFill>
                    <w14:schemeClr w14:val="tx1"/>
                  </w14:solidFill>
                </w14:textFill>
              </w:rPr>
              <w:t>、环境准入负面清单）筛选相关要求，且满足</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江苏省2023年度生态环境分区管控动态更新成果公告</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14:paraId="31F34E1A">
            <w:pPr>
              <w:spacing w:line="360" w:lineRule="auto"/>
              <w:jc w:val="left"/>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、常州市“三线一单”相符性分析</w:t>
            </w:r>
          </w:p>
          <w:p w14:paraId="10609DAA">
            <w:pPr>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对照</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常州市生态环境分区管控动态更新成果》（2023年版）</w:t>
            </w: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eastAsia" w:ascii="Times New Roman" w:hAnsi="Times New Roman" w:eastAsia="宋体" w:cs="Times New Roman"/>
                <w:color w:val="000000" w:themeColor="text1"/>
                <w:sz w:val="24"/>
                <w:szCs w:val="24"/>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位于重点管控单元中的江苏省金坛经济开发区范围内</w:t>
            </w:r>
            <w:r>
              <w:rPr>
                <w:rFonts w:hint="default" w:ascii="Times New Roman" w:hAnsi="Times New Roman" w:eastAsia="宋体" w:cs="Times New Roman"/>
                <w:color w:val="000000" w:themeColor="text1"/>
                <w:sz w:val="24"/>
                <w:szCs w:val="24"/>
                <w14:textFill>
                  <w14:solidFill>
                    <w14:schemeClr w14:val="tx1"/>
                  </w14:solidFill>
                </w14:textFill>
              </w:rPr>
              <w:t>，具体对照情况见下表。</w:t>
            </w:r>
          </w:p>
          <w:p w14:paraId="16C9A384">
            <w:pPr>
              <w:pStyle w:val="3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表1-</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本项目与常州市“三线一单”符合性分析一览表</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4051"/>
              <w:gridCol w:w="2365"/>
              <w:gridCol w:w="861"/>
            </w:tblGrid>
            <w:tr w14:paraId="0CB99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tcBorders>
                    <w:tl2br w:val="nil"/>
                    <w:tr2bl w:val="nil"/>
                  </w:tcBorders>
                  <w:noWrap w:val="0"/>
                  <w:vAlign w:val="center"/>
                </w:tcPr>
                <w:p w14:paraId="3CFED397">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管控类别</w:t>
                  </w:r>
                </w:p>
              </w:tc>
              <w:tc>
                <w:tcPr>
                  <w:tcW w:w="2410" w:type="pct"/>
                  <w:tcBorders>
                    <w:tl2br w:val="nil"/>
                    <w:tr2bl w:val="nil"/>
                  </w:tcBorders>
                  <w:noWrap w:val="0"/>
                  <w:vAlign w:val="center"/>
                </w:tcPr>
                <w:p w14:paraId="06BE4F4F">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重点管控要求（江苏金坛经济开发区）</w:t>
                  </w:r>
                </w:p>
              </w:tc>
              <w:tc>
                <w:tcPr>
                  <w:tcW w:w="1407" w:type="pct"/>
                  <w:tcBorders>
                    <w:tl2br w:val="nil"/>
                    <w:tr2bl w:val="nil"/>
                  </w:tcBorders>
                  <w:noWrap w:val="0"/>
                  <w:vAlign w:val="center"/>
                </w:tcPr>
                <w:p w14:paraId="6DC79996">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512" w:type="pct"/>
                  <w:tcBorders>
                    <w:tl2br w:val="nil"/>
                    <w:tr2bl w:val="nil"/>
                  </w:tcBorders>
                  <w:noWrap w:val="0"/>
                  <w:vAlign w:val="center"/>
                </w:tcPr>
                <w:p w14:paraId="299FC813">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c>
            </w:tr>
            <w:tr w14:paraId="354F9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tcBorders>
                    <w:tl2br w:val="nil"/>
                    <w:tr2bl w:val="nil"/>
                  </w:tcBorders>
                  <w:noWrap w:val="0"/>
                  <w:vAlign w:val="center"/>
                </w:tcPr>
                <w:p w14:paraId="131A4A01">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410" w:type="pct"/>
                  <w:tcBorders>
                    <w:tl2br w:val="nil"/>
                    <w:tr2bl w:val="nil"/>
                  </w:tcBorders>
                  <w:noWrap w:val="0"/>
                  <w:vAlign w:val="center"/>
                </w:tcPr>
                <w:p w14:paraId="1049826B">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引入纺织服装中废水排放量较</w:t>
                  </w:r>
                  <w:r>
                    <w:rPr>
                      <w:rFonts w:hint="default" w:ascii="Times New Roman" w:hAnsi="Times New Roman" w:eastAsia="宋体" w:cs="Times New Roman"/>
                      <w:color w:val="000000" w:themeColor="text1"/>
                      <w:spacing w:val="-8"/>
                      <w:sz w:val="21"/>
                      <w:szCs w:val="21"/>
                      <w14:textFill>
                        <w14:solidFill>
                          <w14:schemeClr w14:val="tx1"/>
                        </w14:solidFill>
                      </w14:textFill>
                    </w:rPr>
                    <w:t>大的纯印染和纯染整类企业</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除金坛时尚</w:t>
                  </w:r>
                  <w:r>
                    <w:rPr>
                      <w:rFonts w:hint="default" w:ascii="Times New Roman" w:hAnsi="Times New Roman" w:eastAsia="宋体" w:cs="Times New Roman"/>
                      <w:color w:val="000000" w:themeColor="text1"/>
                      <w:sz w:val="21"/>
                      <w:szCs w:val="21"/>
                      <w14:textFill>
                        <w14:solidFill>
                          <w14:schemeClr w14:val="tx1"/>
                        </w14:solidFill>
                      </w14:textFill>
                    </w:rPr>
                    <w:t>织染集聚区。</w:t>
                  </w:r>
                </w:p>
              </w:tc>
              <w:tc>
                <w:tcPr>
                  <w:tcW w:w="1407" w:type="pct"/>
                  <w:vMerge w:val="restart"/>
                  <w:tcBorders>
                    <w:tl2br w:val="nil"/>
                    <w:tr2bl w:val="nil"/>
                  </w:tcBorders>
                  <w:noWrap w:val="0"/>
                  <w:vAlign w:val="center"/>
                </w:tcPr>
                <w:p w14:paraId="780E1E26">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本项目位于江苏金坛经济开发区，项目不属于禁止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w:t>
                  </w: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512" w:type="pct"/>
                  <w:vMerge w:val="restart"/>
                  <w:tcBorders>
                    <w:tl2br w:val="nil"/>
                    <w:tr2bl w:val="nil"/>
                  </w:tcBorders>
                  <w:noWrap w:val="0"/>
                  <w:vAlign w:val="center"/>
                </w:tcPr>
                <w:p w14:paraId="1C60C41D">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7554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17A9C6FE">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03BD63EC">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引入机械电子、高端装备制造</w:t>
                  </w:r>
                  <w:r>
                    <w:rPr>
                      <w:rFonts w:hint="default" w:ascii="Times New Roman" w:hAnsi="Times New Roman" w:eastAsia="宋体" w:cs="Times New Roman"/>
                      <w:color w:val="000000" w:themeColor="text1"/>
                      <w:spacing w:val="-11"/>
                      <w:sz w:val="21"/>
                      <w:szCs w:val="21"/>
                      <w14:textFill>
                        <w14:solidFill>
                          <w14:schemeClr w14:val="tx1"/>
                        </w14:solidFill>
                      </w14:textFill>
                    </w:rPr>
                    <w:t>业中电镀、表面处理类企业，淘汰、限制</w:t>
                  </w:r>
                  <w:r>
                    <w:rPr>
                      <w:rFonts w:hint="default" w:ascii="Times New Roman" w:hAnsi="Times New Roman" w:eastAsia="宋体" w:cs="Times New Roman"/>
                      <w:color w:val="000000" w:themeColor="text1"/>
                      <w:spacing w:val="-9"/>
                      <w:sz w:val="21"/>
                      <w:szCs w:val="21"/>
                      <w14:textFill>
                        <w14:solidFill>
                          <w14:schemeClr w14:val="tx1"/>
                        </w14:solidFill>
                      </w14:textFill>
                    </w:rPr>
                    <w:t>类的如普通高速钢钻头、铣刀、锯片、丝</w:t>
                  </w:r>
                  <w:r>
                    <w:rPr>
                      <w:rFonts w:hint="default" w:ascii="Times New Roman" w:hAnsi="Times New Roman" w:eastAsia="宋体" w:cs="Times New Roman"/>
                      <w:color w:val="000000" w:themeColor="text1"/>
                      <w:spacing w:val="-12"/>
                      <w:sz w:val="21"/>
                      <w:szCs w:val="21"/>
                      <w14:textFill>
                        <w14:solidFill>
                          <w14:schemeClr w14:val="tx1"/>
                        </w14:solidFill>
                      </w14:textFill>
                    </w:rPr>
                    <w:t>锥、板牙项目、普通微小型球轴承制造项目；禁止生产国家禁止或公告停止销售的</w:t>
                  </w:r>
                  <w:r>
                    <w:rPr>
                      <w:rFonts w:hint="default" w:ascii="Times New Roman" w:hAnsi="Times New Roman" w:eastAsia="宋体" w:cs="Times New Roman"/>
                      <w:color w:val="000000" w:themeColor="text1"/>
                      <w:sz w:val="21"/>
                      <w:szCs w:val="21"/>
                      <w14:textFill>
                        <w14:solidFill>
                          <w14:schemeClr w14:val="tx1"/>
                        </w14:solidFill>
                      </w14:textFill>
                    </w:rPr>
                    <w:t>车辆；有害物质含量超标准的汽车。</w:t>
                  </w:r>
                </w:p>
              </w:tc>
              <w:tc>
                <w:tcPr>
                  <w:tcW w:w="1407" w:type="pct"/>
                  <w:vMerge w:val="continue"/>
                  <w:tcBorders>
                    <w:tl2br w:val="nil"/>
                    <w:tr2bl w:val="nil"/>
                  </w:tcBorders>
                  <w:noWrap w:val="0"/>
                  <w:vAlign w:val="center"/>
                </w:tcPr>
                <w:p w14:paraId="122DC82F">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341FF685">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48BD2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4206C50D">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59222B0C">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引入化工中与盐化工及下游产</w:t>
                  </w:r>
                  <w:r>
                    <w:rPr>
                      <w:rFonts w:hint="default" w:ascii="Times New Roman" w:hAnsi="Times New Roman" w:eastAsia="宋体" w:cs="Times New Roman"/>
                      <w:color w:val="000000" w:themeColor="text1"/>
                      <w:sz w:val="21"/>
                      <w:szCs w:val="21"/>
                      <w14:textFill>
                        <w14:solidFill>
                          <w14:schemeClr w14:val="tx1"/>
                        </w14:solidFill>
                      </w14:textFill>
                    </w:rPr>
                    <w:t>品生产不相关的化工项目。</w:t>
                  </w:r>
                </w:p>
              </w:tc>
              <w:tc>
                <w:tcPr>
                  <w:tcW w:w="1407" w:type="pct"/>
                  <w:vMerge w:val="continue"/>
                  <w:tcBorders>
                    <w:tl2br w:val="nil"/>
                    <w:tr2bl w:val="nil"/>
                  </w:tcBorders>
                  <w:noWrap w:val="0"/>
                  <w:vAlign w:val="center"/>
                </w:tcPr>
                <w:p w14:paraId="65082ABB">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01B6B762">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65EA2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29DD7C76">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52066F58">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4.禁止引入新材料产业中太阳能电池切片生产项目。</w:t>
                  </w:r>
                </w:p>
              </w:tc>
              <w:tc>
                <w:tcPr>
                  <w:tcW w:w="1407" w:type="pct"/>
                  <w:vMerge w:val="continue"/>
                  <w:tcBorders>
                    <w:tl2br w:val="nil"/>
                    <w:tr2bl w:val="nil"/>
                  </w:tcBorders>
                  <w:noWrap w:val="0"/>
                  <w:vAlign w:val="center"/>
                </w:tcPr>
                <w:p w14:paraId="254F25F5">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47DCE67B">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41335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2F16ABC1">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3672FB53">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5.禁止引入化工新材料中钢铁等传统</w:t>
                  </w:r>
                  <w:r>
                    <w:rPr>
                      <w:rFonts w:hint="default" w:ascii="Times New Roman" w:hAnsi="Times New Roman" w:eastAsia="宋体" w:cs="Times New Roman"/>
                      <w:color w:val="000000" w:themeColor="text1"/>
                      <w:spacing w:val="-1"/>
                      <w:sz w:val="21"/>
                      <w:szCs w:val="21"/>
                      <w14:textFill>
                        <w14:solidFill>
                          <w14:schemeClr w14:val="tx1"/>
                        </w14:solidFill>
                      </w14:textFill>
                    </w:rPr>
                    <w:t>型金属材料；水泥等传统型非金属材料</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07" w:type="pct"/>
                  <w:vMerge w:val="continue"/>
                  <w:tcBorders>
                    <w:tl2br w:val="nil"/>
                    <w:tr2bl w:val="nil"/>
                  </w:tcBorders>
                  <w:noWrap w:val="0"/>
                  <w:vAlign w:val="center"/>
                </w:tcPr>
                <w:p w14:paraId="50C4594F">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1CF403E3">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15A41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pct"/>
                  <w:vMerge w:val="continue"/>
                  <w:tcBorders>
                    <w:tl2br w:val="nil"/>
                    <w:tr2bl w:val="nil"/>
                  </w:tcBorders>
                  <w:noWrap w:val="0"/>
                  <w:vAlign w:val="center"/>
                </w:tcPr>
                <w:p w14:paraId="2A6F6146">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1E16D80B">
                  <w:pPr>
                    <w:pStyle w:val="54"/>
                    <w:tabs>
                      <w:tab w:val="left" w:pos="608"/>
                    </w:tabs>
                    <w:spacing w:line="255" w:lineRule="exact"/>
                    <w:ind w:left="10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6.禁止</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引入新医药产业中不符合</w:t>
                  </w:r>
                  <w:r>
                    <w:rPr>
                      <w:rFonts w:hint="default" w:ascii="Times New Roman" w:hAnsi="Times New Roman" w:eastAsia="宋体" w:cs="Times New Roman"/>
                      <w:color w:val="000000" w:themeColor="text1"/>
                      <w:sz w:val="21"/>
                      <w:szCs w:val="21"/>
                      <w:lang w:eastAsia="zh-CN"/>
                      <w14:textFill>
                        <w14:solidFill>
                          <w14:schemeClr w14:val="tx1"/>
                        </w14:solidFill>
                      </w14:textFill>
                    </w:rPr>
                    <w:t>GmP</w:t>
                  </w: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要求的安瓿拉丝灌封机、劳动保护、安瓿</w:t>
                  </w:r>
                  <w:r>
                    <w:rPr>
                      <w:rFonts w:hint="default" w:ascii="Times New Roman" w:hAnsi="Times New Roman" w:eastAsia="宋体" w:cs="Times New Roman"/>
                      <w:color w:val="000000" w:themeColor="text1"/>
                      <w:sz w:val="21"/>
                      <w:szCs w:val="21"/>
                      <w:lang w:eastAsia="zh-CN"/>
                      <w14:textFill>
                        <w14:solidFill>
                          <w14:schemeClr w14:val="tx1"/>
                        </w14:solidFill>
                      </w14:textFill>
                    </w:rPr>
                    <w:t>灌装注射用无菌粉末、非易折安瓿等。</w:t>
                  </w:r>
                </w:p>
              </w:tc>
              <w:tc>
                <w:tcPr>
                  <w:tcW w:w="1407" w:type="pct"/>
                  <w:vMerge w:val="continue"/>
                  <w:tcBorders>
                    <w:tl2br w:val="nil"/>
                    <w:tr2bl w:val="nil"/>
                  </w:tcBorders>
                  <w:noWrap w:val="0"/>
                  <w:vAlign w:val="center"/>
                </w:tcPr>
                <w:p w14:paraId="0CDE9E44">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4BCAD831">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046BA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tcBorders>
                    <w:tl2br w:val="nil"/>
                    <w:tr2bl w:val="nil"/>
                  </w:tcBorders>
                  <w:noWrap w:val="0"/>
                  <w:vAlign w:val="center"/>
                </w:tcPr>
                <w:p w14:paraId="5AB73F82">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410" w:type="pct"/>
                  <w:tcBorders>
                    <w:tl2br w:val="nil"/>
                    <w:tr2bl w:val="nil"/>
                  </w:tcBorders>
                  <w:noWrap w:val="0"/>
                  <w:vAlign w:val="center"/>
                </w:tcPr>
                <w:p w14:paraId="47C64581">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1.严格实施污染物总量</w:t>
                  </w:r>
                  <w:r>
                    <w:rPr>
                      <w:rFonts w:hint="default" w:ascii="Times New Roman" w:hAnsi="Times New Roman" w:eastAsia="宋体" w:cs="Times New Roman"/>
                      <w:color w:val="000000" w:themeColor="text1"/>
                      <w:spacing w:val="2"/>
                      <w:sz w:val="21"/>
                      <w:szCs w:val="21"/>
                      <w14:textFill>
                        <w14:solidFill>
                          <w14:schemeClr w14:val="tx1"/>
                        </w14:solidFill>
                      </w14:textFill>
                    </w:rPr>
                    <w:t>控制制度，根据区域环境质</w:t>
                  </w:r>
                  <w:r>
                    <w:rPr>
                      <w:rFonts w:hint="default" w:ascii="Times New Roman" w:hAnsi="Times New Roman" w:eastAsia="宋体" w:cs="Times New Roman"/>
                      <w:color w:val="000000" w:themeColor="text1"/>
                      <w:spacing w:val="3"/>
                      <w:sz w:val="21"/>
                      <w:szCs w:val="21"/>
                      <w14:textFill>
                        <w14:solidFill>
                          <w14:schemeClr w14:val="tx1"/>
                        </w14:solidFill>
                      </w14:textFill>
                    </w:rPr>
                    <w:t xml:space="preserve">量改善目标，采取有效措施减少主要污染物排放总量， </w:t>
                  </w:r>
                  <w:r>
                    <w:rPr>
                      <w:rFonts w:hint="default" w:ascii="Times New Roman" w:hAnsi="Times New Roman" w:eastAsia="宋体" w:cs="Times New Roman"/>
                      <w:color w:val="000000" w:themeColor="text1"/>
                      <w:sz w:val="21"/>
                      <w:szCs w:val="21"/>
                      <w14:textFill>
                        <w14:solidFill>
                          <w14:schemeClr w14:val="tx1"/>
                        </w14:solidFill>
                      </w14:textFill>
                    </w:rPr>
                    <w:t>确保区域环境质量持续改善。</w:t>
                  </w:r>
                </w:p>
              </w:tc>
              <w:tc>
                <w:tcPr>
                  <w:tcW w:w="1407" w:type="pct"/>
                  <w:vMerge w:val="restart"/>
                  <w:tcBorders>
                    <w:tl2br w:val="nil"/>
                    <w:tr2bl w:val="nil"/>
                  </w:tcBorders>
                  <w:noWrap w:val="0"/>
                  <w:vAlign w:val="center"/>
                </w:tcPr>
                <w:p w14:paraId="4F3BEE94">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本项目不排放生产废水，生活污水接管至常州金坛区第二污水处理有限公司集中处理；项目废气经处理后达标排放，废气排放总量不会突破园区环评报告及批复的总量。</w:t>
                  </w:r>
                </w:p>
              </w:tc>
              <w:tc>
                <w:tcPr>
                  <w:tcW w:w="512" w:type="pct"/>
                  <w:vMerge w:val="restart"/>
                  <w:tcBorders>
                    <w:tl2br w:val="nil"/>
                    <w:tr2bl w:val="nil"/>
                  </w:tcBorders>
                  <w:noWrap w:val="0"/>
                  <w:vAlign w:val="center"/>
                </w:tcPr>
                <w:p w14:paraId="7CB539F1">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179C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40FE438E">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72C40ED4">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2.园区污染物排放总量不得突破环评报告及批复的总量。</w:t>
                  </w:r>
                </w:p>
              </w:tc>
              <w:tc>
                <w:tcPr>
                  <w:tcW w:w="1407" w:type="pct"/>
                  <w:vMerge w:val="continue"/>
                  <w:tcBorders>
                    <w:tl2br w:val="nil"/>
                    <w:tr2bl w:val="nil"/>
                  </w:tcBorders>
                  <w:noWrap w:val="0"/>
                  <w:vAlign w:val="center"/>
                </w:tcPr>
                <w:p w14:paraId="18E69877">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5DEB0033">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74B76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tcBorders>
                    <w:tl2br w:val="nil"/>
                    <w:tr2bl w:val="nil"/>
                  </w:tcBorders>
                  <w:noWrap w:val="0"/>
                  <w:vAlign w:val="center"/>
                </w:tcPr>
                <w:p w14:paraId="7BB4DDE3">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410" w:type="pct"/>
                  <w:tcBorders>
                    <w:tl2br w:val="nil"/>
                    <w:tr2bl w:val="nil"/>
                  </w:tcBorders>
                  <w:noWrap w:val="0"/>
                  <w:vAlign w:val="center"/>
                </w:tcPr>
                <w:p w14:paraId="11FC09AF">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1.园区建立环境应急体系，完善事故应急救援体系，加强应急物资装备储备，编制突发环境事件应急预案，定期开展演练。</w:t>
                  </w:r>
                </w:p>
              </w:tc>
              <w:tc>
                <w:tcPr>
                  <w:tcW w:w="1407" w:type="pct"/>
                  <w:vMerge w:val="restart"/>
                  <w:tcBorders>
                    <w:tl2br w:val="nil"/>
                    <w:tr2bl w:val="nil"/>
                  </w:tcBorders>
                  <w:noWrap w:val="0"/>
                  <w:vAlign w:val="center"/>
                </w:tcPr>
                <w:p w14:paraId="62012E39">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项目建成后将</w:t>
                  </w:r>
                  <w:r>
                    <w:rPr>
                      <w:rFonts w:hint="default" w:ascii="Times New Roman" w:hAnsi="Times New Roman" w:eastAsia="宋体" w:cs="Times New Roman"/>
                      <w:color w:val="000000" w:themeColor="text1"/>
                      <w:sz w:val="21"/>
                      <w:szCs w:val="21"/>
                      <w:highlight w:val="none"/>
                      <w14:textFill>
                        <w14:solidFill>
                          <w14:schemeClr w14:val="tx1"/>
                        </w14:solidFill>
                      </w14:textFill>
                    </w:rPr>
                    <w:t>按要求</w:t>
                  </w:r>
                  <w:r>
                    <w:rPr>
                      <w:rFonts w:hint="eastAsia" w:cs="Times New Roman"/>
                      <w:color w:val="000000" w:themeColor="text1"/>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sz w:val="21"/>
                      <w:szCs w:val="21"/>
                      <w:highlight w:val="none"/>
                      <w14:textFill>
                        <w14:solidFill>
                          <w14:schemeClr w14:val="tx1"/>
                        </w14:solidFill>
                      </w14:textFill>
                    </w:rPr>
                    <w:t>突发环境事件应急预案</w:t>
                  </w:r>
                  <w:r>
                    <w:rPr>
                      <w:rFonts w:hint="default" w:ascii="Times New Roman" w:hAnsi="Times New Roman" w:eastAsia="宋体" w:cs="Times New Roman"/>
                      <w:color w:val="000000" w:themeColor="text1"/>
                      <w:sz w:val="21"/>
                      <w:szCs w:val="21"/>
                      <w14:textFill>
                        <w14:solidFill>
                          <w14:schemeClr w14:val="tx1"/>
                        </w14:solidFill>
                      </w14:textFill>
                    </w:rPr>
                    <w:t>；项目建成后将加强环境影响跟踪监测，建立健全各环境要素监控体系，完善并落实园区日常环境监测与污染源监控计划。</w:t>
                  </w:r>
                </w:p>
              </w:tc>
              <w:tc>
                <w:tcPr>
                  <w:tcW w:w="512" w:type="pct"/>
                  <w:vMerge w:val="restart"/>
                  <w:tcBorders>
                    <w:tl2br w:val="nil"/>
                    <w:tr2bl w:val="nil"/>
                  </w:tcBorders>
                  <w:noWrap w:val="0"/>
                  <w:vAlign w:val="center"/>
                </w:tcPr>
                <w:p w14:paraId="7886195D">
                  <w:pPr>
                    <w:pStyle w:val="7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F22B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00ACCA0B">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0FFD2402">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2.生产、使用、储存危险化学品或其他存在环境风险的企事业单位，应当制定风险防范措施，编制完善突发环境事件应急预案，防止发生环境污染事故。</w:t>
                  </w:r>
                </w:p>
              </w:tc>
              <w:tc>
                <w:tcPr>
                  <w:tcW w:w="1407" w:type="pct"/>
                  <w:vMerge w:val="continue"/>
                  <w:tcBorders>
                    <w:tl2br w:val="nil"/>
                    <w:tr2bl w:val="nil"/>
                  </w:tcBorders>
                  <w:noWrap w:val="0"/>
                  <w:vAlign w:val="center"/>
                </w:tcPr>
                <w:p w14:paraId="144D7169">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3E30FB92">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48EF8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21312C44">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7FFBFC8F">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3.加强环境影响跟踪监测，建立健全各环境要素监控体系，完善并落实园区日常环境监测与污染源监控计划。</w:t>
                  </w:r>
                </w:p>
              </w:tc>
              <w:tc>
                <w:tcPr>
                  <w:tcW w:w="1407" w:type="pct"/>
                  <w:vMerge w:val="continue"/>
                  <w:tcBorders>
                    <w:tl2br w:val="nil"/>
                    <w:tr2bl w:val="nil"/>
                  </w:tcBorders>
                  <w:noWrap w:val="0"/>
                  <w:vAlign w:val="center"/>
                </w:tcPr>
                <w:p w14:paraId="1EE41B4C">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6732C94B">
                  <w:pPr>
                    <w:pStyle w:val="79"/>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5E040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tcBorders>
                    <w:tl2br w:val="nil"/>
                    <w:tr2bl w:val="nil"/>
                  </w:tcBorders>
                  <w:noWrap w:val="0"/>
                  <w:vAlign w:val="center"/>
                </w:tcPr>
                <w:p w14:paraId="54ADD52C">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资源开发效率要求</w:t>
                  </w:r>
                </w:p>
              </w:tc>
              <w:tc>
                <w:tcPr>
                  <w:tcW w:w="2410" w:type="pct"/>
                  <w:tcBorders>
                    <w:tl2br w:val="nil"/>
                    <w:tr2bl w:val="nil"/>
                  </w:tcBorders>
                  <w:noWrap w:val="0"/>
                  <w:vAlign w:val="center"/>
                </w:tcPr>
                <w:p w14:paraId="649A809D">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1.大力倡导使用清洁能源。</w:t>
                  </w:r>
                </w:p>
              </w:tc>
              <w:tc>
                <w:tcPr>
                  <w:tcW w:w="1407" w:type="pct"/>
                  <w:vMerge w:val="restart"/>
                  <w:tcBorders>
                    <w:tl2br w:val="nil"/>
                    <w:tr2bl w:val="nil"/>
                  </w:tcBorders>
                  <w:noWrap w:val="0"/>
                  <w:vAlign w:val="center"/>
                </w:tcPr>
                <w:p w14:paraId="7B517B33">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本项目使用清洁能源电力；项目无燃煤设施。</w:t>
                  </w:r>
                </w:p>
              </w:tc>
              <w:tc>
                <w:tcPr>
                  <w:tcW w:w="512" w:type="pct"/>
                  <w:vMerge w:val="restart"/>
                  <w:tcBorders>
                    <w:tl2br w:val="nil"/>
                    <w:tr2bl w:val="nil"/>
                  </w:tcBorders>
                  <w:noWrap w:val="0"/>
                  <w:vAlign w:val="center"/>
                </w:tcPr>
                <w:p w14:paraId="486AD2C6">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9F3B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5B34506C">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53BEE6C2">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2.提升废水资源化技术，提高水资源回用率。</w:t>
                  </w:r>
                </w:p>
              </w:tc>
              <w:tc>
                <w:tcPr>
                  <w:tcW w:w="1407" w:type="pct"/>
                  <w:vMerge w:val="continue"/>
                  <w:tcBorders>
                    <w:tl2br w:val="nil"/>
                    <w:tr2bl w:val="nil"/>
                  </w:tcBorders>
                  <w:noWrap w:val="0"/>
                  <w:vAlign w:val="center"/>
                </w:tcPr>
                <w:p w14:paraId="3AEA1851">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0CF040B1">
                  <w:pPr>
                    <w:pStyle w:val="79"/>
                    <w:rPr>
                      <w:rFonts w:hint="default" w:ascii="Times New Roman" w:hAnsi="Times New Roman" w:eastAsia="宋体" w:cs="Times New Roman"/>
                      <w:color w:val="000000" w:themeColor="text1"/>
                      <w:sz w:val="21"/>
                      <w:szCs w:val="21"/>
                      <w14:textFill>
                        <w14:solidFill>
                          <w14:schemeClr w14:val="tx1"/>
                        </w14:solidFill>
                      </w14:textFill>
                    </w:rPr>
                  </w:pPr>
                </w:p>
              </w:tc>
            </w:tr>
            <w:tr w14:paraId="33389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tcBorders>
                    <w:tl2br w:val="nil"/>
                    <w:tr2bl w:val="nil"/>
                  </w:tcBorders>
                  <w:noWrap w:val="0"/>
                  <w:vAlign w:val="center"/>
                </w:tcPr>
                <w:p w14:paraId="51778399">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2410" w:type="pct"/>
                  <w:tcBorders>
                    <w:tl2br w:val="nil"/>
                    <w:tr2bl w:val="nil"/>
                  </w:tcBorders>
                  <w:noWrap w:val="0"/>
                  <w:vAlign w:val="center"/>
                </w:tcPr>
                <w:p w14:paraId="04C45549">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3.严禁自建燃煤设施。</w:t>
                  </w:r>
                </w:p>
              </w:tc>
              <w:tc>
                <w:tcPr>
                  <w:tcW w:w="1407" w:type="pct"/>
                  <w:vMerge w:val="continue"/>
                  <w:tcBorders>
                    <w:tl2br w:val="nil"/>
                    <w:tr2bl w:val="nil"/>
                  </w:tcBorders>
                  <w:noWrap w:val="0"/>
                  <w:vAlign w:val="center"/>
                </w:tcPr>
                <w:p w14:paraId="13026CEE">
                  <w:pPr>
                    <w:pStyle w:val="79"/>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vMerge w:val="continue"/>
                  <w:tcBorders>
                    <w:tl2br w:val="nil"/>
                    <w:tr2bl w:val="nil"/>
                  </w:tcBorders>
                  <w:noWrap w:val="0"/>
                  <w:vAlign w:val="center"/>
                </w:tcPr>
                <w:p w14:paraId="1C1B980B">
                  <w:pPr>
                    <w:pStyle w:val="79"/>
                    <w:rPr>
                      <w:rFonts w:hint="default" w:ascii="Times New Roman" w:hAnsi="Times New Roman" w:eastAsia="宋体" w:cs="Times New Roman"/>
                      <w:color w:val="000000" w:themeColor="text1"/>
                      <w:sz w:val="21"/>
                      <w:szCs w:val="21"/>
                      <w14:textFill>
                        <w14:solidFill>
                          <w14:schemeClr w14:val="tx1"/>
                        </w14:solidFill>
                      </w14:textFill>
                    </w:rPr>
                  </w:pPr>
                </w:p>
              </w:tc>
            </w:tr>
          </w:tbl>
          <w:p w14:paraId="7FE4D51B">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综上，本项目与常州市“三线一单”生态环境分区管控实施方案相关要求相符。</w:t>
            </w:r>
          </w:p>
          <w:p w14:paraId="493E9E1B">
            <w:pPr>
              <w:spacing w:line="360" w:lineRule="auto"/>
              <w:ind w:firstLine="482" w:firstLineChars="200"/>
              <w:jc w:val="both"/>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、“三线一单”符合性分析</w:t>
            </w:r>
          </w:p>
          <w:p w14:paraId="0C173667">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（1）生态保护红线</w:t>
            </w:r>
          </w:p>
          <w:p w14:paraId="183F0240">
            <w:pPr>
              <w:spacing w:line="360" w:lineRule="auto"/>
              <w:ind w:firstLine="480" w:firstLineChars="200"/>
              <w:jc w:val="both"/>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根据《省政府关于印发江苏省生态空间管控区域规划的通知》（苏政发</w:t>
            </w:r>
            <w:r>
              <w:rPr>
                <w:rFonts w:hint="eastAsia" w:ascii="Times New Roman" w:hAnsi="Times New Roman" w:eastAsia="宋体" w:cs="Times New Roman"/>
                <w:bCs/>
                <w:color w:val="000000" w:themeColor="text1"/>
                <w:sz w:val="24"/>
                <w:lang w:eastAsia="zh-CN"/>
                <w14:textFill>
                  <w14:solidFill>
                    <w14:schemeClr w14:val="tx1"/>
                  </w14:solidFill>
                </w14:textFill>
              </w:rPr>
              <w:t>〔2020〕1号</w:t>
            </w:r>
            <w:r>
              <w:rPr>
                <w:rFonts w:hint="default" w:ascii="Times New Roman" w:hAnsi="Times New Roman" w:eastAsia="宋体" w:cs="Times New Roman"/>
                <w:bCs/>
                <w:color w:val="000000" w:themeColor="text1"/>
                <w:sz w:val="24"/>
                <w14:textFill>
                  <w14:solidFill>
                    <w14:schemeClr w14:val="tx1"/>
                  </w14:solidFill>
                </w14:textFill>
              </w:rPr>
              <w:t>）和《江苏省国家级生态保护红线规划》（苏政发</w:t>
            </w:r>
            <w:r>
              <w:rPr>
                <w:rFonts w:hint="eastAsia" w:ascii="Times New Roman" w:hAnsi="Times New Roman" w:eastAsia="宋体" w:cs="Times New Roman"/>
                <w:bCs/>
                <w:color w:val="000000" w:themeColor="text1"/>
                <w:sz w:val="24"/>
                <w:lang w:eastAsia="zh-CN"/>
                <w14:textFill>
                  <w14:solidFill>
                    <w14:schemeClr w14:val="tx1"/>
                  </w14:solidFill>
                </w14:textFill>
              </w:rPr>
              <w:t>〔2018〕74号</w:t>
            </w:r>
            <w:r>
              <w:rPr>
                <w:rFonts w:hint="default" w:ascii="Times New Roman" w:hAnsi="Times New Roman" w:eastAsia="宋体" w:cs="Times New Roman"/>
                <w:bCs/>
                <w:color w:val="000000" w:themeColor="text1"/>
                <w:sz w:val="24"/>
                <w14:textFill>
                  <w14:solidFill>
                    <w14:schemeClr w14:val="tx1"/>
                  </w14:solidFill>
                </w14:textFill>
              </w:rPr>
              <w:t>），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省政府关于印发江苏省生态空间管控区域规划的通知》（苏政发〔2020〕1号）和《江苏省国家级生态保护红线规划》（苏政发</w:t>
            </w:r>
            <w:r>
              <w:rPr>
                <w:rFonts w:hint="eastAsia" w:ascii="Times New Roman" w:hAnsi="Times New Roman" w:eastAsia="宋体" w:cs="Times New Roman"/>
                <w:bCs/>
                <w:color w:val="000000" w:themeColor="text1"/>
                <w:sz w:val="24"/>
                <w:lang w:eastAsia="zh-CN"/>
                <w14:textFill>
                  <w14:solidFill>
                    <w14:schemeClr w14:val="tx1"/>
                  </w14:solidFill>
                </w14:textFill>
              </w:rPr>
              <w:t>〔2018〕74号</w:t>
            </w:r>
            <w:r>
              <w:rPr>
                <w:rFonts w:hint="default" w:ascii="Times New Roman" w:hAnsi="Times New Roman" w:eastAsia="宋体" w:cs="Times New Roman"/>
                <w:bCs/>
                <w:color w:val="000000" w:themeColor="text1"/>
                <w:sz w:val="24"/>
                <w14:textFill>
                  <w14:solidFill>
                    <w14:schemeClr w14:val="tx1"/>
                  </w14:solidFill>
                </w14:textFill>
              </w:rPr>
              <w:t>）相关要求。</w:t>
            </w:r>
          </w:p>
          <w:p w14:paraId="27EA394B">
            <w:pPr>
              <w:spacing w:line="360" w:lineRule="auto"/>
              <w:ind w:firstLine="480" w:firstLineChars="200"/>
              <w:jc w:val="both"/>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（2）环境质量底线</w:t>
            </w:r>
          </w:p>
          <w:p w14:paraId="3E129EE0">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环境空气：根据《202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年常州市生态环境状况公报》，</w:t>
            </w:r>
            <w:r>
              <w:rPr>
                <w:rFonts w:hint="default" w:ascii="Times New Roman" w:hAnsi="Times New Roman" w:eastAsia="宋体" w:cs="Times New Roman"/>
                <w:color w:val="000000" w:themeColor="text1"/>
                <w:sz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14:textFill>
                  <w14:solidFill>
                    <w14:schemeClr w14:val="tx1"/>
                  </w14:solidFill>
                </w14:textFill>
              </w:rPr>
              <w:t>年常州市环境空气中SO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年平均值及SO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日平均值均满足《环境空气质量标准》（GB3095-2012）中二级标准，NO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日平均值浓度达标率满足评价要求；</w:t>
            </w:r>
            <w:r>
              <w:rPr>
                <w:rFonts w:hint="default" w:ascii="Times New Roman" w:hAnsi="Times New Roman" w:eastAsia="宋体" w:cs="Times New Roman"/>
                <w:color w:val="000000" w:themeColor="text1"/>
                <w:sz w:val="24"/>
                <w14:textFill>
                  <w14:solidFill>
                    <w14:schemeClr w14:val="tx1"/>
                  </w14:solidFill>
                </w14:textFill>
              </w:rPr>
              <w:t>CO的日均值的第95百分位数及日平均值浓度范围满足《环境空气质量标准》（GB3095-2012）中二级标准，PM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日均值</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日最大8小时滑动平均值的第90百分位数</w:t>
            </w:r>
            <w:r>
              <w:rPr>
                <w:rFonts w:hint="default" w:ascii="Times New Roman" w:hAnsi="Times New Roman" w:eastAsia="宋体" w:cs="Times New Roman"/>
                <w:color w:val="000000" w:themeColor="text1"/>
                <w:sz w:val="24"/>
                <w:lang w:val="en-US" w:eastAsia="zh-CN"/>
                <w14:textFill>
                  <w14:solidFill>
                    <w14:schemeClr w14:val="tx1"/>
                  </w14:solidFill>
                </w14:textFill>
              </w:rPr>
              <w:t>及日平均值浓度范围</w:t>
            </w:r>
            <w:r>
              <w:rPr>
                <w:rFonts w:hint="default" w:ascii="Times New Roman" w:hAnsi="Times New Roman" w:eastAsia="宋体" w:cs="Times New Roman"/>
                <w:color w:val="000000" w:themeColor="text1"/>
                <w:sz w:val="24"/>
                <w14:textFill>
                  <w14:solidFill>
                    <w14:schemeClr w14:val="tx1"/>
                  </w14:solidFill>
                </w14:textFill>
              </w:rPr>
              <w:t>超过《环境空气质量标准》（GB3095-2012）中二级标准，因此判定为非达标区域。</w:t>
            </w:r>
          </w:p>
          <w:p w14:paraId="1DBBC29D">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常州市目前尚未制定大气环境质量限期达标规划，为深入打好蓝天保卫战，持续改善全市环境空气质量，常州市制定了《常州市深入打好污染防治攻坚战专项行动方案》。明确工作目标为全市PM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浓度不超过31微克/立方米，优良天数比率不低于80.0%，臭氧污染得到初步遏制</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地表水国考、省考、市考断面优Ⅲ比例分别达80%、92.2%和92.4%，国考、省考断面优Ⅱ比例分别达35%和47.1%，市考以上断面消除劣V类，集中式饮用水水源地水质均达到或优于Ⅲ类，高质量实现太湖治理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两保两提</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目标；受污染耕地安全利用率达93%，重点建设用地安全利用得到有效保障。重点工程氮氧化物、挥发性有机物（VOCs）、化学需氧量、氨氮累计减排量5207吨、4856吨、3993吨、225吨。生态质量指数持续提升，林木覆盖率达26.8%，湿地保护率达31.8%。</w:t>
            </w:r>
          </w:p>
          <w:p w14:paraId="556A739B">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水环境：本项目建成后污水受纳水体尧塘河2个断面各监测因子均能满足《地表水环境质量标准》（GB3838-2002）III类水标准要求。</w:t>
            </w:r>
          </w:p>
          <w:p w14:paraId="727ADF17">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该项目运营过程中会产生一定的污染物，如废气、污水、固废，采取相应的污染防治措施后，在达标的基础上选用处理效率和可靠性高的处理工艺。设备生产噪声在采取隔声、减振措施后厂界可达标；本项目</w:t>
            </w:r>
            <w:r>
              <w:rPr>
                <w:rFonts w:hint="default" w:ascii="Times New Roman" w:hAnsi="Times New Roman" w:eastAsia="宋体" w:cs="Times New Roman"/>
                <w:color w:val="000000" w:themeColor="text1"/>
                <w:sz w:val="24"/>
                <w:lang w:val="en-US" w:eastAsia="zh-CN"/>
                <w14:textFill>
                  <w14:solidFill>
                    <w14:schemeClr w14:val="tx1"/>
                  </w14:solidFill>
                </w14:textFill>
              </w:rPr>
              <w:t>酸洗、铜保护工序产生的废气经集气设施收集+</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除雾器+</w:t>
            </w:r>
            <w:r>
              <w:rPr>
                <w:rFonts w:hint="eastAsia" w:ascii="Times New Roman" w:hAnsi="Times New Roman" w:eastAsia="宋体" w:cs="Times New Roman"/>
                <w:color w:val="000000" w:themeColor="text1"/>
                <w:sz w:val="24"/>
                <w:lang w:val="en-US" w:eastAsia="zh-CN"/>
                <w14:textFill>
                  <w14:solidFill>
                    <w14:schemeClr w14:val="tx1"/>
                  </w14:solidFill>
                </w14:textFill>
              </w:rPr>
              <w:t>碱喷淋塔+除雾器+二级活性炭吸附装置</w:t>
            </w:r>
            <w:r>
              <w:rPr>
                <w:rFonts w:hint="default" w:ascii="Times New Roman" w:hAnsi="Times New Roman" w:eastAsia="宋体" w:cs="Times New Roman"/>
                <w:color w:val="000000" w:themeColor="text1"/>
                <w:sz w:val="24"/>
                <w:lang w:val="en-US" w:eastAsia="zh-CN"/>
                <w14:textFill>
                  <w14:solidFill>
                    <w14:schemeClr w14:val="tx1"/>
                  </w14:solidFill>
                </w14:textFill>
              </w:rPr>
              <w:t>处理后通过20m排气筒排放</w:t>
            </w:r>
            <w:r>
              <w:rPr>
                <w:rFonts w:hint="default" w:ascii="Times New Roman" w:hAnsi="Times New Roman" w:eastAsia="宋体" w:cs="Times New Roman"/>
                <w:color w:val="000000" w:themeColor="text1"/>
                <w:sz w:val="24"/>
                <w14:textFill>
                  <w14:solidFill>
                    <w14:schemeClr w14:val="tx1"/>
                  </w14:solidFill>
                </w14:textFill>
              </w:rPr>
              <w:t>。污染物排放量较低，对大气环境影响较小；生活污水接管至常州金坛区第二污水处理有限公司集中处理；固体废物均按照要求委托相关单位进行妥善处置。上述措施确保拟建项目污染物排放对环境的影响降到最低，不会突破环境质量底线，改变区域环境功能区。</w:t>
            </w:r>
          </w:p>
          <w:p w14:paraId="5AFC43AC">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（3）资源利用上线</w:t>
            </w:r>
          </w:p>
          <w:p w14:paraId="710C98B6">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购置</w:t>
            </w:r>
            <w:r>
              <w:rPr>
                <w:rFonts w:hint="default" w:ascii="Times New Roman" w:hAnsi="Times New Roman" w:eastAsia="宋体" w:cs="Times New Roman"/>
                <w:color w:val="000000" w:themeColor="text1"/>
                <w:sz w:val="24"/>
                <w:lang w:val="en-US" w:eastAsia="zh-CN"/>
                <w14:textFill>
                  <w14:solidFill>
                    <w14:schemeClr w14:val="tx1"/>
                  </w14:solidFill>
                </w14:textFill>
              </w:rPr>
              <w:t>现有空置</w:t>
            </w:r>
            <w:r>
              <w:rPr>
                <w:rFonts w:hint="default" w:ascii="Times New Roman" w:hAnsi="Times New Roman" w:eastAsia="宋体" w:cs="Times New Roman"/>
                <w:color w:val="000000" w:themeColor="text1"/>
                <w:sz w:val="24"/>
                <w14:textFill>
                  <w14:solidFill>
                    <w14:schemeClr w14:val="tx1"/>
                  </w14:solidFill>
                </w14:textFill>
              </w:rPr>
              <w:t>厂房进行生产，所用的资源主要为水资源和电能，项目所在地水资源丰富，耗电量不大，不会达到资源利用上线；项目占地符合当地规划要求，亦不会达到资源利用上线。</w:t>
            </w:r>
          </w:p>
          <w:p w14:paraId="3DF3C140">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（4）环境准入负面清单</w:t>
            </w:r>
          </w:p>
          <w:p w14:paraId="3F6758BF">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项目所在地</w:t>
            </w:r>
            <w:r>
              <w:rPr>
                <w:rFonts w:hint="eastAsia" w:ascii="Times New Roman" w:hAnsi="Times New Roman" w:eastAsia="宋体" w:cs="Times New Roman"/>
                <w:color w:val="000000" w:themeColor="text1"/>
                <w:sz w:val="24"/>
                <w:lang w:val="en-US" w:eastAsia="zh-CN"/>
                <w14:textFill>
                  <w14:solidFill>
                    <w14:schemeClr w14:val="tx1"/>
                  </w14:solidFill>
                </w14:textFill>
              </w:rPr>
              <w:t>位于金坛经济开发区，根据金坛经济开发区禁止项目清单相符性分析（见表1-2）本项目</w:t>
            </w:r>
            <w:r>
              <w:rPr>
                <w:rFonts w:hint="default" w:ascii="Times New Roman" w:hAnsi="Times New Roman" w:eastAsia="宋体" w:cs="Times New Roman"/>
                <w:bCs/>
                <w:color w:val="000000" w:themeColor="text1"/>
                <w:sz w:val="24"/>
                <w:szCs w:val="24"/>
                <w14:textFill>
                  <w14:solidFill>
                    <w14:schemeClr w14:val="tx1"/>
                  </w14:solidFill>
                </w14:textFill>
              </w:rPr>
              <w:t>不属于</w:t>
            </w:r>
            <w:r>
              <w:rPr>
                <w:rFonts w:hint="eastAsia" w:ascii="Times New Roman" w:hAnsi="Times New Roman" w:eastAsia="宋体" w:cs="Times New Roman"/>
                <w:color w:val="000000" w:themeColor="text1"/>
                <w:sz w:val="24"/>
                <w:lang w:val="en-US" w:eastAsia="zh-CN"/>
                <w14:textFill>
                  <w14:solidFill>
                    <w14:schemeClr w14:val="tx1"/>
                  </w14:solidFill>
                </w14:textFill>
              </w:rPr>
              <w:t>金坛经济开发区</w:t>
            </w:r>
            <w:r>
              <w:rPr>
                <w:rFonts w:hint="default" w:ascii="Times New Roman" w:hAnsi="Times New Roman" w:eastAsia="宋体" w:cs="Times New Roman"/>
                <w:bCs/>
                <w:color w:val="000000" w:themeColor="text1"/>
                <w:sz w:val="24"/>
                <w:szCs w:val="24"/>
                <w14:textFill>
                  <w14:solidFill>
                    <w14:schemeClr w14:val="tx1"/>
                  </w14:solidFill>
                </w14:textFill>
              </w:rPr>
              <w:t>规定的禁止建设类项目</w:t>
            </w:r>
            <w:r>
              <w:rPr>
                <w:rFonts w:hint="default" w:ascii="Times New Roman" w:hAnsi="Times New Roman" w:eastAsia="宋体" w:cs="Times New Roman"/>
                <w:color w:val="000000" w:themeColor="text1"/>
                <w:sz w:val="24"/>
                <w14:textFill>
                  <w14:solidFill>
                    <w14:schemeClr w14:val="tx1"/>
                  </w14:solidFill>
                </w14:textFill>
              </w:rPr>
              <w:t>，本项目符合国家及地方产业政策。</w:t>
            </w:r>
          </w:p>
          <w:p w14:paraId="0DC14B9C">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综上所述，本项目符合“三线一单”要求。</w:t>
            </w:r>
          </w:p>
          <w:p w14:paraId="764DE67A">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14:textFill>
                  <w14:solidFill>
                    <w14:schemeClr w14:val="tx1"/>
                  </w14:solidFill>
                </w14:textFill>
              </w:rPr>
              <w:t>、与太湖流域环境政策相符性分析</w:t>
            </w:r>
          </w:p>
          <w:p w14:paraId="0D8B890C">
            <w:pPr>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14:textFill>
                  <w14:solidFill>
                    <w14:schemeClr w14:val="tx1"/>
                  </w14:solidFill>
                </w14:textFill>
              </w:rPr>
              <w:t xml:space="preserve">  与《太湖流域管理条例》、《江苏省太湖水污染防治条例》、《江苏省太湖流域水环境综合治理规划（2021-2035年）》相符性分析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20"/>
              <w:gridCol w:w="77"/>
              <w:gridCol w:w="5049"/>
              <w:gridCol w:w="2166"/>
              <w:gridCol w:w="595"/>
            </w:tblGrid>
            <w:tr w14:paraId="689334F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vAlign w:val="center"/>
                </w:tcPr>
                <w:p w14:paraId="34BC1082">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《太湖流域管理条例》相关要求</w:t>
                  </w:r>
                </w:p>
              </w:tc>
              <w:tc>
                <w:tcPr>
                  <w:tcW w:w="1288" w:type="pct"/>
                  <w:vAlign w:val="center"/>
                </w:tcPr>
                <w:p w14:paraId="283AC0C1">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相符性分析</w:t>
                  </w:r>
                </w:p>
              </w:tc>
              <w:tc>
                <w:tcPr>
                  <w:tcW w:w="354" w:type="pct"/>
                  <w:vAlign w:val="center"/>
                </w:tcPr>
                <w:p w14:paraId="30C4D2EA">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w:t>
                  </w:r>
                </w:p>
              </w:tc>
            </w:tr>
            <w:tr w14:paraId="26F3815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7AFA3244">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第二十八条</w:t>
                  </w:r>
                </w:p>
              </w:tc>
              <w:tc>
                <w:tcPr>
                  <w:tcW w:w="3047" w:type="pct"/>
                  <w:gridSpan w:val="2"/>
                  <w:vAlign w:val="center"/>
                </w:tcPr>
                <w:p w14:paraId="3B27C812">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排污单位排放水污染物，不得超过经核定的水污染物排放总量，并应当按照规定设置便于检查、采样的规范化排污口，悬挂标志牌；不得私设暗管或者采取其他规避监管的方式排放水污染物。</w:t>
                  </w:r>
                </w:p>
                <w:p w14:paraId="1DF0D80A">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禁止在太湖流域设置不符合国家产业政策和水环境综合治理要求的造纸、制革、酒精、淀粉、冶金、酿造、印染、电镀等排放水污染物的生产项目，现有的生产项目不能实现达标排放的，应当依法关闭。</w:t>
                  </w:r>
                </w:p>
                <w:p w14:paraId="0B4104A5">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在太湖流域新设企业应当符合国家规定的清洁生产要求，现有的企业尚未达到清洁生产要求的，应当按照清洁生产规划要求进行技术改造，两省一市人民政府应当加强监督检查。</w:t>
                  </w:r>
                </w:p>
              </w:tc>
              <w:tc>
                <w:tcPr>
                  <w:tcW w:w="1288" w:type="pct"/>
                  <w:vAlign w:val="center"/>
                </w:tcPr>
                <w:p w14:paraId="0E32EA02">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1"/>
                      <w:szCs w:val="21"/>
                      <w14:textFill>
                        <w14:solidFill>
                          <w14:schemeClr w14:val="tx1"/>
                        </w14:solidFill>
                      </w14:textFill>
                    </w:rPr>
                    <w:t>常州市金坛区第二污水处理厂处理，环评中已根据本项目情况核算水污染物排放总量，实际运营过程中不会超过该核定量；本项目为</w:t>
                  </w:r>
                  <w:r>
                    <w:rPr>
                      <w:rFonts w:hint="eastAsia" w:ascii="Times New Roman" w:hAnsi="Times New Roman" w:eastAsia="宋体" w:cs="Times New Roman"/>
                      <w:color w:val="000000" w:themeColor="text1"/>
                      <w:sz w:val="21"/>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1"/>
                      <w:szCs w:val="21"/>
                      <w14:textFill>
                        <w14:solidFill>
                          <w14:schemeClr w14:val="tx1"/>
                        </w14:solidFill>
                      </w14:textFill>
                    </w:rPr>
                    <w:t>，不属于上述禁止项目；项目建成后，将设置便于检查、采样的规范化排污口，悬挂标志牌，定期进行自行监测，监控废水排放达标情况；项目符合清洁生产要求。</w:t>
                  </w:r>
                </w:p>
              </w:tc>
              <w:tc>
                <w:tcPr>
                  <w:tcW w:w="354" w:type="pct"/>
                  <w:vAlign w:val="center"/>
                </w:tcPr>
                <w:p w14:paraId="2A13CABE">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317A9BA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36794548">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第二十九条</w:t>
                  </w:r>
                </w:p>
              </w:tc>
              <w:tc>
                <w:tcPr>
                  <w:tcW w:w="3047" w:type="pct"/>
                  <w:gridSpan w:val="2"/>
                  <w:vAlign w:val="center"/>
                </w:tcPr>
                <w:p w14:paraId="41F590D2">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新孟河、望虞河以外的其他主要入太湖河道，自河口1万米上溯至5万米河道岸线内及其岸线两侧各1000米范围内，禁止下列行为：</w:t>
                  </w:r>
                </w:p>
                <w:p w14:paraId="03FB7D55">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（一）新建、扩建化工、医药生产项目；</w:t>
                  </w:r>
                </w:p>
                <w:p w14:paraId="5127B180">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（二）新建、扩建污水集中处理设施排污口以外的排污口；</w:t>
                  </w:r>
                </w:p>
                <w:p w14:paraId="05F3E62D">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（三）扩大水产养殖规模。</w:t>
                  </w:r>
                </w:p>
              </w:tc>
              <w:tc>
                <w:tcPr>
                  <w:tcW w:w="1288" w:type="pct"/>
                  <w:vAlign w:val="center"/>
                </w:tcPr>
                <w:p w14:paraId="2AB09159">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sz w:val="21"/>
                      <w:szCs w:val="21"/>
                      <w14:textFill>
                        <w14:solidFill>
                          <w14:schemeClr w14:val="tx1"/>
                        </w14:solidFill>
                      </w14:textFill>
                    </w:rPr>
                    <w:t>，不在此范围内，不属于太湖流域禁止的行业项目，本项目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1"/>
                      <w:szCs w:val="21"/>
                      <w14:textFill>
                        <w14:solidFill>
                          <w14:schemeClr w14:val="tx1"/>
                        </w14:solidFill>
                      </w14:textFill>
                    </w:rPr>
                    <w:t>常州市金坛区第二污水处理厂集中处理</w:t>
                  </w:r>
                </w:p>
              </w:tc>
              <w:tc>
                <w:tcPr>
                  <w:tcW w:w="354" w:type="pct"/>
                  <w:vAlign w:val="center"/>
                </w:tcPr>
                <w:p w14:paraId="238001C7">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B54B56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19C1D1BD">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第三十条</w:t>
                  </w:r>
                </w:p>
              </w:tc>
              <w:tc>
                <w:tcPr>
                  <w:tcW w:w="3047" w:type="pct"/>
                  <w:gridSpan w:val="2"/>
                  <w:vAlign w:val="center"/>
                </w:tcPr>
                <w:p w14:paraId="4762B07A">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1540746B">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（一）设置剧毒物质、危险化学品的贮存、输送设施和废物回收场、垃圾场；</w:t>
                  </w:r>
                </w:p>
                <w:p w14:paraId="17D8664D">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（二）设置水上餐饮经营设施；</w:t>
                  </w:r>
                </w:p>
                <w:p w14:paraId="4396FAB9">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（三）新建、扩建高尔夫球场；</w:t>
                  </w:r>
                </w:p>
                <w:p w14:paraId="12754192">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（四）新建、扩建畜禽养殖场；</w:t>
                  </w:r>
                </w:p>
                <w:p w14:paraId="4C9CA5FC">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（五）新建、扩建向水体排放污染物的建设项目；</w:t>
                  </w:r>
                </w:p>
                <w:p w14:paraId="3AE59284">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（六）本条例第二十九条规定的行为。</w:t>
                  </w:r>
                </w:p>
                <w:p w14:paraId="0D253A53">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已经设置前款第一项、第二项规定设施的，当地县级人民政府应当责令拆除或者关闭。</w:t>
                  </w:r>
                </w:p>
              </w:tc>
              <w:tc>
                <w:tcPr>
                  <w:tcW w:w="1288" w:type="pct"/>
                  <w:vAlign w:val="center"/>
                </w:tcPr>
                <w:p w14:paraId="5ECAC51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sz w:val="21"/>
                      <w:szCs w:val="21"/>
                      <w14:textFill>
                        <w14:solidFill>
                          <w14:schemeClr w14:val="tx1"/>
                        </w14:solidFill>
                      </w14:textFill>
                    </w:rPr>
                    <w:t>，不在此范围内，不涉及所列禁止项目，本项目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1"/>
                      <w:szCs w:val="21"/>
                      <w14:textFill>
                        <w14:solidFill>
                          <w14:schemeClr w14:val="tx1"/>
                        </w14:solidFill>
                      </w14:textFill>
                    </w:rPr>
                    <w:t>常州市金坛区第二污水处理厂集中处理</w:t>
                  </w:r>
                </w:p>
              </w:tc>
              <w:tc>
                <w:tcPr>
                  <w:tcW w:w="354" w:type="pct"/>
                  <w:vAlign w:val="center"/>
                </w:tcPr>
                <w:p w14:paraId="4ED7458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199D07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64" w:hRule="atLeast"/>
                <w:jc w:val="center"/>
              </w:trPr>
              <w:tc>
                <w:tcPr>
                  <w:tcW w:w="3357" w:type="pct"/>
                  <w:gridSpan w:val="3"/>
                  <w:vAlign w:val="center"/>
                </w:tcPr>
                <w:p w14:paraId="539E3274">
                  <w:pPr>
                    <w:autoSpaceDE w:val="0"/>
                    <w:autoSpaceDN w:val="0"/>
                    <w:adjustRightInd w:val="0"/>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《江苏省太湖水污染防治条例》相关要求</w:t>
                  </w:r>
                </w:p>
              </w:tc>
              <w:tc>
                <w:tcPr>
                  <w:tcW w:w="1288" w:type="pct"/>
                  <w:vAlign w:val="center"/>
                </w:tcPr>
                <w:p w14:paraId="6A332F9D">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相符性分析</w:t>
                  </w:r>
                </w:p>
              </w:tc>
              <w:tc>
                <w:tcPr>
                  <w:tcW w:w="354" w:type="pct"/>
                  <w:vAlign w:val="center"/>
                </w:tcPr>
                <w:p w14:paraId="3009C5FD">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w:t>
                  </w:r>
                </w:p>
              </w:tc>
            </w:tr>
            <w:tr w14:paraId="3E51DC3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4F656050">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第四十三条</w:t>
                  </w:r>
                </w:p>
              </w:tc>
              <w:tc>
                <w:tcPr>
                  <w:tcW w:w="3047" w:type="pct"/>
                  <w:gridSpan w:val="2"/>
                  <w:vAlign w:val="center"/>
                </w:tcPr>
                <w:p w14:paraId="294C5D52">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太湖流域一、二、三级保护区禁止下列行为：</w:t>
                  </w:r>
                </w:p>
                <w:p w14:paraId="26E2F389">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（一）新建、改建、扩建化学制浆造纸、制革、酿造、染料、印染、电镀以及其他排放含磷、氮等污染物的企业和项目；</w:t>
                  </w:r>
                </w:p>
                <w:p w14:paraId="491272F2">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（二）销售、使用含磷洗涤用品；</w:t>
                  </w:r>
                </w:p>
                <w:p w14:paraId="4F14B3FC">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（三）向水体排放或者倾倒油类、酸液、碱液、剧毒废渣废液、含放射性废渣废液、含病原体污水、工业废渣以及其他废弃物；</w:t>
                  </w:r>
                </w:p>
                <w:p w14:paraId="7CE08BA2">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（四）在水体清洗装贮过油类或者有毒有害污染物的车辆、船舶和容器等；</w:t>
                  </w:r>
                </w:p>
                <w:p w14:paraId="0A02D1F5">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（五）使用农药等有毒物毒杀水生生物；</w:t>
                  </w:r>
                </w:p>
                <w:p w14:paraId="695C13B3">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（六）向水体直接排放人畜粪便、倾倒垃圾；</w:t>
                  </w:r>
                </w:p>
                <w:p w14:paraId="465CE42D">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（七）围湖造地；</w:t>
                  </w:r>
                </w:p>
                <w:p w14:paraId="39016388">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（八）违法开山采石，或者进行破坏林木、植被、水生生物的活动；</w:t>
                  </w:r>
                </w:p>
                <w:p w14:paraId="6B6C8C17">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（九）法律、法规禁止的其他行为。</w:t>
                  </w:r>
                </w:p>
              </w:tc>
              <w:tc>
                <w:tcPr>
                  <w:tcW w:w="1288" w:type="pct"/>
                  <w:vAlign w:val="center"/>
                </w:tcPr>
                <w:p w14:paraId="6E014FFB">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本项目位于太湖流域三级保护区范围内，本项目为</w:t>
                  </w:r>
                  <w:r>
                    <w:rPr>
                      <w:rFonts w:hint="eastAsia" w:ascii="Times New Roman" w:hAnsi="Times New Roman" w:eastAsia="宋体" w:cs="Times New Roman"/>
                      <w:color w:val="000000" w:themeColor="text1"/>
                      <w:sz w:val="21"/>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根据附件7电解脱脂剂磷含量检测报告，本项目电解脱脂剂不含磷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含氮、磷生产废水，生活污水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1"/>
                      <w:szCs w:val="21"/>
                      <w14:textFill>
                        <w14:solidFill>
                          <w14:schemeClr w14:val="tx1"/>
                        </w14:solidFill>
                      </w14:textFill>
                    </w:rPr>
                    <w:t>常州市金坛区第二污水处理厂集中处理，不直接向水体排放污染物；不属于所列禁止行为</w:t>
                  </w:r>
                </w:p>
              </w:tc>
              <w:tc>
                <w:tcPr>
                  <w:tcW w:w="354" w:type="pct"/>
                  <w:vAlign w:val="center"/>
                </w:tcPr>
                <w:p w14:paraId="1D686E89">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3BAA0A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5719F23B">
                  <w:pPr>
                    <w:autoSpaceDE w:val="0"/>
                    <w:autoSpaceDN w:val="0"/>
                    <w:adjustRightInd w:val="0"/>
                    <w:spacing w:line="0" w:lineRule="atLeas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第四十六条</w:t>
                  </w:r>
                </w:p>
              </w:tc>
              <w:tc>
                <w:tcPr>
                  <w:tcW w:w="3047" w:type="pct"/>
                  <w:gridSpan w:val="2"/>
                  <w:vAlign w:val="center"/>
                </w:tcPr>
                <w:p w14:paraId="1A080CBC">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246C1844">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028F83A0">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本条所指排放含磷、氮等污染物的战略性新兴产业具体类别，由省发展改革部门会同省经济和信息化、环境保护主管部门拟定并报省人民政府批准后公布。</w:t>
                  </w:r>
                </w:p>
                <w:p w14:paraId="469C788E">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8" w:type="pct"/>
                  <w:vAlign w:val="center"/>
                </w:tcPr>
                <w:p w14:paraId="5EEA94C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本项目位于太湖流域三级保护区范围内，本项目为</w:t>
                  </w:r>
                  <w:r>
                    <w:rPr>
                      <w:rFonts w:hint="eastAsia" w:ascii="Times New Roman" w:hAnsi="Times New Roman" w:eastAsia="宋体" w:cs="Times New Roman"/>
                      <w:color w:val="000000" w:themeColor="text1"/>
                      <w:sz w:val="21"/>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1"/>
                      <w:szCs w:val="21"/>
                      <w14:textFill>
                        <w14:solidFill>
                          <w14:schemeClr w14:val="tx1"/>
                        </w14:solidFill>
                      </w14:textFill>
                    </w:rPr>
                    <w:t>常州市金坛区第二污水处理厂集中处理</w:t>
                  </w:r>
                </w:p>
              </w:tc>
              <w:tc>
                <w:tcPr>
                  <w:tcW w:w="354" w:type="pct"/>
                  <w:vAlign w:val="center"/>
                </w:tcPr>
                <w:p w14:paraId="63B2C00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7B17178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357" w:type="pct"/>
                  <w:gridSpan w:val="3"/>
                  <w:vAlign w:val="center"/>
                </w:tcPr>
                <w:p w14:paraId="1C0A0EAF">
                  <w:pPr>
                    <w:autoSpaceDE w:val="0"/>
                    <w:autoSpaceDN w:val="0"/>
                    <w:adjustRightInd w:val="0"/>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《江苏省太湖流域水环境综合治理规划（2021-2035年）》</w:t>
                  </w:r>
                </w:p>
                <w:p w14:paraId="5C811F39">
                  <w:pPr>
                    <w:autoSpaceDE w:val="0"/>
                    <w:autoSpaceDN w:val="0"/>
                    <w:adjustRightInd w:val="0"/>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（苏政办发</w:t>
                  </w:r>
                  <w:r>
                    <w:rPr>
                      <w:rFonts w:hint="eastAsia" w:ascii="Times New Roman" w:hAnsi="Times New Roman" w:eastAsia="宋体" w:cs="Times New Roman"/>
                      <w:b/>
                      <w:color w:val="000000" w:themeColor="text1"/>
                      <w:sz w:val="21"/>
                      <w:szCs w:val="21"/>
                      <w:lang w:eastAsia="zh-CN"/>
                      <w14:textFill>
                        <w14:solidFill>
                          <w14:schemeClr w14:val="tx1"/>
                        </w14:solidFill>
                      </w14:textFill>
                    </w:rPr>
                    <w:t>〔2022〕74号</w:t>
                  </w:r>
                  <w:r>
                    <w:rPr>
                      <w:rFonts w:hint="default" w:ascii="Times New Roman" w:hAnsi="Times New Roman" w:eastAsia="宋体" w:cs="Times New Roman"/>
                      <w:b/>
                      <w:color w:val="000000" w:themeColor="text1"/>
                      <w:sz w:val="21"/>
                      <w:szCs w:val="21"/>
                      <w14:textFill>
                        <w14:solidFill>
                          <w14:schemeClr w14:val="tx1"/>
                        </w14:solidFill>
                      </w14:textFill>
                    </w:rPr>
                    <w:t>）相关要求</w:t>
                  </w:r>
                </w:p>
              </w:tc>
              <w:tc>
                <w:tcPr>
                  <w:tcW w:w="1288" w:type="pct"/>
                  <w:vAlign w:val="center"/>
                </w:tcPr>
                <w:p w14:paraId="6567681E">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相符性分析</w:t>
                  </w:r>
                </w:p>
              </w:tc>
              <w:tc>
                <w:tcPr>
                  <w:tcW w:w="354" w:type="pct"/>
                  <w:vAlign w:val="center"/>
                </w:tcPr>
                <w:p w14:paraId="185AAD18">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相符性</w:t>
                  </w:r>
                </w:p>
              </w:tc>
            </w:tr>
            <w:tr w14:paraId="7A131F2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55" w:type="pct"/>
                  <w:gridSpan w:val="2"/>
                  <w:vAlign w:val="center"/>
                </w:tcPr>
                <w:p w14:paraId="1A7A6EEF">
                  <w:pPr>
                    <w:autoSpaceDE w:val="0"/>
                    <w:autoSpaceDN w:val="0"/>
                    <w:adjustRightInd w:val="0"/>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强化工业污染综合治理</w:t>
                  </w:r>
                </w:p>
              </w:tc>
              <w:tc>
                <w:tcPr>
                  <w:tcW w:w="3001" w:type="pct"/>
                  <w:vAlign w:val="center"/>
                </w:tcPr>
                <w:p w14:paraId="5DAE2657">
                  <w:pPr>
                    <w:autoSpaceDE w:val="0"/>
                    <w:autoSpaceDN w:val="0"/>
                    <w:adjustRightInd w:val="0"/>
                    <w:spacing w:line="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500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DB32/1072-2018）一、二级保护区内主要水污染物排放限值开展提标改造。无锡市、常州市、苏州市加快推进工业废水与生活污水分类收集、分质处理到2024年实现应分尽分，全流域到2025年实现应分尽分。</w:t>
                  </w:r>
                </w:p>
              </w:tc>
              <w:tc>
                <w:tcPr>
                  <w:tcW w:w="1288" w:type="pct"/>
                  <w:vAlign w:val="center"/>
                </w:tcPr>
                <w:p w14:paraId="1DC4349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ascii="Times New Roman" w:hAnsi="Times New Roman" w:eastAsia="宋体" w:cs="Times New Roman"/>
                      <w:color w:val="000000" w:themeColor="text1"/>
                      <w:sz w:val="21"/>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无生产废水排放</w:t>
                  </w: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1"/>
                      <w:szCs w:val="21"/>
                      <w14:textFill>
                        <w14:solidFill>
                          <w14:schemeClr w14:val="tx1"/>
                        </w14:solidFill>
                      </w14:textFill>
                    </w:rPr>
                    <w:t>常州市金坛区第二污水处理厂集中处理；本项目实际生产前将依法进行排污许可证申请，做到持证排污、按证排污</w:t>
                  </w:r>
                </w:p>
              </w:tc>
              <w:tc>
                <w:tcPr>
                  <w:tcW w:w="354" w:type="pct"/>
                  <w:vAlign w:val="center"/>
                </w:tcPr>
                <w:p w14:paraId="6F50FA6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3CBDAF47">
            <w:pPr>
              <w:keepNext w:val="0"/>
              <w:keepLines w:val="0"/>
              <w:pageBreakBefore w:val="0"/>
              <w:widowControl w:val="0"/>
              <w:kinsoku/>
              <w:wordWrap/>
              <w:overflowPunct/>
              <w:topLinePunct w:val="0"/>
              <w:autoSpaceDE w:val="0"/>
              <w:autoSpaceDN w:val="0"/>
              <w:bidi w:val="0"/>
              <w:adjustRightInd w:val="0"/>
              <w:snapToGrid w:val="0"/>
              <w:spacing w:before="120" w:line="360" w:lineRule="auto"/>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14:textFill>
                  <w14:solidFill>
                    <w14:schemeClr w14:val="tx1"/>
                  </w14:solidFill>
                </w14:textFill>
              </w:rPr>
              <w:t>、与《长江经济带发展负面清单指南（试行，2022年版）》相符性分析</w:t>
            </w:r>
          </w:p>
          <w:p w14:paraId="1F4A1B71">
            <w:pPr>
              <w:jc w:val="center"/>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default" w:ascii="Times New Roman" w:hAnsi="Times New Roman" w:eastAsia="宋体" w:cs="Times New Roman"/>
                <w:b/>
                <w:color w:val="000000" w:themeColor="text1"/>
                <w:kern w:val="0"/>
                <w:sz w:val="24"/>
                <w:szCs w:val="24"/>
                <w14:textFill>
                  <w14:solidFill>
                    <w14:schemeClr w14:val="tx1"/>
                  </w14:solidFill>
                </w14:textFill>
              </w:rPr>
              <w:t>表1-</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color w:val="000000" w:themeColor="text1"/>
                <w:kern w:val="0"/>
                <w:sz w:val="24"/>
                <w:szCs w:val="24"/>
                <w14:textFill>
                  <w14:solidFill>
                    <w14:schemeClr w14:val="tx1"/>
                  </w14:solidFill>
                </w14:textFill>
              </w:rPr>
              <w:t xml:space="preserve">  与《长江经济带发展负面清单指南》相符性分析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6"/>
              <w:gridCol w:w="5187"/>
              <w:gridCol w:w="2714"/>
            </w:tblGrid>
            <w:tr w14:paraId="6904CD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B60A0F0">
                  <w:pPr>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序号</w:t>
                  </w:r>
                </w:p>
              </w:tc>
              <w:tc>
                <w:tcPr>
                  <w:tcW w:w="3084" w:type="pct"/>
                  <w:vAlign w:val="center"/>
                </w:tcPr>
                <w:p w14:paraId="084E71A5">
                  <w:pPr>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政策内容</w:t>
                  </w:r>
                </w:p>
              </w:tc>
              <w:tc>
                <w:tcPr>
                  <w:tcW w:w="1613" w:type="pct"/>
                  <w:vAlign w:val="center"/>
                </w:tcPr>
                <w:p w14:paraId="74B495A6">
                  <w:pPr>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相符性分析</w:t>
                  </w:r>
                </w:p>
              </w:tc>
            </w:tr>
            <w:tr w14:paraId="624F7A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2F3F808">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3084" w:type="pct"/>
                  <w:vAlign w:val="center"/>
                </w:tcPr>
                <w:p w14:paraId="00A46E90">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禁止建设不符合全国和省级港口布局规划以及港口总体规划的码头项目，禁止建设不符合《长江</w:t>
                  </w:r>
                  <w:r>
                    <w:rPr>
                      <w:rFonts w:hint="eastAsia" w:ascii="Times New Roman" w:hAnsi="Times New Roman" w:eastAsia="宋体" w:cs="Times New Roman"/>
                      <w:color w:val="000000" w:themeColor="text1"/>
                      <w:kern w:val="0"/>
                      <w:szCs w:val="21"/>
                      <w:lang w:eastAsia="zh-CN"/>
                      <w14:textFill>
                        <w14:solidFill>
                          <w14:schemeClr w14:val="tx1"/>
                        </w14:solidFill>
                      </w14:textFill>
                    </w:rPr>
                    <w:t>干线</w:t>
                  </w:r>
                  <w:r>
                    <w:rPr>
                      <w:rFonts w:hint="default" w:ascii="Times New Roman" w:hAnsi="Times New Roman" w:eastAsia="宋体" w:cs="Times New Roman"/>
                      <w:color w:val="000000" w:themeColor="text1"/>
                      <w:kern w:val="0"/>
                      <w:szCs w:val="21"/>
                      <w14:textFill>
                        <w14:solidFill>
                          <w14:schemeClr w14:val="tx1"/>
                        </w14:solidFill>
                      </w14:textFill>
                    </w:rPr>
                    <w:t>过江通道布局规划》的过长江通道项目。</w:t>
                  </w:r>
                </w:p>
              </w:tc>
              <w:tc>
                <w:tcPr>
                  <w:tcW w:w="1613" w:type="pct"/>
                  <w:vAlign w:val="center"/>
                </w:tcPr>
                <w:p w14:paraId="56A2E20E">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w:t>
                  </w:r>
                  <w:r>
                    <w:rPr>
                      <w:rFonts w:hint="eastAsia" w:ascii="Times New Roman" w:hAnsi="Times New Roman" w:eastAsia="宋体" w:cs="Times New Roman"/>
                      <w:color w:val="000000" w:themeColor="text1"/>
                      <w:kern w:val="0"/>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kern w:val="0"/>
                      <w:szCs w:val="21"/>
                      <w14:textFill>
                        <w14:solidFill>
                          <w14:schemeClr w14:val="tx1"/>
                        </w14:solidFill>
                      </w14:textFill>
                    </w:rPr>
                    <w:t>，不属于码头项目、长江通道项目</w:t>
                  </w:r>
                </w:p>
              </w:tc>
            </w:tr>
            <w:tr w14:paraId="0E55A7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B11C2FD">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w:t>
                  </w:r>
                </w:p>
              </w:tc>
              <w:tc>
                <w:tcPr>
                  <w:tcW w:w="3084" w:type="pct"/>
                  <w:vAlign w:val="center"/>
                </w:tcPr>
                <w:p w14:paraId="5CE5DD88">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613" w:type="pct"/>
                  <w:vAlign w:val="center"/>
                </w:tcPr>
                <w:p w14:paraId="41A21B5B">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本项目位于</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kern w:val="0"/>
                      <w:szCs w:val="21"/>
                      <w14:textFill>
                        <w14:solidFill>
                          <w14:schemeClr w14:val="tx1"/>
                        </w14:solidFill>
                      </w14:textFill>
                    </w:rPr>
                    <w:t>，不位于政策所述区域</w:t>
                  </w:r>
                </w:p>
              </w:tc>
            </w:tr>
            <w:tr w14:paraId="0FCE86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0B902FF">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w:t>
                  </w:r>
                </w:p>
              </w:tc>
              <w:tc>
                <w:tcPr>
                  <w:tcW w:w="3084" w:type="pct"/>
                  <w:vAlign w:val="center"/>
                </w:tcPr>
                <w:p w14:paraId="6087CD2D">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3" w:type="pct"/>
                  <w:vAlign w:val="center"/>
                </w:tcPr>
                <w:p w14:paraId="7D0280BA">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kern w:val="0"/>
                      <w:szCs w:val="21"/>
                      <w14:textFill>
                        <w14:solidFill>
                          <w14:schemeClr w14:val="tx1"/>
                        </w14:solidFill>
                      </w14:textFill>
                    </w:rPr>
                    <w:t>，不位于饮用水水源一级与二级保护区的岸线和河段范围内</w:t>
                  </w:r>
                </w:p>
              </w:tc>
            </w:tr>
            <w:tr w14:paraId="3570E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5CCDD39">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w:t>
                  </w:r>
                </w:p>
              </w:tc>
              <w:tc>
                <w:tcPr>
                  <w:tcW w:w="3084" w:type="pct"/>
                  <w:vAlign w:val="center"/>
                </w:tcPr>
                <w:p w14:paraId="78C5C30A">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3" w:type="pct"/>
                  <w:vAlign w:val="center"/>
                </w:tcPr>
                <w:p w14:paraId="0CEED684">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本项目位于</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kern w:val="0"/>
                      <w:szCs w:val="21"/>
                      <w14:textFill>
                        <w14:solidFill>
                          <w14:schemeClr w14:val="tx1"/>
                        </w14:solidFill>
                      </w14:textFill>
                    </w:rPr>
                    <w:t>，不位于政策所述区域</w:t>
                  </w:r>
                </w:p>
              </w:tc>
            </w:tr>
            <w:tr w14:paraId="5D0065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76AF53A">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5</w:t>
                  </w:r>
                </w:p>
              </w:tc>
              <w:tc>
                <w:tcPr>
                  <w:tcW w:w="3084" w:type="pct"/>
                  <w:vAlign w:val="center"/>
                </w:tcPr>
                <w:p w14:paraId="42B6B64B">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3" w:type="pct"/>
                  <w:vAlign w:val="center"/>
                </w:tcPr>
                <w:p w14:paraId="401B3065">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本项目位于</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kern w:val="0"/>
                      <w:szCs w:val="21"/>
                      <w14:textFill>
                        <w14:solidFill>
                          <w14:schemeClr w14:val="tx1"/>
                        </w14:solidFill>
                      </w14:textFill>
                    </w:rPr>
                    <w:t>，不位于政策所述区域</w:t>
                  </w:r>
                </w:p>
              </w:tc>
            </w:tr>
            <w:tr w14:paraId="3BAD7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4324200">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6</w:t>
                  </w:r>
                </w:p>
              </w:tc>
              <w:tc>
                <w:tcPr>
                  <w:tcW w:w="3084" w:type="pct"/>
                  <w:vAlign w:val="center"/>
                </w:tcPr>
                <w:p w14:paraId="67D14B1C">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禁止未经许可在长江干支流及湖泊新设、改设或扩大排污口。</w:t>
                  </w:r>
                </w:p>
              </w:tc>
              <w:tc>
                <w:tcPr>
                  <w:tcW w:w="1613" w:type="pct"/>
                  <w:vAlign w:val="center"/>
                </w:tcPr>
                <w:p w14:paraId="07617D6A">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本项目不涉及</w:t>
                  </w:r>
                </w:p>
              </w:tc>
            </w:tr>
            <w:tr w14:paraId="55064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2B5E8D9">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7</w:t>
                  </w:r>
                </w:p>
              </w:tc>
              <w:tc>
                <w:tcPr>
                  <w:tcW w:w="3084" w:type="pct"/>
                  <w:vAlign w:val="center"/>
                </w:tcPr>
                <w:p w14:paraId="0CB11DBB">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禁止在“一江一口两湖七河”和332个水生生物保护区开展生产性捕捞。</w:t>
                  </w:r>
                </w:p>
              </w:tc>
              <w:tc>
                <w:tcPr>
                  <w:tcW w:w="1613" w:type="pct"/>
                  <w:vAlign w:val="center"/>
                </w:tcPr>
                <w:p w14:paraId="2030C336">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本项目不涉及</w:t>
                  </w:r>
                </w:p>
              </w:tc>
            </w:tr>
            <w:tr w14:paraId="4BFACC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39104F5D">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8</w:t>
                  </w:r>
                </w:p>
              </w:tc>
              <w:tc>
                <w:tcPr>
                  <w:tcW w:w="3084" w:type="pct"/>
                  <w:vAlign w:val="center"/>
                </w:tcPr>
                <w:p w14:paraId="60007075">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3" w:type="pct"/>
                  <w:vAlign w:val="center"/>
                </w:tcPr>
                <w:p w14:paraId="088BFB90">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本项目为</w:t>
                  </w:r>
                  <w:r>
                    <w:rPr>
                      <w:rFonts w:hint="eastAsia" w:ascii="Times New Roman" w:hAnsi="Times New Roman" w:eastAsia="宋体" w:cs="Times New Roman"/>
                      <w:color w:val="000000" w:themeColor="text1"/>
                      <w:kern w:val="0"/>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kern w:val="0"/>
                      <w:szCs w:val="21"/>
                      <w14:textFill>
                        <w14:solidFill>
                          <w14:schemeClr w14:val="tx1"/>
                        </w14:solidFill>
                      </w14:textFill>
                    </w:rPr>
                    <w:t>，不属于政策中所述禁止项目</w:t>
                  </w:r>
                </w:p>
              </w:tc>
            </w:tr>
            <w:tr w14:paraId="5D4949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7394E3B">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9</w:t>
                  </w:r>
                </w:p>
              </w:tc>
              <w:tc>
                <w:tcPr>
                  <w:tcW w:w="3084" w:type="pct"/>
                  <w:vAlign w:val="center"/>
                </w:tcPr>
                <w:p w14:paraId="0D7711FE">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禁止在合规园区外新建、扩建钢铁、石化、化工、焦化、建材、有色、制浆造纸等高污染项目。</w:t>
                  </w:r>
                </w:p>
              </w:tc>
              <w:tc>
                <w:tcPr>
                  <w:tcW w:w="1613" w:type="pct"/>
                  <w:vAlign w:val="center"/>
                </w:tcPr>
                <w:p w14:paraId="35C49C9F">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本项目为</w:t>
                  </w:r>
                  <w:r>
                    <w:rPr>
                      <w:rFonts w:hint="eastAsia" w:ascii="Times New Roman" w:hAnsi="Times New Roman" w:eastAsia="宋体" w:cs="Times New Roman"/>
                      <w:color w:val="000000" w:themeColor="text1"/>
                      <w:kern w:val="0"/>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kern w:val="0"/>
                      <w:szCs w:val="21"/>
                      <w14:textFill>
                        <w14:solidFill>
                          <w14:schemeClr w14:val="tx1"/>
                        </w14:solidFill>
                      </w14:textFill>
                    </w:rPr>
                    <w:t>，不属于政策中所述禁止项目</w:t>
                  </w:r>
                </w:p>
              </w:tc>
            </w:tr>
            <w:tr w14:paraId="561875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D25583B">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c>
                <w:tcPr>
                  <w:tcW w:w="3084" w:type="pct"/>
                  <w:vAlign w:val="center"/>
                </w:tcPr>
                <w:p w14:paraId="2B16208C">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禁止新建、扩建不符合国家石化、现代煤化工等产业布局规划的项目。</w:t>
                  </w:r>
                </w:p>
              </w:tc>
              <w:tc>
                <w:tcPr>
                  <w:tcW w:w="1613" w:type="pct"/>
                  <w:vAlign w:val="center"/>
                </w:tcPr>
                <w:p w14:paraId="51758E14">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本项目为</w:t>
                  </w:r>
                  <w:r>
                    <w:rPr>
                      <w:rFonts w:hint="eastAsia" w:ascii="Times New Roman" w:hAnsi="Times New Roman" w:eastAsia="宋体" w:cs="Times New Roman"/>
                      <w:color w:val="000000" w:themeColor="text1"/>
                      <w:kern w:val="0"/>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kern w:val="0"/>
                      <w:szCs w:val="21"/>
                      <w14:textFill>
                        <w14:solidFill>
                          <w14:schemeClr w14:val="tx1"/>
                        </w14:solidFill>
                      </w14:textFill>
                    </w:rPr>
                    <w:t>，不属于政策中所述禁止项目</w:t>
                  </w:r>
                </w:p>
              </w:tc>
            </w:tr>
            <w:tr w14:paraId="0D2216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132361D">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11</w:t>
                  </w:r>
                </w:p>
              </w:tc>
              <w:tc>
                <w:tcPr>
                  <w:tcW w:w="3084" w:type="pct"/>
                  <w:vAlign w:val="center"/>
                </w:tcPr>
                <w:p w14:paraId="101A8E97">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613" w:type="pct"/>
                  <w:vAlign w:val="center"/>
                </w:tcPr>
                <w:p w14:paraId="1951D82D">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本项目为</w:t>
                  </w:r>
                  <w:r>
                    <w:rPr>
                      <w:rFonts w:hint="eastAsia" w:ascii="Times New Roman" w:hAnsi="Times New Roman" w:eastAsia="宋体" w:cs="Times New Roman"/>
                      <w:color w:val="000000" w:themeColor="text1"/>
                      <w:kern w:val="0"/>
                      <w:szCs w:val="21"/>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kern w:val="0"/>
                      <w:szCs w:val="21"/>
                      <w14:textFill>
                        <w14:solidFill>
                          <w14:schemeClr w14:val="tx1"/>
                        </w14:solidFill>
                      </w14:textFill>
                    </w:rPr>
                    <w:t>，不属于政策中所述禁止项目</w:t>
                  </w:r>
                </w:p>
              </w:tc>
            </w:tr>
            <w:tr w14:paraId="5FD0D8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E0DD22B">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12</w:t>
                  </w:r>
                </w:p>
              </w:tc>
              <w:tc>
                <w:tcPr>
                  <w:tcW w:w="3084" w:type="pct"/>
                  <w:vAlign w:val="center"/>
                </w:tcPr>
                <w:p w14:paraId="6BED9F29">
                  <w:pP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法律法规及相关政策文件有更加严格规定的从其规定。</w:t>
                  </w:r>
                </w:p>
              </w:tc>
              <w:tc>
                <w:tcPr>
                  <w:tcW w:w="1613" w:type="pct"/>
                  <w:vAlign w:val="center"/>
                </w:tcPr>
                <w:p w14:paraId="12E71867">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相符</w:t>
                  </w:r>
                </w:p>
              </w:tc>
            </w:tr>
          </w:tbl>
          <w:p w14:paraId="0C9B8EA6">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、与《江苏省水污染防治条例》相符性分析</w:t>
            </w:r>
          </w:p>
          <w:p w14:paraId="0C4C88D2">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表1-</w:t>
            </w:r>
            <w:r>
              <w:rPr>
                <w:rFonts w:hint="eastAsia" w:ascii="Times New Roman" w:hAnsi="Times New Roman" w:eastAsia="宋体"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14:textFill>
                  <w14:solidFill>
                    <w14:schemeClr w14:val="tx1"/>
                  </w14:solidFill>
                </w14:textFill>
              </w:rPr>
              <w:t xml:space="preserve">  与《江苏省水污染防治条例》的相符性分析</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858"/>
              <w:gridCol w:w="5404"/>
              <w:gridCol w:w="2145"/>
            </w:tblGrid>
            <w:tr w14:paraId="508458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46304561">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条款</w:t>
                  </w:r>
                </w:p>
              </w:tc>
              <w:tc>
                <w:tcPr>
                  <w:tcW w:w="3213" w:type="pct"/>
                  <w:vAlign w:val="center"/>
                </w:tcPr>
                <w:p w14:paraId="4520D08F">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内容</w:t>
                  </w:r>
                </w:p>
              </w:tc>
              <w:tc>
                <w:tcPr>
                  <w:tcW w:w="1275" w:type="pct"/>
                  <w:vAlign w:val="center"/>
                </w:tcPr>
                <w:p w14:paraId="5FA6243F">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对照分析</w:t>
                  </w:r>
                </w:p>
              </w:tc>
            </w:tr>
            <w:tr w14:paraId="150819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7A8DF81A">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第二十三条</w:t>
                  </w:r>
                </w:p>
              </w:tc>
              <w:tc>
                <w:tcPr>
                  <w:tcW w:w="3213" w:type="pct"/>
                  <w:vAlign w:val="center"/>
                </w:tcPr>
                <w:p w14:paraId="4D3C805E">
                  <w:pPr>
                    <w:widowControl/>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禁止工业企业、宾馆、餐饮、洗涤等企业事业单位以及个人使用各类含磷洗涤用品。</w:t>
                  </w:r>
                </w:p>
              </w:tc>
              <w:tc>
                <w:tcPr>
                  <w:tcW w:w="1275" w:type="pct"/>
                  <w:vAlign w:val="center"/>
                </w:tcPr>
                <w:p w14:paraId="5E3B2E7B">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根据附件7电解脱脂剂磷含量检测报告，本项目电解脱脂剂不含磷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无含氮、磷工业废水排放</w:t>
                  </w:r>
                </w:p>
              </w:tc>
            </w:tr>
            <w:tr w14:paraId="76F5B2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27796096">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第二十六条</w:t>
                  </w:r>
                </w:p>
              </w:tc>
              <w:tc>
                <w:tcPr>
                  <w:tcW w:w="3213" w:type="pct"/>
                  <w:vAlign w:val="center"/>
                </w:tcPr>
                <w:p w14:paraId="6FC5B0BE">
                  <w:pPr>
                    <w:widowControl/>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向污水集中处理设施排放工业废水的，应当按照国家和省有关规定进行预处理，符合国家、省有关标准和污水集中处理设施的接纳要求。污水集中处理设施尾水，可以采取生态净化等方式处理后排放。</w:t>
                  </w:r>
                </w:p>
                <w:p w14:paraId="4484DD19">
                  <w:pPr>
                    <w:widowControl/>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实行工业废水与生活污水分质处理，对不符合城镇污水集中处理设施接纳要求的工业废水，限期退出城镇污水管网。</w:t>
                  </w:r>
                </w:p>
              </w:tc>
              <w:tc>
                <w:tcPr>
                  <w:tcW w:w="1275" w:type="pct"/>
                  <w:vAlign w:val="center"/>
                </w:tcPr>
                <w:p w14:paraId="28F12656">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w:t>
                  </w:r>
                  <w:r>
                    <w:rPr>
                      <w:rFonts w:hint="default" w:ascii="Times New Roman" w:hAnsi="Times New Roman" w:eastAsia="宋体" w:cs="Times New Roman"/>
                      <w:color w:val="000000" w:themeColor="text1"/>
                      <w:szCs w:val="21"/>
                      <w:lang w:val="en-US" w:eastAsia="zh-CN"/>
                      <w14:textFill>
                        <w14:solidFill>
                          <w14:schemeClr w14:val="tx1"/>
                        </w14:solidFill>
                      </w14:textFill>
                    </w:rPr>
                    <w:t>无</w:t>
                  </w:r>
                  <w:r>
                    <w:rPr>
                      <w:rFonts w:hint="default" w:ascii="Times New Roman" w:hAnsi="Times New Roman" w:eastAsia="宋体" w:cs="Times New Roman"/>
                      <w:color w:val="000000" w:themeColor="text1"/>
                      <w:szCs w:val="21"/>
                      <w14:textFill>
                        <w14:solidFill>
                          <w14:schemeClr w14:val="tx1"/>
                        </w14:solidFill>
                      </w14:textFill>
                    </w:rPr>
                    <w:t>生产废水</w:t>
                  </w:r>
                  <w:r>
                    <w:rPr>
                      <w:rFonts w:hint="default" w:ascii="Times New Roman" w:hAnsi="Times New Roman" w:eastAsia="宋体" w:cs="Times New Roman"/>
                      <w:color w:val="000000" w:themeColor="text1"/>
                      <w:szCs w:val="21"/>
                      <w:lang w:val="en-US" w:eastAsia="zh-CN"/>
                      <w14:textFill>
                        <w14:solidFill>
                          <w14:schemeClr w14:val="tx1"/>
                        </w14:solidFill>
                      </w14:textFill>
                    </w:rPr>
                    <w:t>排放</w:t>
                  </w:r>
                  <w:r>
                    <w:rPr>
                      <w:rFonts w:hint="default" w:ascii="Times New Roman" w:hAnsi="Times New Roman" w:eastAsia="宋体" w:cs="Times New Roman"/>
                      <w:color w:val="000000" w:themeColor="text1"/>
                      <w:szCs w:val="21"/>
                      <w14:textFill>
                        <w14:solidFill>
                          <w14:schemeClr w14:val="tx1"/>
                        </w14:solidFill>
                      </w14:textFill>
                    </w:rPr>
                    <w:t>，生活污水</w:t>
                  </w:r>
                  <w:r>
                    <w:rPr>
                      <w:rFonts w:hint="default" w:ascii="Times New Roman" w:hAnsi="Times New Roman" w:eastAsia="宋体" w:cs="Times New Roman"/>
                      <w:color w:val="000000" w:themeColor="text1"/>
                      <w:szCs w:val="21"/>
                      <w:lang w:val="en-US" w:eastAsia="zh-CN"/>
                      <w14:textFill>
                        <w14:solidFill>
                          <w14:schemeClr w14:val="tx1"/>
                        </w14:solidFill>
                      </w14:textFill>
                    </w:rPr>
                    <w:t>经市政污水管网接至污水处理厂处理</w:t>
                  </w:r>
                  <w:r>
                    <w:rPr>
                      <w:rFonts w:hint="default" w:ascii="Times New Roman" w:hAnsi="Times New Roman" w:eastAsia="宋体" w:cs="Times New Roman"/>
                      <w:color w:val="000000" w:themeColor="text1"/>
                      <w:szCs w:val="21"/>
                      <w14:textFill>
                        <w14:solidFill>
                          <w14:schemeClr w14:val="tx1"/>
                        </w14:solidFill>
                      </w14:textFill>
                    </w:rPr>
                    <w:t>，符合本条例要求</w:t>
                  </w:r>
                </w:p>
              </w:tc>
            </w:tr>
          </w:tbl>
          <w:p w14:paraId="170F121F">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zh-CN"/>
                <w14:textFill>
                  <w14:solidFill>
                    <w14:schemeClr w14:val="tx1"/>
                  </w14:solidFill>
                </w14:textFill>
              </w:rPr>
              <w:t>、与《关于做好生态环境和应急管理部门联动工作的意见》（苏环办</w:t>
            </w:r>
            <w:r>
              <w:rPr>
                <w:rFonts w:hint="eastAsia" w:ascii="Times New Roman" w:hAnsi="Times New Roman" w:eastAsia="宋体" w:cs="Times New Roman"/>
                <w:b/>
                <w:bCs/>
                <w:color w:val="000000" w:themeColor="text1"/>
                <w:sz w:val="24"/>
                <w:szCs w:val="24"/>
                <w:lang w:val="zh-CN"/>
                <w14:textFill>
                  <w14:solidFill>
                    <w14:schemeClr w14:val="tx1"/>
                  </w14:solidFill>
                </w14:textFill>
              </w:rPr>
              <w:t>〔2020〕101号</w:t>
            </w:r>
            <w:r>
              <w:rPr>
                <w:rFonts w:hint="default" w:ascii="Times New Roman" w:hAnsi="Times New Roman" w:eastAsia="宋体" w:cs="Times New Roman"/>
                <w:b/>
                <w:bCs/>
                <w:color w:val="000000" w:themeColor="text1"/>
                <w:sz w:val="24"/>
                <w:szCs w:val="24"/>
                <w:lang w:val="zh-CN"/>
                <w14:textFill>
                  <w14:solidFill>
                    <w14:schemeClr w14:val="tx1"/>
                  </w14:solidFill>
                </w14:textFill>
              </w:rPr>
              <w:t>）相符性分析</w:t>
            </w:r>
          </w:p>
          <w:p w14:paraId="03E50777">
            <w:pPr>
              <w:jc w:val="center"/>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表1-1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bCs/>
                <w:color w:val="000000" w:themeColor="text1"/>
                <w:sz w:val="24"/>
                <w:szCs w:val="24"/>
                <w:lang w:val="zh-CN"/>
                <w14:textFill>
                  <w14:solidFill>
                    <w14:schemeClr w14:val="tx1"/>
                  </w14:solidFill>
                </w14:textFill>
              </w:rPr>
              <w:t xml:space="preserve">  与苏环办</w:t>
            </w:r>
            <w:r>
              <w:rPr>
                <w:rFonts w:hint="eastAsia" w:ascii="Times New Roman" w:hAnsi="Times New Roman" w:eastAsia="宋体" w:cs="Times New Roman"/>
                <w:b/>
                <w:bCs/>
                <w:color w:val="000000" w:themeColor="text1"/>
                <w:sz w:val="24"/>
                <w:szCs w:val="24"/>
                <w:lang w:val="zh-CN"/>
                <w14:textFill>
                  <w14:solidFill>
                    <w14:schemeClr w14:val="tx1"/>
                  </w14:solidFill>
                </w14:textFill>
              </w:rPr>
              <w:t>〔2020〕101号</w:t>
            </w:r>
            <w:r>
              <w:rPr>
                <w:rFonts w:hint="default" w:ascii="Times New Roman" w:hAnsi="Times New Roman" w:eastAsia="宋体" w:cs="Times New Roman"/>
                <w:b/>
                <w:bCs/>
                <w:color w:val="000000" w:themeColor="text1"/>
                <w:sz w:val="24"/>
                <w:szCs w:val="24"/>
                <w:lang w:val="zh-CN"/>
                <w14:textFill>
                  <w14:solidFill>
                    <w14:schemeClr w14:val="tx1"/>
                  </w14:solidFill>
                </w14:textFill>
              </w:rPr>
              <w:t>文的相符性分析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83"/>
              <w:gridCol w:w="2841"/>
              <w:gridCol w:w="883"/>
            </w:tblGrid>
            <w:tr w14:paraId="3A5AFA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23BF7BD0">
                  <w:pPr>
                    <w:jc w:val="center"/>
                    <w:rPr>
                      <w:rFonts w:hint="default" w:ascii="Times New Roman" w:hAnsi="Times New Roman" w:eastAsia="宋体" w:cs="Times New Roman"/>
                      <w:b/>
                      <w:bCs/>
                      <w:color w:val="000000" w:themeColor="text1"/>
                      <w:szCs w:val="21"/>
                      <w:lang w:val="zh-CN"/>
                      <w14:textFill>
                        <w14:solidFill>
                          <w14:schemeClr w14:val="tx1"/>
                        </w14:solidFill>
                      </w14:textFill>
                    </w:rPr>
                  </w:pPr>
                  <w:r>
                    <w:rPr>
                      <w:rFonts w:hint="default" w:ascii="Times New Roman" w:hAnsi="Times New Roman" w:eastAsia="宋体" w:cs="Times New Roman"/>
                      <w:b/>
                      <w:bCs/>
                      <w:color w:val="000000" w:themeColor="text1"/>
                      <w:szCs w:val="21"/>
                      <w:lang w:val="zh-CN"/>
                      <w14:textFill>
                        <w14:solidFill>
                          <w14:schemeClr w14:val="tx1"/>
                        </w14:solidFill>
                      </w14:textFill>
                    </w:rPr>
                    <w:t>文件指导要求</w:t>
                  </w:r>
                </w:p>
              </w:tc>
              <w:tc>
                <w:tcPr>
                  <w:tcW w:w="1689" w:type="pct"/>
                  <w:vAlign w:val="center"/>
                </w:tcPr>
                <w:p w14:paraId="5CFDAECE">
                  <w:pPr>
                    <w:jc w:val="center"/>
                    <w:rPr>
                      <w:rFonts w:hint="default" w:ascii="Times New Roman" w:hAnsi="Times New Roman" w:eastAsia="宋体" w:cs="Times New Roman"/>
                      <w:b/>
                      <w:bCs/>
                      <w:color w:val="000000" w:themeColor="text1"/>
                      <w:szCs w:val="21"/>
                      <w:lang w:val="zh-CN"/>
                      <w14:textFill>
                        <w14:solidFill>
                          <w14:schemeClr w14:val="tx1"/>
                        </w14:solidFill>
                      </w14:textFill>
                    </w:rPr>
                  </w:pPr>
                  <w:r>
                    <w:rPr>
                      <w:rFonts w:hint="default" w:ascii="Times New Roman" w:hAnsi="Times New Roman" w:eastAsia="宋体" w:cs="Times New Roman"/>
                      <w:b/>
                      <w:bCs/>
                      <w:color w:val="000000" w:themeColor="text1"/>
                      <w:szCs w:val="21"/>
                      <w:lang w:val="zh-CN"/>
                      <w14:textFill>
                        <w14:solidFill>
                          <w14:schemeClr w14:val="tx1"/>
                        </w14:solidFill>
                      </w14:textFill>
                    </w:rPr>
                    <w:t>本项目相符性分析</w:t>
                  </w:r>
                </w:p>
              </w:tc>
              <w:tc>
                <w:tcPr>
                  <w:tcW w:w="525" w:type="pct"/>
                  <w:vAlign w:val="center"/>
                </w:tcPr>
                <w:p w14:paraId="081A0566">
                  <w:pPr>
                    <w:jc w:val="center"/>
                    <w:rPr>
                      <w:rFonts w:hint="default" w:ascii="Times New Roman" w:hAnsi="Times New Roman" w:eastAsia="宋体" w:cs="Times New Roman"/>
                      <w:b/>
                      <w:bCs/>
                      <w:color w:val="000000" w:themeColor="text1"/>
                      <w:szCs w:val="21"/>
                      <w:lang w:val="zh-CN"/>
                      <w14:textFill>
                        <w14:solidFill>
                          <w14:schemeClr w14:val="tx1"/>
                        </w14:solidFill>
                      </w14:textFill>
                    </w:rPr>
                  </w:pPr>
                  <w:r>
                    <w:rPr>
                      <w:rFonts w:hint="default" w:ascii="Times New Roman" w:hAnsi="Times New Roman" w:eastAsia="宋体" w:cs="Times New Roman"/>
                      <w:b/>
                      <w:bCs/>
                      <w:color w:val="000000" w:themeColor="text1"/>
                      <w:szCs w:val="21"/>
                      <w:lang w:val="zh-CN"/>
                      <w14:textFill>
                        <w14:solidFill>
                          <w14:schemeClr w14:val="tx1"/>
                        </w14:solidFill>
                      </w14:textFill>
                    </w:rPr>
                    <w:t>相符性</w:t>
                  </w:r>
                </w:p>
              </w:tc>
            </w:tr>
            <w:tr w14:paraId="0B16C7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2E066B43">
                  <w:pPr>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689" w:type="pct"/>
                  <w:vAlign w:val="center"/>
                </w:tcPr>
                <w:p w14:paraId="61E6E9CD">
                  <w:pPr>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本项目产生的危险废物包括</w:t>
                  </w:r>
                  <w:r>
                    <w:rPr>
                      <w:rFonts w:hint="default" w:ascii="Times New Roman" w:hAnsi="Times New Roman" w:eastAsia="宋体" w:cs="Times New Roman"/>
                      <w:color w:val="000000" w:themeColor="text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Cs w:val="21"/>
                      <w:lang w:val="en-US" w:eastAsia="zh-CN"/>
                      <w14:textFill>
                        <w14:solidFill>
                          <w14:schemeClr w14:val="tx1"/>
                        </w14:solidFill>
                      </w14:textFill>
                    </w:rPr>
                    <w:t>抹布、废</w:t>
                  </w:r>
                  <w:r>
                    <w:rPr>
                      <w:rFonts w:hint="eastAsia" w:ascii="Times New Roman" w:hAnsi="Times New Roman" w:eastAsia="宋体" w:cs="Times New Roman"/>
                      <w:color w:val="000000" w:themeColor="text1"/>
                      <w:szCs w:val="21"/>
                      <w:lang w:val="en-US" w:eastAsia="zh-CN"/>
                      <w14:textFill>
                        <w14:solidFill>
                          <w14:schemeClr w14:val="tx1"/>
                        </w14:solidFill>
                      </w14:textFill>
                    </w:rPr>
                    <w:t>润滑油、废润滑油桶</w:t>
                  </w:r>
                  <w:r>
                    <w:rPr>
                      <w:rFonts w:hint="default" w:ascii="Times New Roman" w:hAnsi="Times New Roman" w:eastAsia="宋体" w:cs="Times New Roman"/>
                      <w:color w:val="000000" w:themeColor="text1"/>
                      <w:szCs w:val="21"/>
                      <w:lang w:val="en-US" w:eastAsia="zh-CN"/>
                      <w14:textFill>
                        <w14:solidFill>
                          <w14:schemeClr w14:val="tx1"/>
                        </w14:solidFill>
                      </w14:textFill>
                    </w:rPr>
                    <w:t>、废活性炭</w:t>
                  </w:r>
                  <w:r>
                    <w:rPr>
                      <w:rFonts w:hint="eastAsia" w:ascii="Times New Roman" w:hAnsi="Times New Roman" w:eastAsia="宋体" w:cs="Times New Roman"/>
                      <w:color w:val="000000" w:themeColor="text1"/>
                      <w:szCs w:val="21"/>
                      <w:lang w:val="en-US" w:eastAsia="zh-CN"/>
                      <w14:textFill>
                        <w14:solidFill>
                          <w14:schemeClr w14:val="tx1"/>
                        </w14:solidFill>
                      </w14:textFill>
                    </w:rPr>
                    <w:t>等，</w:t>
                  </w:r>
                  <w:r>
                    <w:rPr>
                      <w:rFonts w:hint="default" w:ascii="Times New Roman" w:hAnsi="Times New Roman" w:eastAsia="宋体" w:cs="Times New Roman"/>
                      <w:bCs/>
                      <w:color w:val="000000" w:themeColor="text1"/>
                      <w:szCs w:val="21"/>
                      <w:lang w:val="zh-CN"/>
                      <w14:textFill>
                        <w14:solidFill>
                          <w14:schemeClr w14:val="tx1"/>
                        </w14:solidFill>
                      </w14:textFill>
                    </w:rPr>
                    <w:t>本项目建成后将按照相关法律法规及标准技术文件对危废进行收集、贮存、运输、处置，危废的管理过程将在“江苏省危险废物全生命周期监控系统”中体现</w:t>
                  </w:r>
                </w:p>
              </w:tc>
              <w:tc>
                <w:tcPr>
                  <w:tcW w:w="525" w:type="pct"/>
                  <w:vAlign w:val="center"/>
                </w:tcPr>
                <w:p w14:paraId="45F6B3C8">
                  <w:pPr>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相符</w:t>
                  </w:r>
                </w:p>
              </w:tc>
            </w:tr>
            <w:tr w14:paraId="0FBFA3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246CB6EC">
                  <w:pPr>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89" w:type="pct"/>
                  <w:vAlign w:val="center"/>
                </w:tcPr>
                <w:p w14:paraId="7589D364">
                  <w:pPr>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本项目实施后，按要求编制环保设施安全风险辨识评估报告。</w:t>
                  </w:r>
                </w:p>
              </w:tc>
              <w:tc>
                <w:tcPr>
                  <w:tcW w:w="525" w:type="pct"/>
                  <w:vAlign w:val="center"/>
                </w:tcPr>
                <w:p w14:paraId="0B41FB91">
                  <w:pPr>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相符</w:t>
                  </w:r>
                </w:p>
              </w:tc>
            </w:tr>
          </w:tbl>
          <w:p w14:paraId="617436AD">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val="zh-CN"/>
                <w14:textFill>
                  <w14:solidFill>
                    <w14:schemeClr w14:val="tx1"/>
                  </w14:solidFill>
                </w14:textFill>
              </w:rPr>
              <w:t>、与《省生态环境厅关于进一步加强建设项目环评审批和服务工作的指导意见》（苏环办</w:t>
            </w:r>
            <w:r>
              <w:rPr>
                <w:rFonts w:hint="eastAsia" w:ascii="Times New Roman" w:hAnsi="Times New Roman" w:eastAsia="宋体" w:cs="Times New Roman"/>
                <w:b/>
                <w:bCs/>
                <w:color w:val="000000" w:themeColor="text1"/>
                <w:sz w:val="24"/>
                <w:szCs w:val="24"/>
                <w:lang w:val="zh-CN"/>
                <w14:textFill>
                  <w14:solidFill>
                    <w14:schemeClr w14:val="tx1"/>
                  </w14:solidFill>
                </w14:textFill>
              </w:rPr>
              <w:t>〔2020〕225号</w:t>
            </w:r>
            <w:r>
              <w:rPr>
                <w:rFonts w:hint="default" w:ascii="Times New Roman" w:hAnsi="Times New Roman" w:eastAsia="宋体" w:cs="Times New Roman"/>
                <w:b/>
                <w:bCs/>
                <w:color w:val="000000" w:themeColor="text1"/>
                <w:sz w:val="24"/>
                <w:szCs w:val="24"/>
                <w:lang w:val="zh-CN"/>
                <w14:textFill>
                  <w14:solidFill>
                    <w14:schemeClr w14:val="tx1"/>
                  </w14:solidFill>
                </w14:textFill>
              </w:rPr>
              <w:t>）相符性分析</w:t>
            </w:r>
          </w:p>
          <w:p w14:paraId="3B81D861">
            <w:pPr>
              <w:autoSpaceDE w:val="0"/>
              <w:autoSpaceDN w:val="0"/>
              <w:adjustRightInd w:val="0"/>
              <w:jc w:val="center"/>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表</w:t>
            </w:r>
            <w:r>
              <w:rPr>
                <w:rFonts w:hint="default" w:ascii="Times New Roman" w:hAnsi="Times New Roman" w:eastAsia="宋体" w:cs="Times New Roman"/>
                <w:b/>
                <w:bCs/>
                <w:color w:val="000000" w:themeColor="text1"/>
                <w:sz w:val="24"/>
                <w:szCs w:val="24"/>
                <w14:textFill>
                  <w14:solidFill>
                    <w14:schemeClr w14:val="tx1"/>
                  </w14:solidFill>
                </w14:textFill>
              </w:rPr>
              <w:t>1-1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zh-CN"/>
                <w14:textFill>
                  <w14:solidFill>
                    <w14:schemeClr w14:val="tx1"/>
                  </w14:solidFill>
                </w14:textFill>
              </w:rPr>
              <w:t>本项目与苏环办</w:t>
            </w:r>
            <w:r>
              <w:rPr>
                <w:rFonts w:hint="eastAsia" w:ascii="Times New Roman" w:hAnsi="Times New Roman" w:eastAsia="宋体" w:cs="Times New Roman"/>
                <w:b/>
                <w:bCs/>
                <w:color w:val="000000" w:themeColor="text1"/>
                <w:sz w:val="24"/>
                <w:szCs w:val="24"/>
                <w:lang w:val="zh-CN"/>
                <w14:textFill>
                  <w14:solidFill>
                    <w14:schemeClr w14:val="tx1"/>
                  </w14:solidFill>
                </w14:textFill>
              </w:rPr>
              <w:t>〔2020〕225号</w:t>
            </w:r>
            <w:r>
              <w:rPr>
                <w:rFonts w:hint="default" w:ascii="Times New Roman" w:hAnsi="Times New Roman" w:eastAsia="宋体" w:cs="Times New Roman"/>
                <w:b/>
                <w:bCs/>
                <w:color w:val="000000" w:themeColor="text1"/>
                <w:sz w:val="24"/>
                <w:szCs w:val="24"/>
                <w:lang w:val="zh-CN"/>
                <w14:textFill>
                  <w14:solidFill>
                    <w14:schemeClr w14:val="tx1"/>
                  </w14:solidFill>
                </w14:textFill>
              </w:rPr>
              <w:t>文相符性分析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3096"/>
              <w:gridCol w:w="3649"/>
              <w:gridCol w:w="781"/>
            </w:tblGrid>
            <w:tr w14:paraId="059B26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2D126AA6">
                  <w:pPr>
                    <w:autoSpaceDE w:val="0"/>
                    <w:autoSpaceDN w:val="0"/>
                    <w:adjustRightIn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类别</w:t>
                  </w:r>
                </w:p>
              </w:tc>
              <w:tc>
                <w:tcPr>
                  <w:tcW w:w="1840" w:type="pct"/>
                  <w:vAlign w:val="center"/>
                </w:tcPr>
                <w:p w14:paraId="203AB1C8">
                  <w:pPr>
                    <w:autoSpaceDE w:val="0"/>
                    <w:autoSpaceDN w:val="0"/>
                    <w:adjustRightIn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文件要求</w:t>
                  </w:r>
                </w:p>
              </w:tc>
              <w:tc>
                <w:tcPr>
                  <w:tcW w:w="2169" w:type="pct"/>
                  <w:vAlign w:val="center"/>
                </w:tcPr>
                <w:p w14:paraId="423D36A8">
                  <w:pPr>
                    <w:autoSpaceDE w:val="0"/>
                    <w:autoSpaceDN w:val="0"/>
                    <w:adjustRightIn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本项目对照分析</w:t>
                  </w:r>
                </w:p>
              </w:tc>
              <w:tc>
                <w:tcPr>
                  <w:tcW w:w="464" w:type="pct"/>
                  <w:vAlign w:val="center"/>
                </w:tcPr>
                <w:p w14:paraId="5D2DED71">
                  <w:pPr>
                    <w:autoSpaceDE w:val="0"/>
                    <w:autoSpaceDN w:val="0"/>
                    <w:adjustRightInd w:val="0"/>
                    <w:ind w:left="-73" w:leftChars="-35" w:right="-73" w:rightChars="-35"/>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相符性</w:t>
                  </w:r>
                </w:p>
              </w:tc>
            </w:tr>
            <w:tr w14:paraId="39BEAB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restart"/>
                  <w:vAlign w:val="center"/>
                </w:tcPr>
                <w:p w14:paraId="527C7615">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严守生态环境质量底线</w:t>
                  </w:r>
                </w:p>
              </w:tc>
              <w:tc>
                <w:tcPr>
                  <w:tcW w:w="1840" w:type="pct"/>
                  <w:vAlign w:val="center"/>
                </w:tcPr>
                <w:p w14:paraId="575EACF1">
                  <w:pPr>
                    <w:autoSpaceDE w:val="0"/>
                    <w:autoSpaceDN w:val="0"/>
                    <w:adjustRightInd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建设项目所在区域环境质量</w:t>
                  </w:r>
                  <w:r>
                    <w:rPr>
                      <w:rFonts w:hint="eastAsia" w:ascii="Times New Roman" w:hAnsi="Times New Roman" w:eastAsia="宋体" w:cs="Times New Roman"/>
                      <w:color w:val="000000" w:themeColor="text1"/>
                      <w:kern w:val="0"/>
                      <w:szCs w:val="21"/>
                      <w:lang w:eastAsia="zh-CN"/>
                      <w14:textFill>
                        <w14:solidFill>
                          <w14:schemeClr w14:val="tx1"/>
                        </w14:solidFill>
                      </w14:textFill>
                    </w:rPr>
                    <w:t>未</w:t>
                  </w:r>
                  <w:r>
                    <w:rPr>
                      <w:rFonts w:hint="default" w:ascii="Times New Roman" w:hAnsi="Times New Roman" w:eastAsia="宋体" w:cs="Times New Roman"/>
                      <w:color w:val="000000" w:themeColor="text1"/>
                      <w:kern w:val="0"/>
                      <w:szCs w:val="21"/>
                      <w14:textFill>
                        <w14:solidFill>
                          <w14:schemeClr w14:val="tx1"/>
                        </w14:solidFill>
                      </w14:textFill>
                    </w:rPr>
                    <w:t>达到国家或地方环境质量标准，且项目拟采取的污染防治措施不能满足区域环境质量改善目标管理要求的，一律不得审批。</w:t>
                  </w:r>
                </w:p>
              </w:tc>
              <w:tc>
                <w:tcPr>
                  <w:tcW w:w="2169" w:type="pct"/>
                  <w:vAlign w:val="center"/>
                </w:tcPr>
                <w:p w14:paraId="2B31C911">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根据《202</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0"/>
                      <w:szCs w:val="21"/>
                      <w14:textFill>
                        <w14:solidFill>
                          <w14:schemeClr w14:val="tx1"/>
                        </w14:solidFill>
                      </w14:textFill>
                    </w:rPr>
                    <w:t>年常州市生态环境质量状况公报》，项目所在区域大气环境质量属于不达标区。根据环境质量现状监测数据，地表水、声环境质量均能够满足相应功能区划要求。</w:t>
                  </w:r>
                </w:p>
                <w:p w14:paraId="3C0519AD">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项目建成后采取严格的污染防治措施，废水、厂界噪声均可达标排放，固废合理处置，不会使区域环境质量恶化。</w:t>
                  </w:r>
                </w:p>
              </w:tc>
              <w:tc>
                <w:tcPr>
                  <w:tcW w:w="464" w:type="pct"/>
                  <w:vAlign w:val="center"/>
                </w:tcPr>
                <w:p w14:paraId="33988D7B">
                  <w:pPr>
                    <w:autoSpaceDE w:val="0"/>
                    <w:autoSpaceDN w:val="0"/>
                    <w:adjustRightInd w:val="0"/>
                    <w:ind w:left="-73" w:leftChars="-35" w:right="-73" w:rightChars="-35"/>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相符</w:t>
                  </w:r>
                </w:p>
              </w:tc>
            </w:tr>
            <w:tr w14:paraId="601A80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5DBAA681">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840" w:type="pct"/>
                  <w:vAlign w:val="center"/>
                </w:tcPr>
                <w:p w14:paraId="5376AE3F">
                  <w:pPr>
                    <w:autoSpaceDE w:val="0"/>
                    <w:autoSpaceDN w:val="0"/>
                    <w:adjustRightInd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加强规划环评与建设项目环评联动，对不符合规划环评结论及审查意见的项目环评，依法不予审批。规划所包含项目的环评内容，可根据规划环评结论和审查意见予以简化。</w:t>
                  </w:r>
                </w:p>
              </w:tc>
              <w:tc>
                <w:tcPr>
                  <w:tcW w:w="2169" w:type="pct"/>
                  <w:vAlign w:val="center"/>
                </w:tcPr>
                <w:p w14:paraId="4247CC38">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本项目建设于</w:t>
                  </w:r>
                  <w:r>
                    <w:rPr>
                      <w:rFonts w:hint="eastAsia" w:ascii="Times New Roman" w:hAnsi="Times New Roman" w:eastAsia="宋体" w:cs="Times New Roman"/>
                      <w:color w:val="000000" w:themeColor="text1"/>
                      <w:kern w:val="0"/>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kern w:val="0"/>
                      <w:szCs w:val="21"/>
                      <w14:textFill>
                        <w14:solidFill>
                          <w14:schemeClr w14:val="tx1"/>
                        </w14:solidFill>
                      </w14:textFill>
                    </w:rPr>
                    <w:t>，位于江苏金坛经济开发区，用地性质为工业用地，符合《金坛经济开发区发展规划环境影响报告书》及《关于金坛经济开发区发展规划环境影响评价审查意见》中要求</w:t>
                  </w:r>
                </w:p>
              </w:tc>
              <w:tc>
                <w:tcPr>
                  <w:tcW w:w="464" w:type="pct"/>
                  <w:vAlign w:val="center"/>
                </w:tcPr>
                <w:p w14:paraId="2AB64460">
                  <w:pPr>
                    <w:autoSpaceDE w:val="0"/>
                    <w:autoSpaceDN w:val="0"/>
                    <w:adjustRightInd w:val="0"/>
                    <w:ind w:left="-73" w:leftChars="-35" w:right="-73" w:rightChars="-35"/>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相符</w:t>
                  </w:r>
                </w:p>
              </w:tc>
            </w:tr>
            <w:tr w14:paraId="29828C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259281A5">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840" w:type="pct"/>
                  <w:vAlign w:val="center"/>
                </w:tcPr>
                <w:p w14:paraId="4CCD793F">
                  <w:pPr>
                    <w:autoSpaceDE w:val="0"/>
                    <w:autoSpaceDN w:val="0"/>
                    <w:adjustRightInd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切实加强区域环境容量、环境承载力研究，不得审批突破环境容量和环境承载力的建设项目。</w:t>
                  </w:r>
                </w:p>
              </w:tc>
              <w:tc>
                <w:tcPr>
                  <w:tcW w:w="2169" w:type="pct"/>
                  <w:vAlign w:val="center"/>
                </w:tcPr>
                <w:p w14:paraId="44FB5E44">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无</w:t>
                  </w:r>
                  <w:r>
                    <w:rPr>
                      <w:rFonts w:hint="default" w:ascii="Times New Roman" w:hAnsi="Times New Roman" w:eastAsia="宋体" w:cs="Times New Roman"/>
                      <w:color w:val="000000" w:themeColor="text1"/>
                      <w:kern w:val="0"/>
                      <w:szCs w:val="21"/>
                      <w14:textFill>
                        <w14:solidFill>
                          <w14:schemeClr w14:val="tx1"/>
                        </w14:solidFill>
                      </w14:textFill>
                    </w:rPr>
                    <w:t>生产废水</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排放</w:t>
                  </w:r>
                  <w:r>
                    <w:rPr>
                      <w:rFonts w:hint="default" w:ascii="Times New Roman" w:hAnsi="Times New Roman" w:eastAsia="宋体" w:cs="Times New Roman"/>
                      <w:color w:val="000000" w:themeColor="text1"/>
                      <w:kern w:val="0"/>
                      <w:szCs w:val="21"/>
                      <w14:textFill>
                        <w14:solidFill>
                          <w14:schemeClr w14:val="tx1"/>
                        </w14:solidFill>
                      </w14:textFill>
                    </w:rPr>
                    <w:t>，生活污水</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kern w:val="0"/>
                      <w:szCs w:val="21"/>
                      <w14:textFill>
                        <w14:solidFill>
                          <w14:schemeClr w14:val="tx1"/>
                        </w14:solidFill>
                      </w14:textFill>
                    </w:rPr>
                    <w:t>常州市金坛区第二污水处理厂集中处理，水污染物排放总量在常州市金坛区第二污水处理厂内平衡</w:t>
                  </w:r>
                </w:p>
              </w:tc>
              <w:tc>
                <w:tcPr>
                  <w:tcW w:w="464" w:type="pct"/>
                  <w:vAlign w:val="center"/>
                </w:tcPr>
                <w:p w14:paraId="779C1E01">
                  <w:pPr>
                    <w:autoSpaceDE w:val="0"/>
                    <w:autoSpaceDN w:val="0"/>
                    <w:adjustRightInd w:val="0"/>
                    <w:ind w:left="-73" w:leftChars="-35" w:right="-73" w:rightChars="-35"/>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相符</w:t>
                  </w:r>
                </w:p>
              </w:tc>
            </w:tr>
            <w:tr w14:paraId="7BDFD4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08A8BAAE">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840" w:type="pct"/>
                  <w:vAlign w:val="center"/>
                </w:tcPr>
                <w:p w14:paraId="7BB7FFE7">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应将“三线一单”作为建设项目环评审批的重要依据，严格落实生态环境分区管控要求，从严把好环境准入关。</w:t>
                  </w:r>
                </w:p>
              </w:tc>
              <w:tc>
                <w:tcPr>
                  <w:tcW w:w="2169" w:type="pct"/>
                  <w:vAlign w:val="center"/>
                </w:tcPr>
                <w:p w14:paraId="6E2A577E">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本项目符合“三线一单”（即生态</w:t>
                  </w:r>
                </w:p>
                <w:p w14:paraId="671045CD">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保护红线、环境质量底线、资源利用上线、环境准入负面清单）管理机制的要求</w:t>
                  </w:r>
                </w:p>
              </w:tc>
              <w:tc>
                <w:tcPr>
                  <w:tcW w:w="464" w:type="pct"/>
                  <w:vAlign w:val="center"/>
                </w:tcPr>
                <w:p w14:paraId="5ED549F3">
                  <w:pPr>
                    <w:autoSpaceDE w:val="0"/>
                    <w:autoSpaceDN w:val="0"/>
                    <w:adjustRightInd w:val="0"/>
                    <w:ind w:left="-73" w:leftChars="-35" w:right="-73" w:rightChars="-35"/>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相符</w:t>
                  </w:r>
                </w:p>
              </w:tc>
            </w:tr>
            <w:tr w14:paraId="1DFDDF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4441CE27">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严格重点行业环评审批</w:t>
                  </w:r>
                </w:p>
              </w:tc>
              <w:tc>
                <w:tcPr>
                  <w:tcW w:w="1840" w:type="pct"/>
                  <w:vAlign w:val="center"/>
                </w:tcPr>
                <w:p w14:paraId="4D07AECF">
                  <w:pPr>
                    <w:autoSpaceDE w:val="0"/>
                    <w:autoSpaceDN w:val="0"/>
                    <w:adjustRightInd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严格执行《江苏省长江经济带发展负面清单实施细则</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试行</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》，禁止在合规园区外新建、扩建钢铁、石化、化工、焦化</w:t>
                  </w:r>
                  <w:r>
                    <w:rPr>
                      <w:rFonts w:hint="eastAsia"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建材、有色等行业中的高污染项目。禁止新建</w:t>
                  </w:r>
                  <w:r>
                    <w:rPr>
                      <w:rFonts w:hint="eastAsia" w:ascii="Times New Roman" w:hAnsi="Times New Roman" w:eastAsia="宋体" w:cs="Times New Roman"/>
                      <w:color w:val="000000" w:themeColor="text1"/>
                      <w:kern w:val="0"/>
                      <w:szCs w:val="21"/>
                      <w:lang w:eastAsia="zh-CN"/>
                      <w14:textFill>
                        <w14:solidFill>
                          <w14:schemeClr w14:val="tx1"/>
                        </w14:solidFill>
                      </w14:textFill>
                    </w:rPr>
                    <w:t>燃煤</w:t>
                  </w:r>
                  <w:r>
                    <w:rPr>
                      <w:rFonts w:hint="default" w:ascii="Times New Roman" w:hAnsi="Times New Roman" w:eastAsia="宋体" w:cs="Times New Roman"/>
                      <w:color w:val="000000" w:themeColor="text1"/>
                      <w:kern w:val="0"/>
                      <w:szCs w:val="21"/>
                      <w14:textFill>
                        <w14:solidFill>
                          <w14:schemeClr w14:val="tx1"/>
                        </w14:solidFill>
                      </w14:textFill>
                    </w:rPr>
                    <w:t>电厂。</w:t>
                  </w:r>
                </w:p>
              </w:tc>
              <w:tc>
                <w:tcPr>
                  <w:tcW w:w="2169" w:type="pct"/>
                  <w:vAlign w:val="center"/>
                </w:tcPr>
                <w:p w14:paraId="535C8148">
                  <w:pPr>
                    <w:autoSpaceDE w:val="0"/>
                    <w:autoSpaceDN w:val="0"/>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本项目不属于禁止类项目</w:t>
                  </w:r>
                </w:p>
              </w:tc>
              <w:tc>
                <w:tcPr>
                  <w:tcW w:w="464" w:type="pct"/>
                  <w:vAlign w:val="center"/>
                </w:tcPr>
                <w:p w14:paraId="5210F869">
                  <w:pPr>
                    <w:autoSpaceDE w:val="0"/>
                    <w:autoSpaceDN w:val="0"/>
                    <w:adjustRightInd w:val="0"/>
                    <w:ind w:left="-73" w:leftChars="-35" w:right="-73" w:rightChars="-35"/>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相符</w:t>
                  </w:r>
                </w:p>
              </w:tc>
            </w:tr>
          </w:tbl>
          <w:p w14:paraId="0C97661A">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与“两高”项目相关政策相符性分析</w:t>
            </w:r>
          </w:p>
          <w:p w14:paraId="07FE40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建设项目主要进行芯片框架组件的生产，属于C3989其他电子元件制造。对照《江苏省“两高”项目管理目录（2025年版）》，项目不涉及使用高污染燃料且不属于江苏省“两高”项目管理名录。</w:t>
            </w:r>
          </w:p>
          <w:p w14:paraId="26BE3207">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与《</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关于加强重点行业涉新污染物建设项目环境影响评价工作的意见</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环环评</w:t>
            </w:r>
            <w:r>
              <w:rPr>
                <w:rFonts w:hint="eastAsia" w:ascii="宋体" w:hAnsi="宋体" w:eastAsia="宋体" w:cs="宋体"/>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2025</w:t>
            </w:r>
            <w:r>
              <w:rPr>
                <w:rFonts w:hint="eastAsia" w:ascii="宋体" w:hAnsi="宋体" w:eastAsia="宋体" w:cs="宋体"/>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28号</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zh-CN"/>
                <w14:textFill>
                  <w14:solidFill>
                    <w14:schemeClr w14:val="tx1"/>
                  </w14:solidFill>
                </w14:textFill>
              </w:rPr>
              <w:t>相符性分析</w:t>
            </w:r>
          </w:p>
          <w:p w14:paraId="406147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对照《</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关于加强重点行业涉新污染物建设项目环境影响评价工作的意见</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环环评</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2025</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28号</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）内相关信息，本项目无需要关注的新污染物。</w:t>
            </w:r>
          </w:p>
          <w:p w14:paraId="76E19A3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本项目主要使用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铜保护剂和硫酸</w:t>
            </w:r>
            <w:r>
              <w:rPr>
                <w:rFonts w:hint="default" w:ascii="Times New Roman" w:hAnsi="Times New Roman" w:eastAsia="宋体" w:cs="Times New Roman"/>
                <w:bCs/>
                <w:color w:val="000000" w:themeColor="text1"/>
                <w:sz w:val="24"/>
                <w:szCs w:val="24"/>
                <w14:textFill>
                  <w14:solidFill>
                    <w14:schemeClr w14:val="tx1"/>
                  </w14:solidFill>
                </w14:textFill>
              </w:rPr>
              <w:t>，生产过程中有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VOCs</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和硫酸雾</w:t>
            </w:r>
            <w:r>
              <w:rPr>
                <w:rFonts w:hint="default" w:ascii="Times New Roman" w:hAnsi="Times New Roman" w:eastAsia="宋体" w:cs="Times New Roman"/>
                <w:bCs/>
                <w:color w:val="000000" w:themeColor="text1"/>
                <w:sz w:val="24"/>
                <w:szCs w:val="24"/>
                <w14:textFill>
                  <w14:solidFill>
                    <w14:schemeClr w14:val="tx1"/>
                  </w14:solidFill>
                </w14:textFill>
              </w:rPr>
              <w:t>产生，不属于</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未见</w:t>
            </w:r>
            <w:r>
              <w:rPr>
                <w:rFonts w:hint="default" w:ascii="Times New Roman" w:hAnsi="Times New Roman" w:eastAsia="宋体" w:cs="Times New Roman"/>
                <w:bCs/>
                <w:color w:val="000000" w:themeColor="text1"/>
                <w:sz w:val="24"/>
                <w:szCs w:val="24"/>
                <w14:textFill>
                  <w14:solidFill>
                    <w14:schemeClr w14:val="tx1"/>
                  </w14:solidFill>
                </w14:textFill>
              </w:rPr>
              <w:t>中包含的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新</w:t>
            </w:r>
            <w:r>
              <w:rPr>
                <w:rFonts w:hint="default" w:ascii="Times New Roman" w:hAnsi="Times New Roman" w:eastAsia="宋体" w:cs="Times New Roman"/>
                <w:bCs/>
                <w:color w:val="000000" w:themeColor="text1"/>
                <w:sz w:val="24"/>
                <w:szCs w:val="24"/>
                <w14:textFill>
                  <w14:solidFill>
                    <w14:schemeClr w14:val="tx1"/>
                  </w14:solidFill>
                </w14:textFill>
              </w:rPr>
              <w:t>污染物，与上述内容相符。</w:t>
            </w:r>
          </w:p>
          <w:p w14:paraId="4157F160">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与</w:t>
            </w:r>
            <w:r>
              <w:rPr>
                <w:rFonts w:hint="default" w:ascii="Times New Roman" w:hAnsi="Times New Roman" w:eastAsia="宋体" w:cs="Times New Roman"/>
                <w:b/>
                <w:bCs/>
                <w:color w:val="000000" w:themeColor="text1"/>
                <w:sz w:val="24"/>
                <w:szCs w:val="24"/>
                <w14:textFill>
                  <w14:solidFill>
                    <w14:schemeClr w14:val="tx1"/>
                  </w14:solidFill>
                </w14:textFill>
              </w:rPr>
              <w:t>《市生态环境局关于建设项目的审批指导意见》（试行）</w:t>
            </w:r>
            <w:r>
              <w:rPr>
                <w:rFonts w:hint="default" w:ascii="Times New Roman" w:hAnsi="Times New Roman" w:eastAsia="宋体" w:cs="Times New Roman"/>
                <w:b/>
                <w:color w:val="000000" w:themeColor="text1"/>
                <w:sz w:val="24"/>
                <w:szCs w:val="24"/>
                <w14:textFill>
                  <w14:solidFill>
                    <w14:schemeClr w14:val="tx1"/>
                  </w14:solidFill>
                </w14:textFill>
              </w:rPr>
              <w:t>的相符性分析</w:t>
            </w:r>
          </w:p>
          <w:p w14:paraId="4964AB2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1、严格项目总量。实施建设项目大气污染物总量负增长原则，即重点区域内建设项目使用大气污染物总量，原则上在重点区域范围内实施总量平衡，且必须实行总量2倍减量替代。</w:t>
            </w:r>
          </w:p>
          <w:p w14:paraId="644D2FD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2、强化环评审批。对重点区域内新上的大气污染物排放的建设项目及全市范围内新上高能耗项目，审批部门对其环评文本应实施质量评估。</w:t>
            </w:r>
          </w:p>
          <w:p w14:paraId="337B62F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3、推进减污降碳。对重点区域内新上的涉及大气污染物排放的建设项目及全市范围内新上高能耗建设项目的严格审批，区级审批部门审批前需向市生态环境局报备，审批部门方可出具审批文件。</w:t>
            </w:r>
          </w:p>
          <w:p w14:paraId="12C3883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4.做好项目正面引导。及时与属地经济部门做好衔接沟通，在项目筹备初期提前介入服务，引导项目从自身实际出发，采用建造绿色建筑、加大清洁能源使用比例、优化生产工艺技术、使用先进高效治污设施等切实有力的措施。</w:t>
            </w:r>
          </w:p>
          <w:p w14:paraId="17338CC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本项目距离最近的国控点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（金坛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人民政府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）直线距离约6.0km</w:t>
            </w:r>
            <w:r>
              <w:rPr>
                <w:rFonts w:hint="default" w:ascii="Times New Roman" w:hAnsi="Times New Roman" w:eastAsia="宋体" w:cs="Times New Roman"/>
                <w:color w:val="000000" w:themeColor="text1"/>
                <w:sz w:val="24"/>
                <w:szCs w:val="24"/>
                <w14:textFill>
                  <w14:solidFill>
                    <w14:schemeClr w14:val="tx1"/>
                  </w14:solidFill>
                </w14:textFill>
              </w:rPr>
              <w:t>，不在重点区域内。</w:t>
            </w:r>
          </w:p>
          <w:p w14:paraId="141BC3B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本项目为</w:t>
            </w:r>
            <w:r>
              <w:rPr>
                <w:rFonts w:hint="eastAsia" w:ascii="Times New Roman" w:hAnsi="Times New Roman" w:eastAsia="宋体" w:cs="Times New Roman"/>
                <w:color w:val="000000" w:themeColor="text1"/>
                <w:sz w:val="24"/>
                <w:lang w:eastAsia="zh-CN"/>
                <w14:textFill>
                  <w14:solidFill>
                    <w14:schemeClr w14:val="tx1"/>
                  </w14:solidFill>
                </w14:textFill>
              </w:rPr>
              <w:t>年产12亿套芯片框架组件项目</w:t>
            </w:r>
            <w:r>
              <w:rPr>
                <w:rFonts w:hint="default" w:ascii="Times New Roman" w:hAnsi="Times New Roman" w:eastAsia="宋体" w:cs="Times New Roman"/>
                <w:color w:val="000000" w:themeColor="text1"/>
                <w:sz w:val="24"/>
                <w:szCs w:val="24"/>
                <w14:textFill>
                  <w14:solidFill>
                    <w14:schemeClr w14:val="tx1"/>
                  </w14:solidFill>
                </w14:textFill>
              </w:rPr>
              <w:t>，行业类别为</w:t>
            </w:r>
            <w:r>
              <w:rPr>
                <w:rFonts w:hint="eastAsia" w:ascii="Times New Roman" w:hAnsi="Times New Roman" w:eastAsia="宋体" w:cs="Times New Roman"/>
                <w:color w:val="000000" w:themeColor="text1"/>
                <w:sz w:val="24"/>
                <w:lang w:eastAsia="zh-CN"/>
                <w14:textFill>
                  <w14:solidFill>
                    <w14:schemeClr w14:val="tx1"/>
                  </w14:solidFill>
                </w14:textFill>
              </w:rPr>
              <w:t>C3989其他电子元件制造</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不属于</w:t>
            </w:r>
            <w:r>
              <w:rPr>
                <w:rFonts w:hint="eastAsia" w:ascii="Times New Roman" w:hAnsi="Times New Roman" w:eastAsia="宋体" w:cs="Times New Roman"/>
                <w:color w:val="000000" w:themeColor="text1"/>
                <w:sz w:val="24"/>
                <w:lang w:val="en-US" w:eastAsia="zh-CN"/>
                <w14:textFill>
                  <w14:solidFill>
                    <w14:schemeClr w14:val="tx1"/>
                  </w14:solidFill>
                </w14:textFill>
              </w:rPr>
              <w:t>《江苏省“两高”项目管理目录（2025年版）》中“两高”项目范围</w:t>
            </w:r>
            <w:r>
              <w:rPr>
                <w:rFonts w:hint="default" w:ascii="Times New Roman" w:hAnsi="Times New Roman" w:eastAsia="宋体" w:cs="Times New Roman"/>
                <w:color w:val="000000" w:themeColor="text1"/>
                <w:sz w:val="24"/>
                <w:szCs w:val="24"/>
                <w14:textFill>
                  <w14:solidFill>
                    <w14:schemeClr w14:val="tx1"/>
                  </w14:solidFill>
                </w14:textFill>
              </w:rPr>
              <w:t>。</w:t>
            </w:r>
          </w:p>
          <w:p w14:paraId="0B84CA19">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与</w:t>
            </w:r>
            <w:r>
              <w:rPr>
                <w:rFonts w:hint="default" w:ascii="Times New Roman" w:hAnsi="Times New Roman" w:eastAsia="宋体" w:cs="Times New Roman"/>
                <w:b/>
                <w:bCs/>
                <w:color w:val="000000" w:themeColor="text1"/>
                <w:sz w:val="24"/>
                <w:szCs w:val="24"/>
                <w14:textFill>
                  <w14:solidFill>
                    <w14:schemeClr w14:val="tx1"/>
                  </w14:solidFill>
                </w14:textFill>
              </w:rPr>
              <w:t>《关于加快解决当前挥发性有机物治理突出问题的通知》（环大气</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〔2021〕65号</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的相符性分析</w:t>
            </w:r>
          </w:p>
          <w:p w14:paraId="3408E80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根据文件要求：《挥发性有机物治理突出问题排查整治工作要求》</w:t>
            </w:r>
          </w:p>
          <w:p w14:paraId="0EC54C6D">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五、废气收集设施</w:t>
            </w:r>
          </w:p>
          <w:p w14:paraId="1631A77C">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治理要求。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w:t>
            </w:r>
          </w:p>
          <w:p w14:paraId="30D8D2B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七、有机废气治理设施</w:t>
            </w:r>
          </w:p>
          <w:p w14:paraId="76BCE6F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治理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14:paraId="60AF8A77">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14:paraId="4A89EB79">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/g（BET法）。一次性活性炭吸附工艺宜采用颗粒活性炭作为吸附剂。活性炭、活性炭纤维产品销售时应提供产品质量证明材料。</w:t>
            </w:r>
          </w:p>
          <w:p w14:paraId="16DD282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酸洗、铜保护工序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（硫酸雾、有机废气）经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集气设施收集+碱喷淋塔+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除雾器+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二级活性炭吸附装置处理后通过20m排气筒排放</w:t>
            </w:r>
            <w:r>
              <w:rPr>
                <w:rFonts w:hint="default" w:ascii="Times New Roman" w:hAnsi="Times New Roman" w:eastAsia="宋体" w:cs="Times New Roman"/>
                <w:color w:val="000000" w:themeColor="text1"/>
                <w:sz w:val="24"/>
                <w:szCs w:val="24"/>
                <w14:textFill>
                  <w14:solidFill>
                    <w14:schemeClr w14:val="tx1"/>
                  </w14:solidFill>
                </w14:textFill>
              </w:rPr>
              <w:t>，废气输送管道定期检修，确保密闭、无破损。废气设施“先启后停”，在治理设施达到正常运行后方可开始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4"/>
                <w14:textFill>
                  <w14:solidFill>
                    <w14:schemeClr w14:val="tx1"/>
                  </w14:solidFill>
                </w14:textFill>
              </w:rPr>
              <w:t>操作，在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4"/>
                <w14:textFill>
                  <w14:solidFill>
                    <w14:schemeClr w14:val="tx1"/>
                  </w14:solidFill>
                </w14:textFill>
              </w:rPr>
              <w:t>停止后，残留VOCs废气收集处理完毕后，方可停运治理设施</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6B6A83EB">
            <w:pPr>
              <w:autoSpaceDE w:val="0"/>
              <w:autoSpaceDN w:val="0"/>
              <w:adjustRightInd w:val="0"/>
              <w:jc w:val="center"/>
              <w:rPr>
                <w:rFonts w:hint="default" w:ascii="Times New Roman" w:hAnsi="Times New Roman" w:eastAsia="宋体" w:cs="Times New Roman"/>
                <w:b/>
                <w:bCs/>
                <w:color w:val="000000" w:themeColor="text1"/>
                <w:sz w:val="24"/>
                <w:szCs w:val="24"/>
                <w:lang w:val="zh-CN"/>
                <w14:textFill>
                  <w14:solidFill>
                    <w14:schemeClr w14:val="tx1"/>
                  </w14:solidFill>
                </w14:textFill>
              </w:rPr>
            </w:pPr>
          </w:p>
          <w:p w14:paraId="27693B0E">
            <w:pPr>
              <w:autoSpaceDE w:val="0"/>
              <w:autoSpaceDN w:val="0"/>
              <w:adjustRightInd w:val="0"/>
              <w:jc w:val="center"/>
              <w:rPr>
                <w:rFonts w:hint="default" w:ascii="Times New Roman" w:hAnsi="Times New Roman" w:eastAsia="宋体" w:cs="Times New Roman"/>
                <w:b/>
                <w:bCs/>
                <w:color w:val="000000" w:themeColor="text1"/>
                <w:sz w:val="24"/>
                <w:szCs w:val="24"/>
                <w:lang w:val="zh-CN"/>
                <w14:textFill>
                  <w14:solidFill>
                    <w14:schemeClr w14:val="tx1"/>
                  </w14:solidFill>
                </w14:textFill>
              </w:rPr>
            </w:pPr>
          </w:p>
          <w:p w14:paraId="7291319A">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p>
        </w:tc>
      </w:tr>
    </w:tbl>
    <w:p w14:paraId="1F7AB989">
      <w:pPr>
        <w:rPr>
          <w:rFonts w:hint="default" w:ascii="Times New Roman" w:hAnsi="Times New Roman" w:eastAsia="宋体" w:cs="Times New Roman"/>
          <w:color w:val="000000" w:themeColor="text1"/>
          <w:sz w:val="24"/>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978"/>
      </w:tblGrid>
      <w:tr w14:paraId="584D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731A7232">
            <w:pPr>
              <w:pStyle w:val="4"/>
              <w:rPr>
                <w:rFonts w:hint="default" w:ascii="Times New Roman" w:hAnsi="Times New Roman" w:cs="Times New Roman"/>
                <w:color w:val="000000" w:themeColor="text1"/>
                <w:vertAlign w:val="baseline"/>
                <w14:textFill>
                  <w14:solidFill>
                    <w14:schemeClr w14:val="tx1"/>
                  </w14:solidFill>
                </w14:textFill>
              </w:rPr>
            </w:pPr>
          </w:p>
        </w:tc>
        <w:tc>
          <w:tcPr>
            <w:tcW w:w="12978" w:type="dxa"/>
          </w:tcPr>
          <w:p w14:paraId="505B9A8B">
            <w:pPr>
              <w:spacing w:line="360" w:lineRule="auto"/>
              <w:jc w:val="left"/>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14:textFill>
                  <w14:solidFill>
                    <w14:schemeClr w14:val="tx1"/>
                  </w14:solidFill>
                </w14:textFill>
              </w:rPr>
              <w:t>1</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szCs w:val="24"/>
                <w14:textFill>
                  <w14:solidFill>
                    <w14:schemeClr w14:val="tx1"/>
                  </w14:solidFill>
                </w14:textFill>
              </w:rPr>
              <w:t>、与相关环保法律法规相符性分析</w:t>
            </w:r>
          </w:p>
          <w:p w14:paraId="33B0447A">
            <w:pPr>
              <w:spacing w:line="360" w:lineRule="auto"/>
              <w:ind w:firstLine="480" w:firstLineChars="200"/>
              <w:jc w:val="left"/>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本项目与相关法律法规相符性分析见表1-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408AE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表1-</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项目与相关环保法律法规相符性分析</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048"/>
              <w:gridCol w:w="6472"/>
              <w:gridCol w:w="3032"/>
              <w:gridCol w:w="679"/>
            </w:tblGrid>
            <w:tr w14:paraId="5927E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586874E6">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02" w:type="pct"/>
                  <w:tcBorders>
                    <w:tl2br w:val="nil"/>
                    <w:tr2bl w:val="nil"/>
                  </w:tcBorders>
                  <w:vAlign w:val="center"/>
                </w:tcPr>
                <w:p w14:paraId="7B103D2F">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文件名称</w:t>
                  </w:r>
                </w:p>
              </w:tc>
              <w:tc>
                <w:tcPr>
                  <w:tcW w:w="2534" w:type="pct"/>
                  <w:tcBorders>
                    <w:tl2br w:val="nil"/>
                    <w:tr2bl w:val="nil"/>
                  </w:tcBorders>
                  <w:vAlign w:val="center"/>
                </w:tcPr>
                <w:p w14:paraId="60C250B8">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文件要求</w:t>
                  </w:r>
                </w:p>
              </w:tc>
              <w:tc>
                <w:tcPr>
                  <w:tcW w:w="1187" w:type="pct"/>
                  <w:tcBorders>
                    <w:tl2br w:val="nil"/>
                    <w:tr2bl w:val="nil"/>
                  </w:tcBorders>
                  <w:vAlign w:val="center"/>
                </w:tcPr>
                <w:p w14:paraId="1D2FFA20">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本项目情况</w:t>
                  </w:r>
                </w:p>
              </w:tc>
              <w:tc>
                <w:tcPr>
                  <w:tcW w:w="266" w:type="pct"/>
                  <w:tcBorders>
                    <w:tl2br w:val="nil"/>
                    <w:tr2bl w:val="nil"/>
                  </w:tcBorders>
                  <w:vAlign w:val="center"/>
                </w:tcPr>
                <w:p w14:paraId="0C975AF8">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是否符合</w:t>
                  </w:r>
                </w:p>
              </w:tc>
            </w:tr>
            <w:tr w14:paraId="51A85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08" w:type="pct"/>
                  <w:tcBorders>
                    <w:tl2br w:val="nil"/>
                    <w:tr2bl w:val="nil"/>
                  </w:tcBorders>
                  <w:vAlign w:val="center"/>
                </w:tcPr>
                <w:p w14:paraId="2AE79F2F">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02" w:type="pct"/>
                  <w:tcBorders>
                    <w:tl2br w:val="nil"/>
                    <w:tr2bl w:val="nil"/>
                  </w:tcBorders>
                  <w:vAlign w:val="center"/>
                </w:tcPr>
                <w:p w14:paraId="6F5D515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《中华人民共和国大气污染防治法》（2018年修正）</w:t>
                  </w:r>
                </w:p>
              </w:tc>
              <w:tc>
                <w:tcPr>
                  <w:tcW w:w="2534" w:type="pct"/>
                  <w:tcBorders>
                    <w:tl2br w:val="nil"/>
                    <w:tr2bl w:val="nil"/>
                  </w:tcBorders>
                  <w:vAlign w:val="center"/>
                </w:tcPr>
                <w:p w14:paraId="162D8368">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55BF10CB">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第四十五条  产生含挥发性有机物废气的生产和服务活动，应当在密闭空间或者设备中进行，并按照规定安装、使用污染防治设施；无法密闭的，应当采取措施减少废气排放。</w:t>
                  </w:r>
                </w:p>
              </w:tc>
              <w:tc>
                <w:tcPr>
                  <w:tcW w:w="1187" w:type="pct"/>
                  <w:vMerge w:val="restart"/>
                  <w:tcBorders>
                    <w:tl2br w:val="nil"/>
                    <w:tr2bl w:val="nil"/>
                  </w:tcBorders>
                  <w:vAlign w:val="center"/>
                </w:tcPr>
                <w:p w14:paraId="39355AB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本项目从事</w:t>
                  </w:r>
                  <w:r>
                    <w:rPr>
                      <w:rFonts w:hint="default" w:ascii="Times New Roman" w:hAnsi="Times New Roman" w:eastAsia="宋体" w:cs="Times New Roman"/>
                      <w:color w:val="000000" w:themeColor="text1"/>
                      <w:sz w:val="21"/>
                      <w:szCs w:val="21"/>
                      <w:lang w:eastAsia="zh-CN"/>
                      <w14:textFill>
                        <w14:solidFill>
                          <w14:schemeClr w14:val="tx1"/>
                        </w14:solidFill>
                      </w14:textFill>
                    </w:rPr>
                    <w:t>芯片框架组件</w:t>
                  </w:r>
                  <w:r>
                    <w:rPr>
                      <w:rFonts w:hint="default" w:ascii="Times New Roman" w:hAnsi="Times New Roman" w:eastAsia="宋体" w:cs="Times New Roman"/>
                      <w:color w:val="000000" w:themeColor="text1"/>
                      <w:sz w:val="21"/>
                      <w:szCs w:val="21"/>
                      <w14:textFill>
                        <w14:solidFill>
                          <w14:schemeClr w14:val="tx1"/>
                        </w14:solidFill>
                      </w14:textFill>
                    </w:rPr>
                    <w:t>的生产，项目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酸洗、铜保护</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 w:val="21"/>
                      <w:szCs w:val="21"/>
                      <w14:textFill>
                        <w14:solidFill>
                          <w14:schemeClr w14:val="tx1"/>
                        </w14:solidFill>
                      </w14:textFill>
                    </w:rPr>
                    <w:t>进入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喷淋塔+除雾器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处理后通过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m高的排气筒（DA00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）排放；废气通过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密闭</w:t>
                  </w:r>
                  <w:r>
                    <w:rPr>
                      <w:rFonts w:hint="default" w:ascii="Times New Roman" w:hAnsi="Times New Roman" w:eastAsia="宋体" w:cs="Times New Roman"/>
                      <w:color w:val="000000" w:themeColor="text1"/>
                      <w:sz w:val="21"/>
                      <w:szCs w:val="21"/>
                      <w14:textFill>
                        <w14:solidFill>
                          <w14:schemeClr w14:val="tx1"/>
                        </w14:solidFill>
                      </w14:textFill>
                    </w:rPr>
                    <w:t>收集，两级活性炭吸附装置对废气的处理效率达90%。本项目不属于重点行业，废气处理设施对有机废气的处理效率不低于75%。本项目产生的废气采取了有效的防治措施</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对周围环境影响较小。</w:t>
                  </w:r>
                </w:p>
              </w:tc>
              <w:tc>
                <w:tcPr>
                  <w:tcW w:w="266" w:type="pct"/>
                  <w:vMerge w:val="restart"/>
                  <w:tcBorders>
                    <w:tl2br w:val="nil"/>
                    <w:tr2bl w:val="nil"/>
                  </w:tcBorders>
                  <w:vAlign w:val="center"/>
                </w:tcPr>
                <w:p w14:paraId="13F1073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764EB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208" w:type="pct"/>
                  <w:tcBorders>
                    <w:tl2br w:val="nil"/>
                    <w:tr2bl w:val="nil"/>
                  </w:tcBorders>
                  <w:vAlign w:val="center"/>
                </w:tcPr>
                <w:p w14:paraId="1891A42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02" w:type="pct"/>
                  <w:tcBorders>
                    <w:tl2br w:val="nil"/>
                    <w:tr2bl w:val="nil"/>
                  </w:tcBorders>
                  <w:vAlign w:val="center"/>
                </w:tcPr>
                <w:p w14:paraId="134DA98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《江苏省大气污染防治条例》（2018年修正）</w:t>
                  </w:r>
                </w:p>
              </w:tc>
              <w:tc>
                <w:tcPr>
                  <w:tcW w:w="2534" w:type="pct"/>
                  <w:tcBorders>
                    <w:tl2br w:val="nil"/>
                    <w:tr2bl w:val="nil"/>
                  </w:tcBorders>
                  <w:vAlign w:val="center"/>
                </w:tcPr>
                <w:p w14:paraId="11387096">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第三十八条  在生产经营过程中产生有毒有害大气污染物的，排污单位应当安装收集净化装置或者采取其他措施，达到国家和省规定的排放标准或者其他相关要求。禁止直接排放有毒有害大气污染物。</w:t>
                  </w:r>
                </w:p>
                <w:p w14:paraId="3AB81E8F">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87" w:type="pct"/>
                  <w:vMerge w:val="continue"/>
                  <w:tcBorders>
                    <w:tl2br w:val="nil"/>
                    <w:tr2bl w:val="nil"/>
                  </w:tcBorders>
                  <w:vAlign w:val="center"/>
                </w:tcPr>
                <w:p w14:paraId="7668BED5">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266" w:type="pct"/>
                  <w:vMerge w:val="continue"/>
                  <w:tcBorders>
                    <w:tl2br w:val="nil"/>
                    <w:tr2bl w:val="nil"/>
                  </w:tcBorders>
                  <w:vAlign w:val="center"/>
                </w:tcPr>
                <w:p w14:paraId="6F9760AB">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r>
            <w:tr w14:paraId="0C23D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767A060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02" w:type="pct"/>
                  <w:tcBorders>
                    <w:tl2br w:val="nil"/>
                    <w:tr2bl w:val="nil"/>
                  </w:tcBorders>
                  <w:vAlign w:val="center"/>
                </w:tcPr>
                <w:p w14:paraId="5EF102B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《江苏省挥发性有机物污染防治管理办法》（省政府令第119号）</w:t>
                  </w:r>
                </w:p>
              </w:tc>
              <w:tc>
                <w:tcPr>
                  <w:tcW w:w="2534" w:type="pct"/>
                  <w:tcBorders>
                    <w:tl2br w:val="nil"/>
                    <w:tr2bl w:val="nil"/>
                  </w:tcBorders>
                  <w:vAlign w:val="center"/>
                </w:tcPr>
                <w:p w14:paraId="68AD2986">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第二十一条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3D956904">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无法在密闭空间进行的生产经营活动应当采取有效措施，减少挥发性有机物排放量。</w:t>
                  </w:r>
                </w:p>
              </w:tc>
              <w:tc>
                <w:tcPr>
                  <w:tcW w:w="1187" w:type="pct"/>
                  <w:vMerge w:val="continue"/>
                  <w:tcBorders>
                    <w:tl2br w:val="nil"/>
                    <w:tr2bl w:val="nil"/>
                  </w:tcBorders>
                  <w:vAlign w:val="center"/>
                </w:tcPr>
                <w:p w14:paraId="031C27E6">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266" w:type="pct"/>
                  <w:tcBorders>
                    <w:tl2br w:val="nil"/>
                    <w:tr2bl w:val="nil"/>
                  </w:tcBorders>
                  <w:vAlign w:val="center"/>
                </w:tcPr>
                <w:p w14:paraId="47F5324D">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14:paraId="35AD4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0551848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02" w:type="pct"/>
                  <w:tcBorders>
                    <w:tl2br w:val="nil"/>
                    <w:tr2bl w:val="nil"/>
                  </w:tcBorders>
                  <w:vAlign w:val="center"/>
                </w:tcPr>
                <w:p w14:paraId="013A6869">
                  <w:pPr>
                    <w:widowControl/>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《江苏省重点行业挥发性有机物污染控制指南》（苏环办</w:t>
                  </w:r>
                  <w:r>
                    <w:rPr>
                      <w:rFonts w:hint="eastAsia" w:ascii="Times New Roman" w:hAnsi="Times New Roman" w:eastAsia="宋体" w:cs="Times New Roman"/>
                      <w:color w:val="000000" w:themeColor="text1"/>
                      <w:sz w:val="21"/>
                      <w:szCs w:val="21"/>
                      <w:lang w:eastAsia="zh-CN"/>
                      <w14:textFill>
                        <w14:solidFill>
                          <w14:schemeClr w14:val="tx1"/>
                        </w14:solidFill>
                      </w14:textFill>
                    </w:rPr>
                    <w:t>〔2014〕128号</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534" w:type="pct"/>
                  <w:tcBorders>
                    <w:tl2br w:val="nil"/>
                    <w:tr2bl w:val="nil"/>
                  </w:tcBorders>
                  <w:vAlign w:val="center"/>
                </w:tcPr>
                <w:p w14:paraId="573F5811">
                  <w:pPr>
                    <w:widowControl/>
                    <w:spacing w:line="240" w:lineRule="atLeast"/>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1187" w:type="pct"/>
                  <w:vMerge w:val="continue"/>
                  <w:tcBorders>
                    <w:tl2br w:val="nil"/>
                    <w:tr2bl w:val="nil"/>
                  </w:tcBorders>
                  <w:vAlign w:val="center"/>
                </w:tcPr>
                <w:p w14:paraId="0EDC35EB">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266" w:type="pct"/>
                  <w:tcBorders>
                    <w:tl2br w:val="nil"/>
                    <w:tr2bl w:val="nil"/>
                  </w:tcBorders>
                  <w:vAlign w:val="center"/>
                </w:tcPr>
                <w:p w14:paraId="4BC028CF">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14:paraId="13273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D03370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02" w:type="pct"/>
                  <w:tcBorders>
                    <w:tl2br w:val="nil"/>
                    <w:tr2bl w:val="nil"/>
                  </w:tcBorders>
                  <w:vAlign w:val="center"/>
                </w:tcPr>
                <w:p w14:paraId="2BF9E8B0">
                  <w:pPr>
                    <w:widowControl/>
                    <w:spacing w:line="240" w:lineRule="atLeas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生态环境部《2020年挥发性有机物治理攻坚方案》(环大气</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〔2020〕33号）</w:t>
                  </w:r>
                </w:p>
              </w:tc>
              <w:tc>
                <w:tcPr>
                  <w:tcW w:w="2534" w:type="pct"/>
                  <w:tcBorders>
                    <w:tl2br w:val="nil"/>
                    <w:tr2bl w:val="nil"/>
                  </w:tcBorders>
                  <w:vAlign w:val="center"/>
                </w:tcPr>
                <w:p w14:paraId="36BBAA29">
                  <w:pPr>
                    <w:widowControl/>
                    <w:numPr>
                      <w:ilvl w:val="0"/>
                      <w:numId w:val="0"/>
                    </w:numPr>
                    <w:spacing w:line="240" w:lineRule="atLeast"/>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三、聚焦治污设施“三率”，提升综合治理效率</w:t>
                  </w:r>
                </w:p>
                <w:p w14:paraId="5DAAFE43">
                  <w:pPr>
                    <w:widowControl/>
                    <w:numPr>
                      <w:ilvl w:val="0"/>
                      <w:numId w:val="0"/>
                    </w:numPr>
                    <w:spacing w:line="240" w:lineRule="atLeast"/>
                    <w:ind w:left="0" w:leftChars="0" w:firstLine="0" w:firstLineChars="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织企业对现有VOCs废气收集率、治理设施同步运行率和去除率开展自查，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187" w:type="pct"/>
                  <w:vMerge w:val="continue"/>
                  <w:tcBorders>
                    <w:tl2br w:val="nil"/>
                    <w:tr2bl w:val="nil"/>
                  </w:tcBorders>
                  <w:vAlign w:val="center"/>
                </w:tcPr>
                <w:p w14:paraId="3F3ADCFD">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266" w:type="pct"/>
                  <w:tcBorders>
                    <w:tl2br w:val="nil"/>
                    <w:tr2bl w:val="nil"/>
                  </w:tcBorders>
                  <w:vAlign w:val="center"/>
                </w:tcPr>
                <w:p w14:paraId="0509957E">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14:paraId="4DBF4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AD341E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02" w:type="pct"/>
                  <w:tcBorders>
                    <w:tl2br w:val="nil"/>
                    <w:tr2bl w:val="nil"/>
                  </w:tcBorders>
                  <w:vAlign w:val="center"/>
                </w:tcPr>
                <w:p w14:paraId="727057C3">
                  <w:pPr>
                    <w:widowControl/>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《关于印发《重点行业挥发性有机物综合治理方案》的通知》（环大气</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〔2019〕53号</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2534" w:type="pct"/>
                  <w:tcBorders>
                    <w:tl2br w:val="nil"/>
                    <w:tr2bl w:val="nil"/>
                  </w:tcBorders>
                  <w:vAlign w:val="center"/>
                </w:tcPr>
                <w:p w14:paraId="63FB8B4E">
                  <w:pPr>
                    <w:widowControl/>
                    <w:numPr>
                      <w:ilvl w:val="0"/>
                      <w:numId w:val="2"/>
                    </w:numPr>
                    <w:spacing w:line="240" w:lineRule="atLeast"/>
                    <w:ind w:firstLine="210" w:firstLineChars="10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77132F4D">
                  <w:pPr>
                    <w:widowControl/>
                    <w:numPr>
                      <w:ilvl w:val="0"/>
                      <w:numId w:val="0"/>
                    </w:numPr>
                    <w:spacing w:line="240" w:lineRule="atLeast"/>
                    <w:ind w:left="0" w:leftChars="0" w:firstLine="0" w:firstLineChars="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187" w:type="pct"/>
                  <w:tcBorders>
                    <w:tl2br w:val="nil"/>
                    <w:tr2bl w:val="nil"/>
                  </w:tcBorders>
                  <w:vAlign w:val="center"/>
                </w:tcPr>
                <w:p w14:paraId="0F4CA4BD">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本项目使用的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含VOC原料为铜保护剂，属于清洁原料，且酸洗、铜保护工序产生的废气</w:t>
                  </w:r>
                  <w:r>
                    <w:rPr>
                      <w:rFonts w:hint="default" w:ascii="Times New Roman" w:hAnsi="Times New Roman" w:eastAsia="宋体" w:cs="Times New Roman"/>
                      <w:color w:val="000000" w:themeColor="text1"/>
                      <w:sz w:val="21"/>
                      <w:szCs w:val="21"/>
                      <w14:textFill>
                        <w14:solidFill>
                          <w14:schemeClr w14:val="tx1"/>
                        </w14:solidFill>
                      </w14:textFill>
                    </w:rPr>
                    <w:t>进入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除雾器+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处理后通过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m高的排气筒</w:t>
                  </w: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符合要求。</w:t>
                  </w:r>
                </w:p>
              </w:tc>
              <w:tc>
                <w:tcPr>
                  <w:tcW w:w="266" w:type="pct"/>
                  <w:tcBorders>
                    <w:tl2br w:val="nil"/>
                    <w:tr2bl w:val="nil"/>
                  </w:tcBorders>
                  <w:vAlign w:val="center"/>
                </w:tcPr>
                <w:p w14:paraId="2D5B0E82">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2ACA7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7B9C5E9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02" w:type="pct"/>
                  <w:tcBorders>
                    <w:tl2br w:val="nil"/>
                    <w:tr2bl w:val="nil"/>
                  </w:tcBorders>
                  <w:shd w:val="clear" w:color="auto" w:fill="auto"/>
                  <w:vAlign w:val="center"/>
                </w:tcPr>
                <w:p w14:paraId="4A8F08E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《关于加强高耗能、高排放建设项目生态环境源头防控的指导意见》（环环评</w:t>
                  </w:r>
                  <w:r>
                    <w:rPr>
                      <w:rFonts w:hint="eastAsia" w:ascii="Times New Roman" w:hAnsi="Times New Roman" w:eastAsia="宋体" w:cs="Times New Roman"/>
                      <w:color w:val="000000" w:themeColor="text1"/>
                      <w:sz w:val="21"/>
                      <w:szCs w:val="21"/>
                      <w:lang w:eastAsia="zh-CN"/>
                      <w14:textFill>
                        <w14:solidFill>
                          <w14:schemeClr w14:val="tx1"/>
                        </w14:solidFill>
                      </w14:textFill>
                    </w:rPr>
                    <w:t>〔2021〕45号</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534" w:type="pct"/>
                  <w:tcBorders>
                    <w:tl2br w:val="nil"/>
                    <w:tr2bl w:val="nil"/>
                  </w:tcBorders>
                  <w:shd w:val="clear" w:color="auto" w:fill="auto"/>
                  <w:vAlign w:val="center"/>
                </w:tcPr>
                <w:p w14:paraId="483716FA">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二、严格“两高”项目环评审批</w:t>
                  </w:r>
                </w:p>
                <w:p w14:paraId="2F6711FA">
                  <w:p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187" w:type="pct"/>
                  <w:vMerge w:val="restart"/>
                  <w:tcBorders>
                    <w:tl2br w:val="nil"/>
                    <w:tr2bl w:val="nil"/>
                  </w:tcBorders>
                  <w:vAlign w:val="center"/>
                </w:tcPr>
                <w:p w14:paraId="61AEDE57">
                  <w:pPr>
                    <w:widowControl/>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本项目从事</w:t>
                  </w:r>
                  <w:r>
                    <w:rPr>
                      <w:rFonts w:hint="default" w:ascii="Times New Roman" w:hAnsi="Times New Roman" w:eastAsia="宋体" w:cs="Times New Roman"/>
                      <w:color w:val="000000" w:themeColor="text1"/>
                      <w:sz w:val="21"/>
                      <w:szCs w:val="21"/>
                      <w:lang w:eastAsia="zh-CN"/>
                      <w14:textFill>
                        <w14:solidFill>
                          <w14:schemeClr w14:val="tx1"/>
                        </w14:solidFill>
                      </w14:textFill>
                    </w:rPr>
                    <w:t>芯片框架组件</w:t>
                  </w:r>
                  <w:r>
                    <w:rPr>
                      <w:rFonts w:hint="default" w:ascii="Times New Roman" w:hAnsi="Times New Roman" w:eastAsia="宋体" w:cs="Times New Roman"/>
                      <w:color w:val="000000" w:themeColor="text1"/>
                      <w:sz w:val="21"/>
                      <w:szCs w:val="21"/>
                      <w14:textFill>
                        <w14:solidFill>
                          <w14:schemeClr w14:val="tx1"/>
                        </w14:solidFill>
                      </w14:textFill>
                    </w:rPr>
                    <w:t>的生产，行业类别为</w:t>
                  </w:r>
                  <w:r>
                    <w:rPr>
                      <w:rFonts w:hint="eastAsia" w:ascii="Times New Roman" w:hAnsi="Times New Roman" w:eastAsia="宋体" w:cs="Times New Roman"/>
                      <w:color w:val="000000" w:themeColor="text1"/>
                      <w:sz w:val="21"/>
                      <w:szCs w:val="21"/>
                      <w:lang w:eastAsia="zh-CN"/>
                      <w14:textFill>
                        <w14:solidFill>
                          <w14:schemeClr w14:val="tx1"/>
                        </w14:solidFill>
                      </w14:textFill>
                    </w:rPr>
                    <w:t>C3989其他电子元件制造</w:t>
                  </w:r>
                  <w:r>
                    <w:rPr>
                      <w:rFonts w:hint="default" w:ascii="Times New Roman" w:hAnsi="Times New Roman" w:eastAsia="宋体" w:cs="Times New Roman"/>
                      <w:color w:val="000000" w:themeColor="text1"/>
                      <w:sz w:val="21"/>
                      <w:szCs w:val="21"/>
                      <w14:textFill>
                        <w14:solidFill>
                          <w14:schemeClr w14:val="tx1"/>
                        </w14:solidFill>
                      </w14:textFill>
                    </w:rPr>
                    <w:t>，不在《环境保护综合名录(2021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年版》的“高污染、高环境风险”产品名录中，不属于两高行业。项目距离最近的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国控站点（金坛区人民政府）直线距离约6.0km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14:textFill>
                        <w14:solidFill>
                          <w14:schemeClr w14:val="tx1"/>
                        </w14:solidFill>
                      </w14:textFill>
                    </w:rPr>
                    <w:t>属于重点区域</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不属于高耗能项目</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66" w:type="pct"/>
                  <w:vMerge w:val="restart"/>
                  <w:tcBorders>
                    <w:tl2br w:val="nil"/>
                    <w:tr2bl w:val="nil"/>
                  </w:tcBorders>
                  <w:vAlign w:val="center"/>
                </w:tcPr>
                <w:p w14:paraId="3F9A00E9">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2A3D6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CCB983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02" w:type="pct"/>
                  <w:tcBorders>
                    <w:tl2br w:val="nil"/>
                    <w:tr2bl w:val="nil"/>
                  </w:tcBorders>
                  <w:vAlign w:val="center"/>
                </w:tcPr>
                <w:p w14:paraId="0D97187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关于印发《环境保护综合名录（2021年版）的通知》</w:t>
                  </w:r>
                </w:p>
              </w:tc>
              <w:tc>
                <w:tcPr>
                  <w:tcW w:w="2534" w:type="pct"/>
                  <w:tcBorders>
                    <w:tl2br w:val="nil"/>
                    <w:tr2bl w:val="nil"/>
                  </w:tcBorders>
                  <w:vAlign w:val="center"/>
                </w:tcPr>
                <w:p w14:paraId="33304EB7">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1187" w:type="pct"/>
                  <w:vMerge w:val="continue"/>
                  <w:tcBorders>
                    <w:tl2br w:val="nil"/>
                    <w:tr2bl w:val="nil"/>
                  </w:tcBorders>
                  <w:vAlign w:val="center"/>
                </w:tcPr>
                <w:p w14:paraId="2D5B0A06">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266" w:type="pct"/>
                  <w:vMerge w:val="continue"/>
                  <w:tcBorders>
                    <w:tl2br w:val="nil"/>
                    <w:tr2bl w:val="nil"/>
                  </w:tcBorders>
                  <w:vAlign w:val="center"/>
                </w:tcPr>
                <w:p w14:paraId="48D0537E">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r>
            <w:tr w14:paraId="6E205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72F440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02" w:type="pct"/>
                  <w:tcBorders>
                    <w:tl2br w:val="nil"/>
                    <w:tr2bl w:val="nil"/>
                  </w:tcBorders>
                  <w:vAlign w:val="center"/>
                </w:tcPr>
                <w:p w14:paraId="11B8A25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市生态环境局关于建设项目的审批指导意见（试行）</w:t>
                  </w:r>
                </w:p>
              </w:tc>
              <w:tc>
                <w:tcPr>
                  <w:tcW w:w="2534" w:type="pct"/>
                  <w:tcBorders>
                    <w:tl2br w:val="nil"/>
                    <w:tr2bl w:val="nil"/>
                  </w:tcBorders>
                  <w:vAlign w:val="center"/>
                </w:tcPr>
                <w:p w14:paraId="7E659322">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区域为常州市大气质量国控站点周边3km范围。高耗能项目为：石油、煤炭及其他燃料加工业，电力、热力生产和供应业，非金属矿物制品业，食品制造业，黑色金属冶炼和压延加工业，有色金属冶炼和压延加工业，造纸及纸制品业，化学原料和化学制品制造业。</w:t>
                  </w:r>
                </w:p>
              </w:tc>
              <w:tc>
                <w:tcPr>
                  <w:tcW w:w="1187" w:type="pct"/>
                  <w:vMerge w:val="continue"/>
                  <w:tcBorders>
                    <w:tl2br w:val="nil"/>
                    <w:tr2bl w:val="nil"/>
                  </w:tcBorders>
                  <w:vAlign w:val="center"/>
                </w:tcPr>
                <w:p w14:paraId="466A9F1C">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266" w:type="pct"/>
                  <w:vMerge w:val="continue"/>
                  <w:tcBorders>
                    <w:tl2br w:val="nil"/>
                    <w:tr2bl w:val="nil"/>
                  </w:tcBorders>
                  <w:vAlign w:val="center"/>
                </w:tcPr>
                <w:p w14:paraId="188D97E6">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r>
          </w:tbl>
          <w:p w14:paraId="4B260BBD">
            <w:pPr>
              <w:pStyle w:val="4"/>
              <w:rPr>
                <w:rFonts w:hint="default" w:ascii="Times New Roman" w:hAnsi="Times New Roman" w:cs="Times New Roman"/>
                <w:color w:val="000000" w:themeColor="text1"/>
                <w:vertAlign w:val="baseline"/>
                <w14:textFill>
                  <w14:solidFill>
                    <w14:schemeClr w14:val="tx1"/>
                  </w14:solidFill>
                </w14:textFill>
              </w:rPr>
            </w:pPr>
          </w:p>
        </w:tc>
      </w:tr>
    </w:tbl>
    <w:p w14:paraId="2838E020">
      <w:pPr>
        <w:pStyle w:val="4"/>
        <w:rPr>
          <w:rFonts w:hint="default" w:ascii="Times New Roman" w:hAnsi="Times New Roman" w:cs="Times New Roman"/>
          <w:color w:val="000000" w:themeColor="text1"/>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14:paraId="6D72EE43">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二、建设项目工程分析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846"/>
      </w:tblGrid>
      <w:tr w14:paraId="380C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14:paraId="44350C23">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建设内容</w:t>
            </w:r>
          </w:p>
        </w:tc>
        <w:tc>
          <w:tcPr>
            <w:tcW w:w="4762" w:type="pct"/>
          </w:tcPr>
          <w:p w14:paraId="57594FB2">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1、工程概况</w:t>
            </w:r>
          </w:p>
          <w:p w14:paraId="7CCF2BEA">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常州市鼎一电子有限公司成立于2014年04月25日，注册地位于常州市金坛区晨风路900号16号楼101室，法定代表人为蔡登标。经营范围包括二极管、三极管、二极管铜引线、铜丝、接插件、引线框架、料片、模具、五金冲压件、窗饰五金零配件、电子五金零配件、包装材料、机械设备生产销售。</w:t>
            </w:r>
          </w:p>
          <w:p w14:paraId="27C3D849">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常州市鼎一电子有限公司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于2021年购置联东U谷金坛科技产业园内的现有标准厂房2000m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，现有放料机、整平机、冲床、磨床、分切机等设备，具备年产6亿套</w:t>
            </w:r>
            <w:r>
              <w:rPr>
                <w:rFonts w:hint="default" w:ascii="Times New Roman" w:hAnsi="Times New Roman" w:eastAsia="宋体" w:cs="Times New Roman"/>
                <w:color w:val="000000" w:themeColor="text1"/>
                <w:sz w:val="24"/>
                <w:lang w:eastAsia="zh-CN"/>
                <w14:textFill>
                  <w14:solidFill>
                    <w14:schemeClr w14:val="tx1"/>
                  </w14:solidFill>
                </w14:textFill>
              </w:rPr>
              <w:t>芯片框架组件的生产能力</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行业为C3989其他电子元件制造，无需编制环评。已申领排污许可登记，编号为：913204133019106739001Z。</w:t>
            </w:r>
          </w:p>
          <w:p w14:paraId="519598C2">
            <w:pPr>
              <w:spacing w:line="360" w:lineRule="auto"/>
              <w:ind w:firstLine="480" w:firstLineChars="200"/>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随着企业业务发展，常州市鼎一电子有限公司</w:t>
            </w:r>
            <w:r>
              <w:rPr>
                <w:rFonts w:hint="default" w:ascii="Times New Roman" w:hAnsi="Times New Roman" w:eastAsia="宋体" w:cs="Times New Roman"/>
                <w:color w:val="000000" w:themeColor="text1"/>
                <w:sz w:val="24"/>
                <w:lang w:eastAsia="zh-CN"/>
                <w14:textFill>
                  <w14:solidFill>
                    <w14:schemeClr w14:val="tx1"/>
                  </w14:solidFill>
                </w14:textFill>
              </w:rPr>
              <w:t>购置冲床、放料机、整平机、分切机、清洗线等设备，</w:t>
            </w:r>
            <w:r>
              <w:rPr>
                <w:rFonts w:hint="eastAsia" w:ascii="Times New Roman" w:hAnsi="Times New Roman" w:eastAsia="宋体" w:cs="Times New Roman"/>
                <w:color w:val="000000" w:themeColor="text1"/>
                <w:sz w:val="24"/>
                <w:lang w:val="en-US" w:eastAsia="zh-CN"/>
                <w14:textFill>
                  <w14:solidFill>
                    <w14:schemeClr w14:val="tx1"/>
                  </w14:solidFill>
                </w14:textFill>
              </w:rPr>
              <w:t>利用现有车间扩建</w:t>
            </w:r>
            <w:r>
              <w:rPr>
                <w:rFonts w:hint="default" w:ascii="Times New Roman" w:hAnsi="Times New Roman" w:eastAsia="宋体" w:cs="Times New Roman"/>
                <w:color w:val="000000" w:themeColor="text1"/>
                <w:sz w:val="24"/>
                <w:lang w:eastAsia="zh-CN"/>
                <w14:textFill>
                  <w14:solidFill>
                    <w14:schemeClr w14:val="tx1"/>
                  </w14:solidFill>
                </w14:textFill>
              </w:rPr>
              <w:t>电子框架生产线，形成年产12亿套芯片框架组件的生产能力。</w:t>
            </w:r>
            <w:r>
              <w:rPr>
                <w:rFonts w:hint="eastAsia" w:ascii="Times New Roman" w:hAnsi="Times New Roman" w:eastAsia="宋体" w:cs="Times New Roman"/>
                <w:color w:val="000000" w:themeColor="text1"/>
                <w:sz w:val="24"/>
                <w:lang w:val="en-US" w:eastAsia="zh-CN"/>
                <w14:textFill>
                  <w14:solidFill>
                    <w14:schemeClr w14:val="tx1"/>
                  </w14:solidFill>
                </w14:textFill>
              </w:rPr>
              <w:t>本项目不分期建设。</w:t>
            </w:r>
          </w:p>
          <w:p w14:paraId="55D9A7C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该项目已于202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日取得江苏金坛经济开发区经济发展局的项目备案证明，备案证号：</w:t>
            </w:r>
            <w:r>
              <w:rPr>
                <w:rFonts w:hint="eastAsia" w:ascii="Times New Roman" w:hAnsi="Times New Roman" w:eastAsia="宋体" w:cs="Times New Roman"/>
                <w:color w:val="000000" w:themeColor="text1"/>
                <w:sz w:val="24"/>
                <w:lang w:eastAsia="zh-CN"/>
                <w14:textFill>
                  <w14:solidFill>
                    <w14:schemeClr w14:val="tx1"/>
                  </w14:solidFill>
                </w14:textFill>
              </w:rPr>
              <w:t>坛开经发备字〔2025〕192号</w:t>
            </w:r>
            <w:r>
              <w:rPr>
                <w:rFonts w:hint="default" w:ascii="Times New Roman" w:hAnsi="Times New Roman" w:eastAsia="宋体" w:cs="Times New Roman"/>
                <w:color w:val="000000" w:themeColor="text1"/>
                <w:sz w:val="24"/>
                <w14:textFill>
                  <w14:solidFill>
                    <w14:schemeClr w14:val="tx1"/>
                  </w14:solidFill>
                </w14:textFill>
              </w:rPr>
              <w:t>，项目代码：</w:t>
            </w:r>
            <w:r>
              <w:rPr>
                <w:rFonts w:hint="eastAsia" w:ascii="Times New Roman" w:hAnsi="Times New Roman" w:eastAsia="宋体" w:cs="Times New Roman"/>
                <w:color w:val="000000" w:themeColor="text1"/>
                <w:sz w:val="24"/>
                <w:lang w:eastAsia="zh-CN"/>
                <w14:textFill>
                  <w14:solidFill>
                    <w14:schemeClr w14:val="tx1"/>
                  </w14:solidFill>
                </w14:textFill>
              </w:rPr>
              <w:t>2507-320458-89-01-365993</w:t>
            </w:r>
            <w:r>
              <w:rPr>
                <w:rFonts w:hint="default" w:ascii="Times New Roman" w:hAnsi="Times New Roman" w:eastAsia="宋体" w:cs="Times New Roman"/>
                <w:color w:val="000000" w:themeColor="text1"/>
                <w:sz w:val="24"/>
                <w14:textFill>
                  <w14:solidFill>
                    <w14:schemeClr w14:val="tx1"/>
                  </w14:solidFill>
                </w14:textFill>
              </w:rPr>
              <w:t>，项目建成后将形成</w:t>
            </w:r>
            <w:r>
              <w:rPr>
                <w:rFonts w:hint="default" w:ascii="Times New Roman" w:hAnsi="Times New Roman" w:eastAsia="宋体" w:cs="Times New Roman"/>
                <w:color w:val="000000" w:themeColor="text1"/>
                <w:sz w:val="24"/>
                <w:lang w:val="en-US" w:eastAsia="zh-CN"/>
                <w14:textFill>
                  <w14:solidFill>
                    <w14:schemeClr w14:val="tx1"/>
                  </w14:solidFill>
                </w14:textFill>
              </w:rPr>
              <w:t>年产</w:t>
            </w:r>
            <w:r>
              <w:rPr>
                <w:rFonts w:hint="default" w:ascii="Times New Roman" w:hAnsi="Times New Roman" w:eastAsia="宋体" w:cs="Times New Roman"/>
                <w:color w:val="000000" w:themeColor="text1"/>
                <w:sz w:val="24"/>
                <w:lang w:eastAsia="zh-CN"/>
                <w14:textFill>
                  <w14:solidFill>
                    <w14:schemeClr w14:val="tx1"/>
                  </w14:solidFill>
                </w14:textFill>
              </w:rPr>
              <w:t>12亿套芯片框架组件</w:t>
            </w:r>
            <w:r>
              <w:rPr>
                <w:rFonts w:hint="default" w:ascii="Times New Roman" w:hAnsi="Times New Roman" w:eastAsia="宋体" w:cs="Times New Roman"/>
                <w:color w:val="000000" w:themeColor="text1"/>
                <w:sz w:val="24"/>
                <w14:textFill>
                  <w14:solidFill>
                    <w14:schemeClr w14:val="tx1"/>
                  </w14:solidFill>
                </w14:textFill>
              </w:rPr>
              <w:t>的生产能力。</w:t>
            </w:r>
          </w:p>
          <w:p w14:paraId="7680313C">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企业新增清洗线的必要性：铜因优异的导电、导热性能成为芯片互连线和引线框架的核心材料。然而，铜的化学性质也带来了挑战：①易氧化与腐蚀铜：在空气中会迅速氧化，并可能发生电化学腐蚀。在芯片框架上，铜面的腐蚀会直接导致可焊性下降，引发焊接点脱落。②易扩散：铜原子在电场和温度作用下，容易扩散进入周围的硅或电介质材料中，污染并毒化晶体管等有源器件，导致电路功能失效。因此，企业为提高产品性能和寿命，需对产品进行清洗加工。</w:t>
            </w:r>
          </w:p>
          <w:p w14:paraId="04E24BA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三十六、计算机、通信和其他电子设备制造业39-</w:t>
            </w:r>
            <w:r>
              <w:rPr>
                <w:rFonts w:hint="eastAsia" w:ascii="Times New Roman" w:hAnsi="Times New Roman" w:eastAsia="宋体" w:cs="Times New Roman"/>
                <w:color w:val="000000" w:themeColor="text1"/>
                <w:sz w:val="24"/>
                <w:lang w:val="en-US" w:eastAsia="zh-CN"/>
                <w14:textFill>
                  <w14:solidFill>
                    <w14:schemeClr w14:val="tx1"/>
                  </w14:solidFill>
                </w14:textFill>
              </w:rPr>
              <w:t>81</w:t>
            </w:r>
            <w:r>
              <w:rPr>
                <w:rFonts w:hint="default" w:ascii="Times New Roman" w:hAnsi="Times New Roman" w:eastAsia="宋体" w:cs="Times New Roman"/>
                <w:color w:val="000000" w:themeColor="text1"/>
                <w:sz w:val="24"/>
                <w:lang w:val="en-US" w:eastAsia="zh-CN"/>
                <w14:textFill>
                  <w14:solidFill>
                    <w14:schemeClr w14:val="tx1"/>
                  </w14:solidFill>
                </w14:textFill>
              </w:rPr>
              <w:t>电子元件及电子专用材料制造 398</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有酸洗的</w:t>
            </w:r>
            <w:r>
              <w:rPr>
                <w:rFonts w:hint="default" w:ascii="Times New Roman" w:hAnsi="Times New Roman" w:eastAsia="宋体" w:cs="Times New Roman"/>
                <w:color w:val="000000" w:themeColor="text1"/>
                <w:sz w:val="24"/>
                <w14:textFill>
                  <w14:solidFill>
                    <w14:schemeClr w14:val="tx1"/>
                  </w14:solidFill>
                </w14:textFill>
              </w:rPr>
              <w:t>”，应编制环境影响评价报告表。</w:t>
            </w:r>
            <w:r>
              <w:rPr>
                <w:rFonts w:hint="eastAsia" w:ascii="Times New Roman" w:hAnsi="Times New Roman" w:eastAsia="宋体" w:cs="Times New Roman"/>
                <w:color w:val="000000" w:themeColor="text1"/>
                <w:sz w:val="24"/>
                <w:lang w:eastAsia="zh-CN"/>
                <w14:textFill>
                  <w14:solidFill>
                    <w14:schemeClr w14:val="tx1"/>
                  </w14:solidFill>
                </w14:textFill>
              </w:rPr>
              <w:t>常州市鼎一电子有限公司</w:t>
            </w:r>
            <w:r>
              <w:rPr>
                <w:rFonts w:hint="default" w:ascii="Times New Roman" w:hAnsi="Times New Roman" w:eastAsia="宋体" w:cs="Times New Roman"/>
                <w:color w:val="000000" w:themeColor="text1"/>
                <w:sz w:val="24"/>
                <w14:textFill>
                  <w14:solidFill>
                    <w14:schemeClr w14:val="tx1"/>
                  </w14:solidFill>
                </w14:textFill>
              </w:rPr>
              <w:t>委托</w:t>
            </w:r>
            <w:r>
              <w:rPr>
                <w:rFonts w:hint="default" w:ascii="Times New Roman" w:hAnsi="Times New Roman" w:eastAsia="宋体" w:cs="Times New Roman"/>
                <w:color w:val="000000" w:themeColor="text1"/>
                <w:sz w:val="24"/>
                <w:lang w:eastAsia="zh-CN"/>
                <w14:textFill>
                  <w14:solidFill>
                    <w14:schemeClr w14:val="tx1"/>
                  </w14:solidFill>
                </w14:textFill>
              </w:rPr>
              <w:t>常州爱森环保科技有限公司</w:t>
            </w:r>
            <w:r>
              <w:rPr>
                <w:rFonts w:hint="default" w:ascii="Times New Roman" w:hAnsi="Times New Roman" w:eastAsia="宋体" w:cs="Times New Roman"/>
                <w:color w:val="000000" w:themeColor="text1"/>
                <w:sz w:val="24"/>
                <w14:textFill>
                  <w14:solidFill>
                    <w14:schemeClr w14:val="tx1"/>
                  </w14:solidFill>
                </w14:textFill>
              </w:rPr>
              <w:t>编制建设项目环境影响报告表，</w:t>
            </w:r>
            <w:r>
              <w:rPr>
                <w:rFonts w:hint="default" w:ascii="Times New Roman" w:hAnsi="Times New Roman" w:eastAsia="宋体" w:cs="Times New Roman"/>
                <w:color w:val="000000" w:themeColor="text1"/>
                <w:sz w:val="24"/>
                <w:lang w:eastAsia="zh-CN"/>
                <w14:textFill>
                  <w14:solidFill>
                    <w14:schemeClr w14:val="tx1"/>
                  </w14:solidFill>
                </w14:textFill>
              </w:rPr>
              <w:t>常州爱森环保科技有限公司</w:t>
            </w:r>
            <w:r>
              <w:rPr>
                <w:rFonts w:hint="default" w:ascii="Times New Roman" w:hAnsi="Times New Roman" w:eastAsia="宋体" w:cs="Times New Roman"/>
                <w:color w:val="000000" w:themeColor="text1"/>
                <w:sz w:val="24"/>
                <w14:textFill>
                  <w14:solidFill>
                    <w14:schemeClr w14:val="tx1"/>
                  </w14:solidFill>
                </w14:textFill>
              </w:rPr>
              <w:t>接受委托后即组织进行现场勘查、相关资料收集及其他相关工作，最终完成了该项目环境影响评价报告表的编制。</w:t>
            </w:r>
          </w:p>
          <w:p w14:paraId="427F2B0C">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2、建设内容和规模</w:t>
            </w:r>
          </w:p>
          <w:p w14:paraId="1C50B4B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项目名称：</w:t>
            </w:r>
            <w:r>
              <w:rPr>
                <w:rFonts w:hint="eastAsia" w:ascii="Times New Roman" w:hAnsi="Times New Roman" w:eastAsia="宋体" w:cs="Times New Roman"/>
                <w:color w:val="000000" w:themeColor="text1"/>
                <w:sz w:val="24"/>
                <w:lang w:eastAsia="zh-CN"/>
                <w14:textFill>
                  <w14:solidFill>
                    <w14:schemeClr w14:val="tx1"/>
                  </w14:solidFill>
                </w14:textFill>
              </w:rPr>
              <w:t>新建年产12亿套芯片框架组件项目</w:t>
            </w:r>
            <w:r>
              <w:rPr>
                <w:rFonts w:hint="default" w:ascii="Times New Roman" w:hAnsi="Times New Roman" w:eastAsia="宋体" w:cs="Times New Roman"/>
                <w:color w:val="000000" w:themeColor="text1"/>
                <w:sz w:val="24"/>
                <w14:textFill>
                  <w14:solidFill>
                    <w14:schemeClr w14:val="tx1"/>
                  </w14:solidFill>
                </w14:textFill>
              </w:rPr>
              <w:t>；</w:t>
            </w:r>
          </w:p>
          <w:p w14:paraId="5F3EADF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建设单位：</w:t>
            </w:r>
            <w:r>
              <w:rPr>
                <w:rFonts w:hint="eastAsia" w:ascii="Times New Roman" w:hAnsi="Times New Roman" w:eastAsia="宋体" w:cs="Times New Roman"/>
                <w:color w:val="000000" w:themeColor="text1"/>
                <w:sz w:val="24"/>
                <w:lang w:eastAsia="zh-CN"/>
                <w14:textFill>
                  <w14:solidFill>
                    <w14:schemeClr w14:val="tx1"/>
                  </w14:solidFill>
                </w14:textFill>
              </w:rPr>
              <w:t>常州市鼎一电子有限公司</w:t>
            </w:r>
            <w:r>
              <w:rPr>
                <w:rFonts w:hint="default" w:ascii="Times New Roman" w:hAnsi="Times New Roman" w:eastAsia="宋体" w:cs="Times New Roman"/>
                <w:color w:val="000000" w:themeColor="text1"/>
                <w:sz w:val="24"/>
                <w14:textFill>
                  <w14:solidFill>
                    <w14:schemeClr w14:val="tx1"/>
                  </w14:solidFill>
                </w14:textFill>
              </w:rPr>
              <w:t>；</w:t>
            </w:r>
          </w:p>
          <w:p w14:paraId="2CDC1C3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r>
              <w:rPr>
                <w:rFonts w:hint="eastAsia" w:ascii="Times New Roman" w:hAnsi="Times New Roman" w:eastAsia="宋体" w:cs="Times New Roman"/>
                <w:color w:val="000000" w:themeColor="text1"/>
                <w:sz w:val="24"/>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color w:val="000000" w:themeColor="text1"/>
                <w:sz w:val="24"/>
                <w14:textFill>
                  <w14:solidFill>
                    <w14:schemeClr w14:val="tx1"/>
                  </w14:solidFill>
                </w14:textFill>
              </w:rPr>
              <w:t>；</w:t>
            </w:r>
          </w:p>
          <w:p w14:paraId="1A64502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建设性质：</w:t>
            </w:r>
            <w:r>
              <w:rPr>
                <w:rFonts w:hint="eastAsia" w:ascii="Times New Roman" w:hAnsi="Times New Roman" w:eastAsia="宋体" w:cs="Times New Roman"/>
                <w:color w:val="000000" w:themeColor="text1"/>
                <w:sz w:val="24"/>
                <w:lang w:val="en-US" w:eastAsia="zh-CN"/>
                <w14:textFill>
                  <w14:solidFill>
                    <w14:schemeClr w14:val="tx1"/>
                  </w14:solidFill>
                </w14:textFill>
              </w:rPr>
              <w:t>扩建</w:t>
            </w:r>
            <w:r>
              <w:rPr>
                <w:rFonts w:hint="default" w:ascii="Times New Roman" w:hAnsi="Times New Roman" w:eastAsia="宋体" w:cs="Times New Roman"/>
                <w:color w:val="000000" w:themeColor="text1"/>
                <w:sz w:val="24"/>
                <w14:textFill>
                  <w14:solidFill>
                    <w14:schemeClr w14:val="tx1"/>
                  </w14:solidFill>
                </w14:textFill>
              </w:rPr>
              <w:t>；</w:t>
            </w:r>
          </w:p>
          <w:p w14:paraId="6390DD3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建筑面积：</w:t>
            </w:r>
            <w:r>
              <w:rPr>
                <w:rFonts w:hint="eastAsia" w:ascii="Times New Roman" w:hAnsi="Times New Roman" w:eastAsia="宋体" w:cs="Times New Roman"/>
                <w:color w:val="000000" w:themeColor="text1"/>
                <w:sz w:val="24"/>
                <w:lang w:val="en-US" w:eastAsia="zh-CN"/>
                <w14:textFill>
                  <w14:solidFill>
                    <w14:schemeClr w14:val="tx1"/>
                  </w14:solidFill>
                </w14:textFill>
              </w:rPr>
              <w:t>200</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p>
          <w:p w14:paraId="377BD41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建设内容和规模：</w:t>
            </w:r>
            <w:r>
              <w:rPr>
                <w:rFonts w:hint="eastAsia" w:ascii="Times New Roman" w:hAnsi="Times New Roman" w:eastAsia="宋体" w:cs="Times New Roman"/>
                <w:color w:val="000000" w:themeColor="text1"/>
                <w:sz w:val="24"/>
                <w:lang w:val="en-US" w:eastAsia="zh-CN"/>
                <w14:textFill>
                  <w14:solidFill>
                    <w14:schemeClr w14:val="tx1"/>
                  </w14:solidFill>
                </w14:textFill>
              </w:rPr>
              <w:t>常州市鼎一电子有限公司购置冲床、放料机、整平机、分切机、清洗线等设备，利用现有车间扩建电子框架生产线，形成年产12亿套芯片框架组件的生产能力。本项目不分期建设</w:t>
            </w:r>
            <w:r>
              <w:rPr>
                <w:rFonts w:hint="default" w:ascii="Times New Roman" w:hAnsi="Times New Roman" w:eastAsia="宋体" w:cs="Times New Roman"/>
                <w:color w:val="000000" w:themeColor="text1"/>
                <w:sz w:val="24"/>
                <w14:textFill>
                  <w14:solidFill>
                    <w14:schemeClr w14:val="tx1"/>
                  </w14:solidFill>
                </w14:textFill>
              </w:rPr>
              <w:t>。</w:t>
            </w:r>
          </w:p>
          <w:p w14:paraId="5C774E5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投资情况：</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00万元，其中环保投资1</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0万元，占总投资的</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p>
          <w:p w14:paraId="33C4832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劳动定员及工作制度：</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szCs w:val="24"/>
                <w14:textFill>
                  <w14:solidFill>
                    <w14:schemeClr w14:val="tx1"/>
                  </w14:solidFill>
                </w14:textFill>
              </w:rPr>
              <w:t>劳动定员为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14:textFill>
                  <w14:solidFill>
                    <w14:schemeClr w14:val="tx1"/>
                  </w14:solidFill>
                </w14:textFill>
              </w:rPr>
              <w:t>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全厂劳动定员30人</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年工作300天，每天工作1班，每班工作</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小时，年工作时间为</w:t>
            </w:r>
            <w:r>
              <w:rPr>
                <w:rFonts w:hint="eastAsia"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00小时；</w:t>
            </w:r>
          </w:p>
          <w:p w14:paraId="537177D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其他：本项目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不</w:t>
            </w:r>
            <w:r>
              <w:rPr>
                <w:rFonts w:hint="default" w:ascii="Times New Roman" w:hAnsi="Times New Roman" w:eastAsia="宋体" w:cs="Times New Roman"/>
                <w:color w:val="000000" w:themeColor="text1"/>
                <w:sz w:val="24"/>
                <w14:textFill>
                  <w14:solidFill>
                    <w14:schemeClr w14:val="tx1"/>
                  </w14:solidFill>
                </w14:textFill>
              </w:rPr>
              <w:t>设置食堂</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宿舍等其他生活设施。</w:t>
            </w:r>
          </w:p>
          <w:p w14:paraId="02C69982">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、产品及产能</w:t>
            </w:r>
          </w:p>
          <w:p w14:paraId="0F72114C">
            <w:pPr>
              <w:pStyle w:val="54"/>
              <w:spacing w:line="360" w:lineRule="auto"/>
              <w:ind w:firstLine="484"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1"/>
                <w:sz w:val="24"/>
                <w14:textFill>
                  <w14:solidFill>
                    <w14:schemeClr w14:val="tx1"/>
                  </w14:solidFill>
                </w14:textFill>
              </w:rPr>
              <w:t>本项目</w:t>
            </w:r>
            <w:r>
              <w:rPr>
                <w:rFonts w:hint="default" w:ascii="Times New Roman" w:hAnsi="Times New Roman" w:eastAsia="宋体" w:cs="Times New Roman"/>
                <w:color w:val="000000" w:themeColor="text1"/>
                <w:spacing w:val="-2"/>
                <w:sz w:val="24"/>
                <w14:textFill>
                  <w14:solidFill>
                    <w14:schemeClr w14:val="tx1"/>
                  </w14:solidFill>
                </w14:textFill>
              </w:rPr>
              <w:t>产品方案详见表2-1。</w:t>
            </w:r>
          </w:p>
          <w:p w14:paraId="4AA4B537">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 xml:space="preserve">  建设项目产品方案</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3"/>
              <w:gridCol w:w="784"/>
              <w:gridCol w:w="1965"/>
              <w:gridCol w:w="2488"/>
              <w:gridCol w:w="941"/>
              <w:gridCol w:w="902"/>
              <w:gridCol w:w="813"/>
            </w:tblGrid>
            <w:tr w14:paraId="0301D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 w:type="pct"/>
                  <w:vAlign w:val="center"/>
                </w:tcPr>
                <w:p w14:paraId="1884262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产品名称</w:t>
                  </w:r>
                </w:p>
              </w:tc>
              <w:tc>
                <w:tcPr>
                  <w:tcW w:w="454" w:type="pct"/>
                  <w:vAlign w:val="center"/>
                </w:tcPr>
                <w:p w14:paraId="744DE2F5">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具体产品</w:t>
                  </w:r>
                </w:p>
              </w:tc>
              <w:tc>
                <w:tcPr>
                  <w:tcW w:w="1138" w:type="pct"/>
                  <w:vAlign w:val="center"/>
                </w:tcPr>
                <w:p w14:paraId="5ED468EB">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产品</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规格</w:t>
                  </w:r>
                </w:p>
              </w:tc>
              <w:tc>
                <w:tcPr>
                  <w:tcW w:w="1441" w:type="pct"/>
                  <w:vAlign w:val="center"/>
                </w:tcPr>
                <w:p w14:paraId="7A57E80A">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产品照片</w:t>
                  </w:r>
                </w:p>
              </w:tc>
              <w:tc>
                <w:tcPr>
                  <w:tcW w:w="545" w:type="pct"/>
                  <w:vAlign w:val="center"/>
                </w:tcPr>
                <w:p w14:paraId="447C2B2C">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原项目生产规模</w:t>
                  </w:r>
                </w:p>
              </w:tc>
              <w:tc>
                <w:tcPr>
                  <w:tcW w:w="523" w:type="pct"/>
                  <w:vAlign w:val="center"/>
                </w:tcPr>
                <w:p w14:paraId="73E53A2B">
                  <w:pPr>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扩建后生产规模</w:t>
                  </w:r>
                </w:p>
              </w:tc>
              <w:tc>
                <w:tcPr>
                  <w:tcW w:w="471" w:type="pct"/>
                  <w:vAlign w:val="center"/>
                </w:tcPr>
                <w:p w14:paraId="3B335050">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年运行时数</w:t>
                  </w:r>
                </w:p>
              </w:tc>
            </w:tr>
            <w:tr w14:paraId="5FD7CA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5" w:type="pct"/>
                  <w:vMerge w:val="restart"/>
                  <w:vAlign w:val="center"/>
                </w:tcPr>
                <w:p w14:paraId="373DD50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芯片框架组件</w:t>
                  </w:r>
                </w:p>
              </w:tc>
              <w:tc>
                <w:tcPr>
                  <w:tcW w:w="454" w:type="pct"/>
                  <w:vAlign w:val="center"/>
                </w:tcPr>
                <w:p w14:paraId="230978D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光伏系列产品</w:t>
                  </w:r>
                </w:p>
              </w:tc>
              <w:tc>
                <w:tcPr>
                  <w:tcW w:w="1138" w:type="pct"/>
                  <w:vAlign w:val="center"/>
                </w:tcPr>
                <w:p w14:paraId="6F747ED8">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尺寸：160*67*0.8mm</w:t>
                  </w:r>
                </w:p>
                <w:p w14:paraId="6C5F40FB">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重量：2.154g/套</w:t>
                  </w:r>
                </w:p>
              </w:tc>
              <w:tc>
                <w:tcPr>
                  <w:tcW w:w="1441" w:type="pct"/>
                  <w:vAlign w:val="center"/>
                </w:tcPr>
                <w:p w14:paraId="0DB19870">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412875" cy="596265"/>
                        <wp:effectExtent l="0" t="0" r="15875" b="13335"/>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9"/>
                                <a:stretch>
                                  <a:fillRect/>
                                </a:stretch>
                              </pic:blipFill>
                              <pic:spPr>
                                <a:xfrm>
                                  <a:off x="0" y="0"/>
                                  <a:ext cx="1412875" cy="596265"/>
                                </a:xfrm>
                                <a:prstGeom prst="rect">
                                  <a:avLst/>
                                </a:prstGeom>
                              </pic:spPr>
                            </pic:pic>
                          </a:graphicData>
                        </a:graphic>
                      </wp:inline>
                    </w:drawing>
                  </w:r>
                </w:p>
              </w:tc>
              <w:tc>
                <w:tcPr>
                  <w:tcW w:w="545" w:type="pct"/>
                  <w:vAlign w:val="center"/>
                </w:tcPr>
                <w:p w14:paraId="4AFF591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3" w:type="pct"/>
                  <w:shd w:val="clear" w:color="auto" w:fill="auto"/>
                  <w:vAlign w:val="center"/>
                </w:tcPr>
                <w:p w14:paraId="28D237B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471" w:type="pct"/>
                  <w:vMerge w:val="restart"/>
                  <w:vAlign w:val="center"/>
                </w:tcPr>
                <w:p w14:paraId="58995F7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00h</w:t>
                  </w:r>
                </w:p>
              </w:tc>
            </w:tr>
            <w:tr w14:paraId="4306B1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4" w:hRule="atLeast"/>
              </w:trPr>
              <w:tc>
                <w:tcPr>
                  <w:tcW w:w="425" w:type="pct"/>
                  <w:vMerge w:val="continue"/>
                  <w:vAlign w:val="center"/>
                </w:tcPr>
                <w:p w14:paraId="3FE646C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4" w:type="pct"/>
                  <w:vAlign w:val="center"/>
                </w:tcPr>
                <w:p w14:paraId="337F96C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TO系列产品</w:t>
                  </w:r>
                </w:p>
              </w:tc>
              <w:tc>
                <w:tcPr>
                  <w:tcW w:w="1138" w:type="pct"/>
                  <w:shd w:val="clear" w:color="auto" w:fill="auto"/>
                  <w:vAlign w:val="center"/>
                </w:tcPr>
                <w:p w14:paraId="2FD258B7">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尺寸：139*30*0.8mm</w:t>
                  </w:r>
                </w:p>
                <w:p w14:paraId="7AA4C8EC">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重量：2.78g/套</w:t>
                  </w:r>
                </w:p>
              </w:tc>
              <w:tc>
                <w:tcPr>
                  <w:tcW w:w="1441" w:type="pct"/>
                  <w:vAlign w:val="center"/>
                </w:tcPr>
                <w:p w14:paraId="111A6C0C">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344295" cy="420370"/>
                        <wp:effectExtent l="0" t="0" r="8255" b="1778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0"/>
                                <a:stretch>
                                  <a:fillRect/>
                                </a:stretch>
                              </pic:blipFill>
                              <pic:spPr>
                                <a:xfrm>
                                  <a:off x="0" y="0"/>
                                  <a:ext cx="1344295" cy="420370"/>
                                </a:xfrm>
                                <a:prstGeom prst="rect">
                                  <a:avLst/>
                                </a:prstGeom>
                              </pic:spPr>
                            </pic:pic>
                          </a:graphicData>
                        </a:graphic>
                      </wp:inline>
                    </w:drawing>
                  </w:r>
                </w:p>
              </w:tc>
              <w:tc>
                <w:tcPr>
                  <w:tcW w:w="545" w:type="pct"/>
                  <w:vAlign w:val="center"/>
                </w:tcPr>
                <w:p w14:paraId="1AA385E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3" w:type="pct"/>
                  <w:shd w:val="clear" w:color="auto" w:fill="auto"/>
                  <w:vAlign w:val="center"/>
                </w:tcPr>
                <w:p w14:paraId="784D8C79">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471" w:type="pct"/>
                  <w:vMerge w:val="continue"/>
                  <w:vAlign w:val="center"/>
                </w:tcPr>
                <w:p w14:paraId="14D90B66">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EC19F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 w:type="pct"/>
                  <w:vMerge w:val="continue"/>
                  <w:vAlign w:val="center"/>
                </w:tcPr>
                <w:p w14:paraId="354EAD4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4" w:type="pct"/>
                  <w:vAlign w:val="center"/>
                </w:tcPr>
                <w:p w14:paraId="3FB906A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框架系列产品</w:t>
                  </w:r>
                </w:p>
              </w:tc>
              <w:tc>
                <w:tcPr>
                  <w:tcW w:w="1138" w:type="pct"/>
                  <w:shd w:val="clear" w:color="auto" w:fill="auto"/>
                  <w:vAlign w:val="center"/>
                </w:tcPr>
                <w:p w14:paraId="56351943">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尺寸：153*49*0.2mm</w:t>
                  </w:r>
                </w:p>
                <w:p w14:paraId="649529D5">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重量：0.05g/套</w:t>
                  </w:r>
                </w:p>
              </w:tc>
              <w:tc>
                <w:tcPr>
                  <w:tcW w:w="1441" w:type="pct"/>
                  <w:vAlign w:val="center"/>
                </w:tcPr>
                <w:p w14:paraId="29B25491">
                  <w:pPr>
                    <w:pStyle w:val="53"/>
                    <w:keepNext w:val="0"/>
                    <w:keepLines w:val="0"/>
                    <w:suppressLineNumbers w:val="0"/>
                    <w:spacing w:before="0" w:beforeAutospacing="0" w:after="0" w:afterAutospacing="0"/>
                    <w:ind w:left="420" w:leftChars="0" w:right="0" w:rightChars="0"/>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1370965" cy="467360"/>
                        <wp:effectExtent l="0" t="0" r="635" b="8890"/>
                        <wp:docPr id="9" name="图片 9" descr="a4181d088fc31f6a949ed8edfe6a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4181d088fc31f6a949ed8edfe6a6551"/>
                                <pic:cNvPicPr>
                                  <a:picLocks noChangeAspect="1"/>
                                </pic:cNvPicPr>
                              </pic:nvPicPr>
                              <pic:blipFill>
                                <a:blip r:embed="rId11"/>
                                <a:stretch>
                                  <a:fillRect/>
                                </a:stretch>
                              </pic:blipFill>
                              <pic:spPr>
                                <a:xfrm>
                                  <a:off x="0" y="0"/>
                                  <a:ext cx="1370965" cy="467360"/>
                                </a:xfrm>
                                <a:prstGeom prst="rect">
                                  <a:avLst/>
                                </a:prstGeom>
                              </pic:spPr>
                            </pic:pic>
                          </a:graphicData>
                        </a:graphic>
                      </wp:inline>
                    </w:drawing>
                  </w:r>
                </w:p>
              </w:tc>
              <w:tc>
                <w:tcPr>
                  <w:tcW w:w="545" w:type="pct"/>
                  <w:vAlign w:val="center"/>
                </w:tcPr>
                <w:p w14:paraId="20FAEF6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3" w:type="pct"/>
                  <w:shd w:val="clear" w:color="auto" w:fill="auto"/>
                  <w:vAlign w:val="center"/>
                </w:tcPr>
                <w:p w14:paraId="2347430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471" w:type="pct"/>
                  <w:vMerge w:val="continue"/>
                  <w:vAlign w:val="center"/>
                </w:tcPr>
                <w:p w14:paraId="7882D6EF">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27A1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 w:type="pct"/>
                  <w:vMerge w:val="continue"/>
                  <w:vAlign w:val="center"/>
                </w:tcPr>
                <w:p w14:paraId="266FCCB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4" w:type="pct"/>
                  <w:vAlign w:val="center"/>
                </w:tcPr>
                <w:p w14:paraId="40AA766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跳线系列产品</w:t>
                  </w:r>
                </w:p>
              </w:tc>
              <w:tc>
                <w:tcPr>
                  <w:tcW w:w="1138" w:type="pct"/>
                  <w:shd w:val="clear" w:color="auto" w:fill="auto"/>
                  <w:vAlign w:val="center"/>
                </w:tcPr>
                <w:p w14:paraId="3720A5C3">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重量：0.082g/套</w:t>
                  </w:r>
                </w:p>
              </w:tc>
              <w:tc>
                <w:tcPr>
                  <w:tcW w:w="1441" w:type="pct"/>
                  <w:vAlign w:val="center"/>
                </w:tcPr>
                <w:p w14:paraId="37344445">
                  <w:pPr>
                    <w:pStyle w:val="53"/>
                    <w:keepNext w:val="0"/>
                    <w:keepLines w:val="0"/>
                    <w:suppressLineNumbers w:val="0"/>
                    <w:spacing w:before="0" w:beforeAutospacing="0" w:after="0" w:afterAutospacing="0"/>
                    <w:ind w:left="420" w:leftChars="0" w:right="0" w:rightChars="0"/>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35000" cy="630555"/>
                        <wp:effectExtent l="0" t="0" r="12700" b="17145"/>
                        <wp:docPr id="18" name="图片 18" descr="e359546350cb194b3407cd01f5395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359546350cb194b3407cd01f5395af9"/>
                                <pic:cNvPicPr>
                                  <a:picLocks noChangeAspect="1"/>
                                </pic:cNvPicPr>
                              </pic:nvPicPr>
                              <pic:blipFill>
                                <a:blip r:embed="rId12"/>
                                <a:stretch>
                                  <a:fillRect/>
                                </a:stretch>
                              </pic:blipFill>
                              <pic:spPr>
                                <a:xfrm>
                                  <a:off x="0" y="0"/>
                                  <a:ext cx="635000" cy="630555"/>
                                </a:xfrm>
                                <a:prstGeom prst="rect">
                                  <a:avLst/>
                                </a:prstGeom>
                              </pic:spPr>
                            </pic:pic>
                          </a:graphicData>
                        </a:graphic>
                      </wp:inline>
                    </w:drawing>
                  </w:r>
                </w:p>
              </w:tc>
              <w:tc>
                <w:tcPr>
                  <w:tcW w:w="545" w:type="pct"/>
                  <w:vAlign w:val="center"/>
                </w:tcPr>
                <w:p w14:paraId="37B8C81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3" w:type="pct"/>
                  <w:vAlign w:val="center"/>
                </w:tcPr>
                <w:p w14:paraId="392FDD6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471" w:type="pct"/>
                  <w:vMerge w:val="continue"/>
                  <w:vAlign w:val="center"/>
                </w:tcPr>
                <w:p w14:paraId="7787C528">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5520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 w:type="pct"/>
                  <w:vAlign w:val="center"/>
                </w:tcPr>
                <w:p w14:paraId="07305E9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4" w:type="pct"/>
                  <w:vAlign w:val="center"/>
                </w:tcPr>
                <w:p w14:paraId="2B023FE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清洗能力</w:t>
                  </w:r>
                </w:p>
              </w:tc>
              <w:tc>
                <w:tcPr>
                  <w:tcW w:w="1138" w:type="pct"/>
                  <w:shd w:val="clear" w:color="auto" w:fill="auto"/>
                  <w:vAlign w:val="center"/>
                </w:tcPr>
                <w:p w14:paraId="2E05B4DA">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1" w:type="pct"/>
                  <w:vAlign w:val="center"/>
                </w:tcPr>
                <w:p w14:paraId="3533B010">
                  <w:pPr>
                    <w:pStyle w:val="53"/>
                    <w:keepNext w:val="0"/>
                    <w:keepLines w:val="0"/>
                    <w:suppressLineNumbers w:val="0"/>
                    <w:spacing w:before="0" w:beforeAutospacing="0" w:after="0" w:afterAutospacing="0"/>
                    <w:ind w:left="420" w:leftChars="0" w:right="0" w:rightChars="0"/>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45" w:type="pct"/>
                  <w:vAlign w:val="center"/>
                </w:tcPr>
                <w:p w14:paraId="503AA3C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3" w:type="pct"/>
                  <w:vAlign w:val="center"/>
                </w:tcPr>
                <w:p w14:paraId="34412DE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471" w:type="pct"/>
                  <w:vMerge w:val="continue"/>
                  <w:vAlign w:val="center"/>
                </w:tcPr>
                <w:p w14:paraId="040CE503">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569DF5BE">
            <w:pPr>
              <w:pStyle w:val="53"/>
              <w:keepNext w:val="0"/>
              <w:keepLines w:val="0"/>
              <w:suppressLineNumbers w:val="0"/>
              <w:spacing w:before="0" w:beforeAutospacing="0" w:after="0" w:afterAutospacing="0"/>
              <w:ind w:left="420" w:leftChars="0" w:right="0" w:rightChars="0"/>
              <w:jc w:val="left"/>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注：企业产品规格较多，仅列出典型产品型号。</w:t>
            </w:r>
          </w:p>
          <w:p w14:paraId="78422226">
            <w:pPr>
              <w:jc w:val="center"/>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产品质量标准</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39"/>
              <w:gridCol w:w="2889"/>
              <w:gridCol w:w="2999"/>
            </w:tblGrid>
            <w:tr w14:paraId="5C4C5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7" w:type="pct"/>
                  <w:vAlign w:val="center"/>
                </w:tcPr>
                <w:p w14:paraId="372BAAB5">
                  <w:pPr>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检测项目</w:t>
                  </w:r>
                </w:p>
              </w:tc>
              <w:tc>
                <w:tcPr>
                  <w:tcW w:w="1674" w:type="pct"/>
                  <w:vAlign w:val="center"/>
                </w:tcPr>
                <w:p w14:paraId="167B79CF">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指标要求</w:t>
                  </w:r>
                </w:p>
              </w:tc>
              <w:tc>
                <w:tcPr>
                  <w:tcW w:w="1737" w:type="pct"/>
                  <w:vAlign w:val="center"/>
                </w:tcPr>
                <w:p w14:paraId="02FF32E5">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检验仪器</w:t>
                  </w:r>
                </w:p>
              </w:tc>
            </w:tr>
            <w:tr w14:paraId="05B25E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7" w:type="pct"/>
                  <w:vAlign w:val="center"/>
                </w:tcPr>
                <w:p w14:paraId="5C40E67F">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外观检测</w:t>
                  </w:r>
                </w:p>
              </w:tc>
              <w:tc>
                <w:tcPr>
                  <w:tcW w:w="1674" w:type="pct"/>
                  <w:vAlign w:val="center"/>
                </w:tcPr>
                <w:p w14:paraId="787E5B7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表面呈亚光色、无压痕、划伤等缺陷</w:t>
                  </w:r>
                </w:p>
              </w:tc>
              <w:tc>
                <w:tcPr>
                  <w:tcW w:w="1737" w:type="pct"/>
                  <w:vMerge w:val="restart"/>
                  <w:vAlign w:val="center"/>
                </w:tcPr>
                <w:p w14:paraId="70D8AE2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显微镜、卡尺、投影仪、千分尺、塞规、显微硬度计</w:t>
                  </w:r>
                </w:p>
              </w:tc>
            </w:tr>
            <w:tr w14:paraId="6C690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7" w:type="pct"/>
                  <w:vAlign w:val="center"/>
                </w:tcPr>
                <w:p w14:paraId="5411E513">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尺寸公差</w:t>
                  </w:r>
                </w:p>
              </w:tc>
              <w:tc>
                <w:tcPr>
                  <w:tcW w:w="1674" w:type="pct"/>
                  <w:vAlign w:val="center"/>
                </w:tcPr>
                <w:p w14:paraId="5ACD2D4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±0.05mm</w:t>
                  </w:r>
                </w:p>
              </w:tc>
              <w:tc>
                <w:tcPr>
                  <w:tcW w:w="1737" w:type="pct"/>
                  <w:vMerge w:val="continue"/>
                  <w:vAlign w:val="center"/>
                </w:tcPr>
                <w:p w14:paraId="7FC4119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71B5C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87" w:type="pct"/>
                  <w:vAlign w:val="center"/>
                </w:tcPr>
                <w:p w14:paraId="19B71148">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材料硬度</w:t>
                  </w:r>
                </w:p>
              </w:tc>
              <w:tc>
                <w:tcPr>
                  <w:tcW w:w="1674" w:type="pct"/>
                  <w:vAlign w:val="center"/>
                </w:tcPr>
                <w:p w14:paraId="3CEAAF6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110-125</w:t>
                  </w:r>
                </w:p>
              </w:tc>
              <w:tc>
                <w:tcPr>
                  <w:tcW w:w="1737" w:type="pct"/>
                  <w:vMerge w:val="continue"/>
                  <w:vAlign w:val="center"/>
                </w:tcPr>
                <w:p w14:paraId="224C7E0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14:paraId="326594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产品重量核算表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4"/>
              <w:gridCol w:w="1431"/>
              <w:gridCol w:w="1564"/>
              <w:gridCol w:w="1664"/>
              <w:gridCol w:w="1684"/>
            </w:tblGrid>
            <w:tr w14:paraId="6EB09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pct"/>
                  <w:tcBorders>
                    <w:tl2br w:val="nil"/>
                    <w:tr2bl w:val="nil"/>
                  </w:tcBorders>
                  <w:vAlign w:val="center"/>
                </w:tcPr>
                <w:p w14:paraId="13530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vertAlign w:val="baseline"/>
                      <w:lang w:val="en-US" w:eastAsia="zh-CN"/>
                      <w14:textFill>
                        <w14:solidFill>
                          <w14:schemeClr w14:val="tx1"/>
                        </w14:solidFill>
                      </w14:textFill>
                    </w:rPr>
                    <w:t>产品名称</w:t>
                  </w:r>
                </w:p>
              </w:tc>
              <w:tc>
                <w:tcPr>
                  <w:tcW w:w="829" w:type="pct"/>
                  <w:tcBorders>
                    <w:tl2br w:val="nil"/>
                    <w:tr2bl w:val="nil"/>
                  </w:tcBorders>
                  <w:vAlign w:val="center"/>
                </w:tcPr>
                <w:p w14:paraId="7E9BD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vertAlign w:val="baseline"/>
                      <w:lang w:val="en-US" w:eastAsia="zh-CN"/>
                      <w14:textFill>
                        <w14:solidFill>
                          <w14:schemeClr w14:val="tx1"/>
                        </w14:solidFill>
                      </w14:textFill>
                    </w:rPr>
                    <w:t>产品数量</w:t>
                  </w:r>
                </w:p>
              </w:tc>
              <w:tc>
                <w:tcPr>
                  <w:tcW w:w="906" w:type="pct"/>
                  <w:tcBorders>
                    <w:tl2br w:val="nil"/>
                    <w:tr2bl w:val="nil"/>
                  </w:tcBorders>
                  <w:vAlign w:val="center"/>
                </w:tcPr>
                <w:p w14:paraId="598AFB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vertAlign w:val="baseline"/>
                      <w:lang w:val="en-US" w:eastAsia="zh-CN"/>
                      <w14:textFill>
                        <w14:solidFill>
                          <w14:schemeClr w14:val="tx1"/>
                        </w14:solidFill>
                      </w14:textFill>
                    </w:rPr>
                    <w:t>单套产品重量</w:t>
                  </w:r>
                </w:p>
              </w:tc>
              <w:tc>
                <w:tcPr>
                  <w:tcW w:w="964" w:type="pct"/>
                  <w:tcBorders>
                    <w:tl2br w:val="nil"/>
                    <w:tr2bl w:val="nil"/>
                  </w:tcBorders>
                  <w:vAlign w:val="center"/>
                </w:tcPr>
                <w:p w14:paraId="3E2471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产品重量</w:t>
                  </w:r>
                </w:p>
              </w:tc>
              <w:tc>
                <w:tcPr>
                  <w:tcW w:w="975" w:type="pct"/>
                  <w:tcBorders>
                    <w:tl2br w:val="nil"/>
                    <w:tr2bl w:val="nil"/>
                  </w:tcBorders>
                  <w:vAlign w:val="center"/>
                </w:tcPr>
                <w:p w14:paraId="70095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产品总重量</w:t>
                  </w:r>
                </w:p>
              </w:tc>
            </w:tr>
            <w:tr w14:paraId="08674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pct"/>
                  <w:tcBorders>
                    <w:tl2br w:val="nil"/>
                    <w:tr2bl w:val="nil"/>
                  </w:tcBorders>
                  <w:shd w:val="clear" w:color="auto" w:fill="auto"/>
                  <w:vAlign w:val="center"/>
                </w:tcPr>
                <w:p w14:paraId="151EE158">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光伏系列产品</w:t>
                  </w:r>
                </w:p>
              </w:tc>
              <w:tc>
                <w:tcPr>
                  <w:tcW w:w="829" w:type="pct"/>
                  <w:tcBorders>
                    <w:tl2br w:val="nil"/>
                    <w:tr2bl w:val="nil"/>
                  </w:tcBorders>
                  <w:shd w:val="clear" w:color="auto" w:fill="auto"/>
                  <w:vAlign w:val="center"/>
                </w:tcPr>
                <w:p w14:paraId="273ED36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906" w:type="pct"/>
                  <w:tcBorders>
                    <w:tl2br w:val="nil"/>
                    <w:tr2bl w:val="nil"/>
                  </w:tcBorders>
                  <w:shd w:val="clear" w:color="auto" w:fill="auto"/>
                  <w:vAlign w:val="center"/>
                </w:tcPr>
                <w:p w14:paraId="61D6583E">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2.154g</w:t>
                  </w:r>
                </w:p>
              </w:tc>
              <w:tc>
                <w:tcPr>
                  <w:tcW w:w="964" w:type="pct"/>
                  <w:tcBorders>
                    <w:tl2br w:val="nil"/>
                    <w:tr2bl w:val="nil"/>
                  </w:tcBorders>
                  <w:vAlign w:val="center"/>
                </w:tcPr>
                <w:p w14:paraId="671D2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646.2t/a</w:t>
                  </w:r>
                </w:p>
              </w:tc>
              <w:tc>
                <w:tcPr>
                  <w:tcW w:w="975" w:type="pct"/>
                  <w:vMerge w:val="restart"/>
                  <w:tcBorders>
                    <w:tl2br w:val="nil"/>
                    <w:tr2bl w:val="nil"/>
                  </w:tcBorders>
                  <w:vAlign w:val="center"/>
                </w:tcPr>
                <w:p w14:paraId="23B4B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1519.8</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r>
            <w:tr w14:paraId="4400A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vAlign w:val="center"/>
                </w:tcPr>
                <w:p w14:paraId="17EA5A9F">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TO系列产品</w:t>
                  </w:r>
                </w:p>
              </w:tc>
              <w:tc>
                <w:tcPr>
                  <w:tcW w:w="829" w:type="pct"/>
                  <w:shd w:val="clear" w:color="auto" w:fill="auto"/>
                  <w:vAlign w:val="center"/>
                </w:tcPr>
                <w:p w14:paraId="39B0607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906" w:type="pct"/>
                  <w:shd w:val="clear" w:color="auto" w:fill="auto"/>
                  <w:vAlign w:val="center"/>
                </w:tcPr>
                <w:p w14:paraId="2693DA82">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2.78g</w:t>
                  </w:r>
                </w:p>
              </w:tc>
              <w:tc>
                <w:tcPr>
                  <w:tcW w:w="964" w:type="pct"/>
                  <w:vAlign w:val="center"/>
                </w:tcPr>
                <w:p w14:paraId="0F523A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834t/a</w:t>
                  </w:r>
                </w:p>
              </w:tc>
              <w:tc>
                <w:tcPr>
                  <w:tcW w:w="975" w:type="pct"/>
                  <w:vMerge w:val="continue"/>
                </w:tcPr>
                <w:p w14:paraId="7C85F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29427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vAlign w:val="center"/>
                </w:tcPr>
                <w:p w14:paraId="0131C59D">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框架系列产品</w:t>
                  </w:r>
                </w:p>
              </w:tc>
              <w:tc>
                <w:tcPr>
                  <w:tcW w:w="829" w:type="pct"/>
                  <w:shd w:val="clear" w:color="auto" w:fill="auto"/>
                  <w:vAlign w:val="center"/>
                </w:tcPr>
                <w:p w14:paraId="4CE41A1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906" w:type="pct"/>
                  <w:shd w:val="clear" w:color="auto" w:fill="auto"/>
                  <w:vAlign w:val="center"/>
                </w:tcPr>
                <w:p w14:paraId="785F5810">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0.05g</w:t>
                  </w:r>
                </w:p>
              </w:tc>
              <w:tc>
                <w:tcPr>
                  <w:tcW w:w="964" w:type="pct"/>
                  <w:vAlign w:val="center"/>
                </w:tcPr>
                <w:p w14:paraId="538DE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15t/a</w:t>
                  </w:r>
                </w:p>
              </w:tc>
              <w:tc>
                <w:tcPr>
                  <w:tcW w:w="975" w:type="pct"/>
                  <w:vMerge w:val="continue"/>
                </w:tcPr>
                <w:p w14:paraId="6906C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0B737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vAlign w:val="center"/>
                </w:tcPr>
                <w:p w14:paraId="0EA2AAD2">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跳线系列产品</w:t>
                  </w:r>
                </w:p>
              </w:tc>
              <w:tc>
                <w:tcPr>
                  <w:tcW w:w="829" w:type="pct"/>
                  <w:shd w:val="clear" w:color="auto" w:fill="auto"/>
                  <w:vAlign w:val="center"/>
                </w:tcPr>
                <w:p w14:paraId="48C66CA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906" w:type="pct"/>
                  <w:shd w:val="clear" w:color="auto" w:fill="auto"/>
                  <w:vAlign w:val="center"/>
                </w:tcPr>
                <w:p w14:paraId="01572073">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0.082g</w:t>
                  </w:r>
                </w:p>
              </w:tc>
              <w:tc>
                <w:tcPr>
                  <w:tcW w:w="964" w:type="pct"/>
                  <w:vAlign w:val="center"/>
                </w:tcPr>
                <w:p w14:paraId="370B3C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24.6t/a</w:t>
                  </w:r>
                </w:p>
              </w:tc>
              <w:tc>
                <w:tcPr>
                  <w:tcW w:w="975" w:type="pct"/>
                  <w:vMerge w:val="continue"/>
                </w:tcPr>
                <w:p w14:paraId="0CA5C0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bl>
          <w:p w14:paraId="31030E86">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、生产设施</w:t>
            </w:r>
          </w:p>
          <w:p w14:paraId="21D40EB1">
            <w:pPr>
              <w:pStyle w:val="55"/>
              <w:snapToGrid/>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本项目主要设备见表2-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14:paraId="36FAF860">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 xml:space="preserve">  主要设备清单一览表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7"/>
              <w:gridCol w:w="998"/>
              <w:gridCol w:w="2135"/>
              <w:gridCol w:w="974"/>
              <w:gridCol w:w="1017"/>
              <w:gridCol w:w="1029"/>
              <w:gridCol w:w="859"/>
              <w:gridCol w:w="1096"/>
            </w:tblGrid>
            <w:tr w14:paraId="3F6353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507" w:type="dxa"/>
                  <w:vMerge w:val="restart"/>
                  <w:vAlign w:val="center"/>
                </w:tcPr>
                <w:p w14:paraId="2D4FADD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998" w:type="dxa"/>
                  <w:vMerge w:val="restart"/>
                  <w:vAlign w:val="center"/>
                </w:tcPr>
                <w:p w14:paraId="33D204A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设备名称</w:t>
                  </w:r>
                </w:p>
              </w:tc>
              <w:tc>
                <w:tcPr>
                  <w:tcW w:w="2135" w:type="dxa"/>
                  <w:vMerge w:val="restart"/>
                  <w:vAlign w:val="center"/>
                </w:tcPr>
                <w:p w14:paraId="76CE751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型号</w:t>
                  </w:r>
                </w:p>
              </w:tc>
              <w:tc>
                <w:tcPr>
                  <w:tcW w:w="3879" w:type="dxa"/>
                  <w:gridSpan w:val="4"/>
                  <w:vAlign w:val="center"/>
                </w:tcPr>
                <w:p w14:paraId="00CE34CD">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台/套</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p>
              </w:tc>
              <w:tc>
                <w:tcPr>
                  <w:tcW w:w="1096" w:type="dxa"/>
                  <w:vMerge w:val="restart"/>
                  <w:vAlign w:val="center"/>
                </w:tcPr>
                <w:p w14:paraId="658DAD4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14:paraId="40FD9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 w:hRule="atLeast"/>
                <w:jc w:val="center"/>
              </w:trPr>
              <w:tc>
                <w:tcPr>
                  <w:tcW w:w="507" w:type="dxa"/>
                  <w:vMerge w:val="continue"/>
                  <w:vAlign w:val="center"/>
                </w:tcPr>
                <w:p w14:paraId="67AFA3E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98" w:type="dxa"/>
                  <w:vMerge w:val="continue"/>
                  <w:vAlign w:val="center"/>
                </w:tcPr>
                <w:p w14:paraId="3E4F887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2135" w:type="dxa"/>
                  <w:vMerge w:val="continue"/>
                  <w:vAlign w:val="center"/>
                </w:tcPr>
                <w:p w14:paraId="3D2435C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74" w:type="dxa"/>
                  <w:vAlign w:val="center"/>
                </w:tcPr>
                <w:p w14:paraId="1D222FAA">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原项目</w:t>
                  </w:r>
                </w:p>
              </w:tc>
              <w:tc>
                <w:tcPr>
                  <w:tcW w:w="1017" w:type="dxa"/>
                  <w:vAlign w:val="center"/>
                </w:tcPr>
                <w:p w14:paraId="7BD3486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本项目</w:t>
                  </w:r>
                </w:p>
              </w:tc>
              <w:tc>
                <w:tcPr>
                  <w:tcW w:w="1029" w:type="dxa"/>
                  <w:vAlign w:val="center"/>
                </w:tcPr>
                <w:p w14:paraId="6C68C35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扩建后全厂</w:t>
                  </w:r>
                </w:p>
              </w:tc>
              <w:tc>
                <w:tcPr>
                  <w:tcW w:w="859" w:type="dxa"/>
                  <w:vAlign w:val="center"/>
                </w:tcPr>
                <w:p w14:paraId="578EBE69">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增减量</w:t>
                  </w:r>
                </w:p>
              </w:tc>
              <w:tc>
                <w:tcPr>
                  <w:tcW w:w="1096" w:type="dxa"/>
                  <w:vMerge w:val="continue"/>
                  <w:vAlign w:val="center"/>
                </w:tcPr>
                <w:p w14:paraId="3656126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19744E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373181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998" w:type="dxa"/>
                  <w:shd w:val="clear" w:color="auto" w:fill="auto"/>
                  <w:vAlign w:val="center"/>
                </w:tcPr>
                <w:p w14:paraId="018F787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放料机</w:t>
                  </w:r>
                </w:p>
              </w:tc>
              <w:tc>
                <w:tcPr>
                  <w:tcW w:w="2135" w:type="dxa"/>
                  <w:shd w:val="clear" w:color="auto" w:fill="auto"/>
                  <w:vAlign w:val="center"/>
                </w:tcPr>
                <w:p w14:paraId="1B574E3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HTE-1220</w:t>
                  </w:r>
                </w:p>
              </w:tc>
              <w:tc>
                <w:tcPr>
                  <w:tcW w:w="974" w:type="dxa"/>
                  <w:shd w:val="clear" w:color="auto" w:fill="auto"/>
                  <w:vAlign w:val="center"/>
                </w:tcPr>
                <w:p w14:paraId="5BFFA94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17" w:type="dxa"/>
                  <w:shd w:val="clear" w:color="auto" w:fill="auto"/>
                  <w:vAlign w:val="center"/>
                </w:tcPr>
                <w:p w14:paraId="5EFB6E80">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29" w:type="dxa"/>
                  <w:shd w:val="clear" w:color="auto" w:fill="auto"/>
                  <w:vAlign w:val="center"/>
                </w:tcPr>
                <w:p w14:paraId="52C19F7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859" w:type="dxa"/>
                  <w:shd w:val="clear" w:color="auto" w:fill="auto"/>
                  <w:vAlign w:val="center"/>
                </w:tcPr>
                <w:p w14:paraId="4355295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96" w:type="dxa"/>
                  <w:shd w:val="clear" w:color="auto" w:fill="auto"/>
                  <w:vAlign w:val="center"/>
                </w:tcPr>
                <w:p w14:paraId="72F3808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放料</w:t>
                  </w:r>
                </w:p>
              </w:tc>
            </w:tr>
            <w:tr w14:paraId="53281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18FAF9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98" w:type="dxa"/>
                  <w:shd w:val="clear" w:color="auto" w:fill="auto"/>
                  <w:vAlign w:val="center"/>
                </w:tcPr>
                <w:p w14:paraId="46F9F57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整平机</w:t>
                  </w:r>
                </w:p>
              </w:tc>
              <w:tc>
                <w:tcPr>
                  <w:tcW w:w="2135" w:type="dxa"/>
                  <w:shd w:val="clear" w:color="auto" w:fill="auto"/>
                  <w:vAlign w:val="center"/>
                </w:tcPr>
                <w:p w14:paraId="650CAB7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SHL-150</w:t>
                  </w:r>
                </w:p>
              </w:tc>
              <w:tc>
                <w:tcPr>
                  <w:tcW w:w="974" w:type="dxa"/>
                  <w:shd w:val="clear" w:color="auto" w:fill="auto"/>
                  <w:vAlign w:val="center"/>
                </w:tcPr>
                <w:p w14:paraId="1409461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17" w:type="dxa"/>
                  <w:shd w:val="clear" w:color="auto" w:fill="auto"/>
                  <w:vAlign w:val="center"/>
                </w:tcPr>
                <w:p w14:paraId="683AE40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29" w:type="dxa"/>
                  <w:shd w:val="clear" w:color="auto" w:fill="auto"/>
                  <w:vAlign w:val="center"/>
                </w:tcPr>
                <w:p w14:paraId="0ACD2AE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859" w:type="dxa"/>
                  <w:shd w:val="clear" w:color="auto" w:fill="auto"/>
                  <w:vAlign w:val="center"/>
                </w:tcPr>
                <w:p w14:paraId="624006C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96" w:type="dxa"/>
                  <w:shd w:val="clear" w:color="auto" w:fill="auto"/>
                  <w:vAlign w:val="center"/>
                </w:tcPr>
                <w:p w14:paraId="01F08BC3">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平整</w:t>
                  </w:r>
                </w:p>
              </w:tc>
            </w:tr>
            <w:tr w14:paraId="1C01DE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452E7A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998" w:type="dxa"/>
                  <w:shd w:val="clear" w:color="auto" w:fill="auto"/>
                  <w:vAlign w:val="center"/>
                </w:tcPr>
                <w:p w14:paraId="26236D2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冲床</w:t>
                  </w:r>
                </w:p>
              </w:tc>
              <w:tc>
                <w:tcPr>
                  <w:tcW w:w="2135" w:type="dxa"/>
                  <w:shd w:val="clear" w:color="auto" w:fill="auto"/>
                  <w:vAlign w:val="center"/>
                </w:tcPr>
                <w:p w14:paraId="61DF42E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74" w:type="dxa"/>
                  <w:shd w:val="clear" w:color="auto" w:fill="auto"/>
                  <w:vAlign w:val="center"/>
                </w:tcPr>
                <w:p w14:paraId="1A9E6BB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17" w:type="dxa"/>
                  <w:shd w:val="clear" w:color="auto" w:fill="auto"/>
                  <w:vAlign w:val="center"/>
                </w:tcPr>
                <w:p w14:paraId="43277BA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29" w:type="dxa"/>
                  <w:shd w:val="clear" w:color="auto" w:fill="auto"/>
                  <w:vAlign w:val="center"/>
                </w:tcPr>
                <w:p w14:paraId="4DB31EC0">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859" w:type="dxa"/>
                  <w:shd w:val="clear" w:color="auto" w:fill="auto"/>
                  <w:vAlign w:val="center"/>
                </w:tcPr>
                <w:p w14:paraId="77828AB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96" w:type="dxa"/>
                  <w:vAlign w:val="center"/>
                </w:tcPr>
                <w:p w14:paraId="21F1C7D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w:t>
                  </w:r>
                </w:p>
              </w:tc>
            </w:tr>
            <w:tr w14:paraId="54C888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56A50C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98" w:type="dxa"/>
                  <w:shd w:val="clear" w:color="auto" w:fill="auto"/>
                  <w:vAlign w:val="center"/>
                </w:tcPr>
                <w:p w14:paraId="7370533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磨床</w:t>
                  </w:r>
                </w:p>
              </w:tc>
              <w:tc>
                <w:tcPr>
                  <w:tcW w:w="2135" w:type="dxa"/>
                  <w:shd w:val="clear" w:color="auto" w:fill="auto"/>
                  <w:vAlign w:val="center"/>
                </w:tcPr>
                <w:p w14:paraId="504406C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GY-618S</w:t>
                  </w:r>
                </w:p>
              </w:tc>
              <w:tc>
                <w:tcPr>
                  <w:tcW w:w="974" w:type="dxa"/>
                  <w:shd w:val="clear" w:color="auto" w:fill="auto"/>
                  <w:vAlign w:val="center"/>
                </w:tcPr>
                <w:p w14:paraId="790EA35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17" w:type="dxa"/>
                  <w:shd w:val="clear" w:color="auto" w:fill="auto"/>
                  <w:vAlign w:val="center"/>
                </w:tcPr>
                <w:p w14:paraId="07B6391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29" w:type="dxa"/>
                  <w:shd w:val="clear" w:color="auto" w:fill="auto"/>
                  <w:vAlign w:val="center"/>
                </w:tcPr>
                <w:p w14:paraId="0BDBED25">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59" w:type="dxa"/>
                  <w:shd w:val="clear" w:color="auto" w:fill="auto"/>
                  <w:vAlign w:val="center"/>
                </w:tcPr>
                <w:p w14:paraId="7E86B67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96" w:type="dxa"/>
                  <w:shd w:val="clear" w:color="auto" w:fill="auto"/>
                  <w:vAlign w:val="center"/>
                </w:tcPr>
                <w:p w14:paraId="6FF4AE6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冲压模具维护</w:t>
                  </w:r>
                </w:p>
              </w:tc>
            </w:tr>
            <w:tr w14:paraId="33136E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7A313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998" w:type="dxa"/>
                  <w:shd w:val="clear" w:color="auto" w:fill="auto"/>
                  <w:vAlign w:val="center"/>
                </w:tcPr>
                <w:p w14:paraId="3ABBF89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分切机</w:t>
                  </w:r>
                </w:p>
              </w:tc>
              <w:tc>
                <w:tcPr>
                  <w:tcW w:w="2135" w:type="dxa"/>
                  <w:shd w:val="clear" w:color="auto" w:fill="auto"/>
                  <w:vAlign w:val="center"/>
                </w:tcPr>
                <w:p w14:paraId="53B773C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TO-220</w:t>
                  </w:r>
                </w:p>
              </w:tc>
              <w:tc>
                <w:tcPr>
                  <w:tcW w:w="974" w:type="dxa"/>
                  <w:shd w:val="clear" w:color="auto" w:fill="auto"/>
                  <w:vAlign w:val="center"/>
                </w:tcPr>
                <w:p w14:paraId="2191A67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0B491E9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29" w:type="dxa"/>
                  <w:shd w:val="clear" w:color="auto" w:fill="auto"/>
                  <w:vAlign w:val="center"/>
                </w:tcPr>
                <w:p w14:paraId="2C5D336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59" w:type="dxa"/>
                  <w:shd w:val="clear" w:color="auto" w:fill="auto"/>
                  <w:vAlign w:val="center"/>
                </w:tcPr>
                <w:p w14:paraId="099E5DC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96" w:type="dxa"/>
                  <w:shd w:val="clear" w:color="auto" w:fill="auto"/>
                  <w:vAlign w:val="center"/>
                </w:tcPr>
                <w:p w14:paraId="079FDD5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分切</w:t>
                  </w:r>
                </w:p>
              </w:tc>
            </w:tr>
            <w:tr w14:paraId="4245EA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54297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98" w:type="dxa"/>
                  <w:shd w:val="clear" w:color="auto" w:fill="auto"/>
                  <w:vAlign w:val="center"/>
                </w:tcPr>
                <w:p w14:paraId="031E50F5">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清洗线</w:t>
                  </w:r>
                </w:p>
              </w:tc>
              <w:tc>
                <w:tcPr>
                  <w:tcW w:w="2135" w:type="dxa"/>
                  <w:shd w:val="clear" w:color="auto" w:fill="auto"/>
                  <w:vAlign w:val="center"/>
                </w:tcPr>
                <w:p w14:paraId="07ECFA2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整体尺寸：15*1.3*1m，详细尺寸见下表</w:t>
                  </w:r>
                </w:p>
              </w:tc>
              <w:tc>
                <w:tcPr>
                  <w:tcW w:w="974" w:type="dxa"/>
                  <w:shd w:val="clear" w:color="auto" w:fill="auto"/>
                  <w:vAlign w:val="center"/>
                </w:tcPr>
                <w:p w14:paraId="192B1AA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17" w:type="dxa"/>
                  <w:shd w:val="clear" w:color="auto" w:fill="auto"/>
                  <w:vAlign w:val="center"/>
                </w:tcPr>
                <w:p w14:paraId="0CAC9E0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29" w:type="dxa"/>
                  <w:shd w:val="clear" w:color="auto" w:fill="auto"/>
                  <w:vAlign w:val="center"/>
                </w:tcPr>
                <w:p w14:paraId="0AAE490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59" w:type="dxa"/>
                  <w:shd w:val="clear" w:color="auto" w:fill="auto"/>
                  <w:vAlign w:val="center"/>
                </w:tcPr>
                <w:p w14:paraId="7CBF82F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96" w:type="dxa"/>
                  <w:shd w:val="clear" w:color="auto" w:fill="auto"/>
                  <w:vAlign w:val="center"/>
                </w:tcPr>
                <w:p w14:paraId="3E33368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w:t>
                  </w:r>
                </w:p>
              </w:tc>
            </w:tr>
            <w:tr w14:paraId="2C147B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715D9F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998" w:type="dxa"/>
                  <w:shd w:val="clear" w:color="auto" w:fill="auto"/>
                  <w:vAlign w:val="center"/>
                </w:tcPr>
                <w:p w14:paraId="5E23924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投影仪</w:t>
                  </w:r>
                </w:p>
              </w:tc>
              <w:tc>
                <w:tcPr>
                  <w:tcW w:w="2135" w:type="dxa"/>
                  <w:shd w:val="clear" w:color="auto" w:fill="auto"/>
                  <w:vAlign w:val="center"/>
                </w:tcPr>
                <w:p w14:paraId="2BE65CD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VMS-3020G</w:t>
                  </w:r>
                </w:p>
              </w:tc>
              <w:tc>
                <w:tcPr>
                  <w:tcW w:w="974" w:type="dxa"/>
                  <w:shd w:val="clear" w:color="auto" w:fill="auto"/>
                  <w:vAlign w:val="center"/>
                </w:tcPr>
                <w:p w14:paraId="183E04C0">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17" w:type="dxa"/>
                  <w:shd w:val="clear" w:color="auto" w:fill="auto"/>
                  <w:vAlign w:val="center"/>
                </w:tcPr>
                <w:p w14:paraId="5E1BEA9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22CE0F3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59" w:type="dxa"/>
                  <w:shd w:val="clear" w:color="auto" w:fill="auto"/>
                  <w:vAlign w:val="center"/>
                </w:tcPr>
                <w:p w14:paraId="4894D4D5">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31461B6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64C661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2B474B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998" w:type="dxa"/>
                  <w:shd w:val="clear" w:color="auto" w:fill="auto"/>
                  <w:vAlign w:val="center"/>
                </w:tcPr>
                <w:p w14:paraId="7E9E2A7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卡尺</w:t>
                  </w:r>
                </w:p>
              </w:tc>
              <w:tc>
                <w:tcPr>
                  <w:tcW w:w="2135" w:type="dxa"/>
                  <w:shd w:val="clear" w:color="auto" w:fill="auto"/>
                  <w:vAlign w:val="center"/>
                </w:tcPr>
                <w:p w14:paraId="3FF41214">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974" w:type="dxa"/>
                  <w:shd w:val="clear" w:color="auto" w:fill="auto"/>
                  <w:vAlign w:val="center"/>
                </w:tcPr>
                <w:p w14:paraId="76D6C09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15B18F5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3CF01AA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2451B9C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2FAD2A01">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5F07A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62BC0D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998" w:type="dxa"/>
                  <w:shd w:val="clear" w:color="auto" w:fill="auto"/>
                  <w:vAlign w:val="center"/>
                </w:tcPr>
                <w:p w14:paraId="22157FCF">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塞规</w:t>
                  </w:r>
                </w:p>
              </w:tc>
              <w:tc>
                <w:tcPr>
                  <w:tcW w:w="2135" w:type="dxa"/>
                  <w:shd w:val="clear" w:color="auto" w:fill="auto"/>
                  <w:vAlign w:val="center"/>
                </w:tcPr>
                <w:p w14:paraId="31B2A22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974" w:type="dxa"/>
                  <w:shd w:val="clear" w:color="auto" w:fill="auto"/>
                  <w:vAlign w:val="center"/>
                </w:tcPr>
                <w:p w14:paraId="2D7642F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3D4DBE9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4292C21B">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2EC39E0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14F496C3">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1826B7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624960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998" w:type="dxa"/>
                  <w:shd w:val="clear" w:color="auto" w:fill="auto"/>
                  <w:vAlign w:val="center"/>
                </w:tcPr>
                <w:p w14:paraId="3575B81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显微硬度计</w:t>
                  </w:r>
                </w:p>
              </w:tc>
              <w:tc>
                <w:tcPr>
                  <w:tcW w:w="2135" w:type="dxa"/>
                  <w:shd w:val="clear" w:color="auto" w:fill="auto"/>
                  <w:vAlign w:val="center"/>
                </w:tcPr>
                <w:p w14:paraId="2EF92FE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974" w:type="dxa"/>
                  <w:shd w:val="clear" w:color="auto" w:fill="auto"/>
                  <w:vAlign w:val="center"/>
                </w:tcPr>
                <w:p w14:paraId="4662884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0AD5754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601FA63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3A78472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5F50E9D8">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255368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37C61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998" w:type="dxa"/>
                  <w:shd w:val="clear" w:color="auto" w:fill="auto"/>
                  <w:vAlign w:val="center"/>
                </w:tcPr>
                <w:p w14:paraId="6548558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外径千分尺</w:t>
                  </w:r>
                </w:p>
              </w:tc>
              <w:tc>
                <w:tcPr>
                  <w:tcW w:w="2135" w:type="dxa"/>
                  <w:shd w:val="clear" w:color="auto" w:fill="auto"/>
                  <w:vAlign w:val="center"/>
                </w:tcPr>
                <w:p w14:paraId="0295FDC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（25-50）mm</w:t>
                  </w:r>
                </w:p>
              </w:tc>
              <w:tc>
                <w:tcPr>
                  <w:tcW w:w="974" w:type="dxa"/>
                  <w:shd w:val="clear" w:color="auto" w:fill="auto"/>
                  <w:vAlign w:val="center"/>
                </w:tcPr>
                <w:p w14:paraId="1CF4B13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1616BC7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07FC21B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148FDC4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13CE511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60DCD2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75DB6D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998" w:type="dxa"/>
                  <w:shd w:val="clear" w:color="auto" w:fill="auto"/>
                  <w:vAlign w:val="center"/>
                </w:tcPr>
                <w:p w14:paraId="197B8CD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显微镜</w:t>
                  </w:r>
                </w:p>
              </w:tc>
              <w:tc>
                <w:tcPr>
                  <w:tcW w:w="2135" w:type="dxa"/>
                  <w:shd w:val="clear" w:color="auto" w:fill="auto"/>
                  <w:vAlign w:val="center"/>
                </w:tcPr>
                <w:p w14:paraId="75A4044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974" w:type="dxa"/>
                  <w:shd w:val="clear" w:color="auto" w:fill="auto"/>
                  <w:vAlign w:val="center"/>
                </w:tcPr>
                <w:p w14:paraId="2023189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045BB76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23DED2A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17E0921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1B05163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2C83DC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5E6111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998" w:type="dxa"/>
                  <w:shd w:val="clear" w:color="auto" w:fill="auto"/>
                  <w:vAlign w:val="center"/>
                </w:tcPr>
                <w:p w14:paraId="17C037DF">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纯水制备设备</w:t>
                  </w:r>
                </w:p>
              </w:tc>
              <w:tc>
                <w:tcPr>
                  <w:tcW w:w="2135" w:type="dxa"/>
                  <w:shd w:val="clear" w:color="auto" w:fill="auto"/>
                  <w:vAlign w:val="center"/>
                </w:tcPr>
                <w:p w14:paraId="75705AE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974" w:type="dxa"/>
                  <w:shd w:val="clear" w:color="auto" w:fill="auto"/>
                  <w:vAlign w:val="center"/>
                </w:tcPr>
                <w:p w14:paraId="31AEBEA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17" w:type="dxa"/>
                  <w:shd w:val="clear" w:color="auto" w:fill="auto"/>
                  <w:vAlign w:val="center"/>
                </w:tcPr>
                <w:p w14:paraId="6C11A76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29" w:type="dxa"/>
                  <w:shd w:val="clear" w:color="auto" w:fill="auto"/>
                  <w:vAlign w:val="center"/>
                </w:tcPr>
                <w:p w14:paraId="1EAC1B6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1218039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96" w:type="dxa"/>
                  <w:shd w:val="clear" w:color="auto" w:fill="auto"/>
                  <w:vAlign w:val="center"/>
                </w:tcPr>
                <w:p w14:paraId="4F0C22A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r>
            <w:tr w14:paraId="599FF3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4E13A6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w:t>
                  </w:r>
                </w:p>
              </w:tc>
              <w:tc>
                <w:tcPr>
                  <w:tcW w:w="998" w:type="dxa"/>
                  <w:shd w:val="clear" w:color="auto" w:fill="auto"/>
                  <w:vAlign w:val="center"/>
                </w:tcPr>
                <w:p w14:paraId="6C00742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2135" w:type="dxa"/>
                  <w:shd w:val="clear" w:color="auto" w:fill="auto"/>
                  <w:vAlign w:val="center"/>
                </w:tcPr>
                <w:p w14:paraId="56EB7B7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6.2m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/min</w:t>
                  </w:r>
                </w:p>
              </w:tc>
              <w:tc>
                <w:tcPr>
                  <w:tcW w:w="974" w:type="dxa"/>
                  <w:shd w:val="clear" w:color="auto" w:fill="auto"/>
                  <w:vAlign w:val="center"/>
                </w:tcPr>
                <w:p w14:paraId="336DA5C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7" w:type="dxa"/>
                  <w:shd w:val="clear" w:color="auto" w:fill="auto"/>
                  <w:vAlign w:val="center"/>
                </w:tcPr>
                <w:p w14:paraId="2C347F9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29" w:type="dxa"/>
                  <w:shd w:val="clear" w:color="auto" w:fill="auto"/>
                  <w:vAlign w:val="center"/>
                </w:tcPr>
                <w:p w14:paraId="6130F0B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2C08AE1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96" w:type="dxa"/>
                  <w:shd w:val="clear" w:color="auto" w:fill="auto"/>
                  <w:vAlign w:val="center"/>
                </w:tcPr>
                <w:p w14:paraId="5EF3DB8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压缩空气</w:t>
                  </w:r>
                </w:p>
              </w:tc>
            </w:tr>
            <w:tr w14:paraId="11847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25A87A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98" w:type="dxa"/>
                  <w:shd w:val="clear" w:color="auto" w:fill="auto"/>
                  <w:vAlign w:val="center"/>
                </w:tcPr>
                <w:p w14:paraId="45DD781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污水处理设施</w:t>
                  </w:r>
                </w:p>
              </w:tc>
              <w:tc>
                <w:tcPr>
                  <w:tcW w:w="2135" w:type="dxa"/>
                  <w:shd w:val="clear" w:color="auto" w:fill="auto"/>
                  <w:vAlign w:val="center"/>
                </w:tcPr>
                <w:p w14:paraId="5D2E7B5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974" w:type="dxa"/>
                  <w:shd w:val="clear" w:color="auto" w:fill="auto"/>
                  <w:vAlign w:val="center"/>
                </w:tcPr>
                <w:p w14:paraId="5B91091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17" w:type="dxa"/>
                  <w:shd w:val="clear" w:color="auto" w:fill="auto"/>
                  <w:vAlign w:val="center"/>
                </w:tcPr>
                <w:p w14:paraId="5E65BC90">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29" w:type="dxa"/>
                  <w:shd w:val="clear" w:color="auto" w:fill="auto"/>
                  <w:vAlign w:val="center"/>
                </w:tcPr>
                <w:p w14:paraId="08FC4D4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5A4C67C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96" w:type="dxa"/>
                  <w:shd w:val="clear" w:color="auto" w:fill="auto"/>
                  <w:vAlign w:val="center"/>
                </w:tcPr>
                <w:p w14:paraId="244B2D2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废水处理</w:t>
                  </w:r>
                </w:p>
              </w:tc>
            </w:tr>
            <w:tr w14:paraId="0A808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7" w:type="dxa"/>
                  <w:shd w:val="clear" w:color="auto" w:fill="auto"/>
                  <w:vAlign w:val="center"/>
                </w:tcPr>
                <w:p w14:paraId="3E03FA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998" w:type="dxa"/>
                  <w:shd w:val="clear" w:color="auto" w:fill="auto"/>
                  <w:vAlign w:val="center"/>
                </w:tcPr>
                <w:p w14:paraId="4B41AC8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废气处理设施</w:t>
                  </w:r>
                </w:p>
              </w:tc>
              <w:tc>
                <w:tcPr>
                  <w:tcW w:w="2135" w:type="dxa"/>
                  <w:shd w:val="clear" w:color="auto" w:fill="auto"/>
                  <w:vAlign w:val="center"/>
                </w:tcPr>
                <w:p w14:paraId="54ED3A8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碱喷淋塔+</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除雾器+</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二级活性炭吸附装置处理后通过20m排气筒</w:t>
                  </w:r>
                </w:p>
              </w:tc>
              <w:tc>
                <w:tcPr>
                  <w:tcW w:w="974" w:type="dxa"/>
                  <w:shd w:val="clear" w:color="auto" w:fill="auto"/>
                  <w:vAlign w:val="center"/>
                </w:tcPr>
                <w:p w14:paraId="2278B8B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17" w:type="dxa"/>
                  <w:shd w:val="clear" w:color="auto" w:fill="auto"/>
                  <w:vAlign w:val="center"/>
                </w:tcPr>
                <w:p w14:paraId="4F05716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29" w:type="dxa"/>
                  <w:shd w:val="clear" w:color="auto" w:fill="auto"/>
                  <w:vAlign w:val="center"/>
                </w:tcPr>
                <w:p w14:paraId="65906C4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9" w:type="dxa"/>
                  <w:shd w:val="clear" w:color="auto" w:fill="auto"/>
                  <w:vAlign w:val="center"/>
                </w:tcPr>
                <w:p w14:paraId="09266FB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96" w:type="dxa"/>
                  <w:shd w:val="clear" w:color="auto" w:fill="auto"/>
                  <w:vAlign w:val="center"/>
                </w:tcPr>
                <w:p w14:paraId="70A81CC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废气处理</w:t>
                  </w:r>
                </w:p>
              </w:tc>
            </w:tr>
          </w:tbl>
          <w:p w14:paraId="6911F849">
            <w:pPr>
              <w:jc w:val="center"/>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本项目清洗线规格参数</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6"/>
              <w:gridCol w:w="879"/>
              <w:gridCol w:w="1908"/>
              <w:gridCol w:w="1560"/>
              <w:gridCol w:w="723"/>
              <w:gridCol w:w="761"/>
              <w:gridCol w:w="1203"/>
              <w:gridCol w:w="815"/>
            </w:tblGrid>
            <w:tr w14:paraId="3437FC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shd w:val="clear" w:color="auto" w:fill="auto"/>
                  <w:vAlign w:val="center"/>
                </w:tcPr>
                <w:p w14:paraId="5A4934D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设备名称</w:t>
                  </w:r>
                </w:p>
              </w:tc>
              <w:tc>
                <w:tcPr>
                  <w:tcW w:w="879" w:type="dxa"/>
                  <w:shd w:val="clear" w:color="auto" w:fill="auto"/>
                  <w:vAlign w:val="center"/>
                </w:tcPr>
                <w:p w14:paraId="5D75C69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槽体名称</w:t>
                  </w:r>
                </w:p>
              </w:tc>
              <w:tc>
                <w:tcPr>
                  <w:tcW w:w="1908" w:type="dxa"/>
                  <w:shd w:val="clear" w:color="auto" w:fill="auto"/>
                  <w:vAlign w:val="center"/>
                </w:tcPr>
                <w:p w14:paraId="513A6DE5">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槽体尺寸</w:t>
                  </w:r>
                </w:p>
              </w:tc>
              <w:tc>
                <w:tcPr>
                  <w:tcW w:w="1560" w:type="dxa"/>
                  <w:shd w:val="clear" w:color="auto" w:fill="auto"/>
                  <w:vAlign w:val="center"/>
                </w:tcPr>
                <w:p w14:paraId="56DA7C5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有效容积</w:t>
                  </w:r>
                </w:p>
              </w:tc>
              <w:tc>
                <w:tcPr>
                  <w:tcW w:w="723" w:type="dxa"/>
                  <w:shd w:val="clear" w:color="auto" w:fill="auto"/>
                  <w:vAlign w:val="center"/>
                </w:tcPr>
                <w:p w14:paraId="19E2D0F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操作温度</w:t>
                  </w:r>
                </w:p>
              </w:tc>
              <w:tc>
                <w:tcPr>
                  <w:tcW w:w="761" w:type="dxa"/>
                  <w:shd w:val="clear" w:color="auto" w:fill="auto"/>
                  <w:vAlign w:val="center"/>
                </w:tcPr>
                <w:p w14:paraId="04FE4FC5">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清洗时间</w:t>
                  </w:r>
                </w:p>
              </w:tc>
              <w:tc>
                <w:tcPr>
                  <w:tcW w:w="1203" w:type="dxa"/>
                  <w:shd w:val="clear" w:color="auto" w:fill="auto"/>
                  <w:vAlign w:val="center"/>
                </w:tcPr>
                <w:p w14:paraId="2746996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槽液种类</w:t>
                  </w:r>
                </w:p>
              </w:tc>
              <w:tc>
                <w:tcPr>
                  <w:tcW w:w="815" w:type="dxa"/>
                  <w:shd w:val="clear" w:color="auto" w:fill="auto"/>
                  <w:vAlign w:val="center"/>
                </w:tcPr>
                <w:p w14:paraId="4A7A9DD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导槽次数</w:t>
                  </w:r>
                </w:p>
              </w:tc>
            </w:tr>
            <w:tr w14:paraId="0AAF0E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restart"/>
                  <w:shd w:val="clear" w:color="auto" w:fill="auto"/>
                  <w:vAlign w:val="center"/>
                </w:tcPr>
                <w:p w14:paraId="73D353D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清洗线</w:t>
                  </w:r>
                </w:p>
              </w:tc>
              <w:tc>
                <w:tcPr>
                  <w:tcW w:w="879" w:type="dxa"/>
                  <w:shd w:val="clear" w:color="auto" w:fill="auto"/>
                  <w:vAlign w:val="center"/>
                </w:tcPr>
                <w:p w14:paraId="397DB97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电解除油槽</w:t>
                  </w:r>
                </w:p>
              </w:tc>
              <w:tc>
                <w:tcPr>
                  <w:tcW w:w="1908" w:type="dxa"/>
                  <w:shd w:val="clear" w:color="auto" w:fill="auto"/>
                  <w:vAlign w:val="center"/>
                </w:tcPr>
                <w:p w14:paraId="3A292FC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1500*1200*250mm</w:t>
                  </w:r>
                </w:p>
              </w:tc>
              <w:tc>
                <w:tcPr>
                  <w:tcW w:w="1560" w:type="dxa"/>
                  <w:shd w:val="clear" w:color="auto" w:fill="auto"/>
                  <w:vAlign w:val="center"/>
                </w:tcPr>
                <w:p w14:paraId="62FEB00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350L（约80%）</w:t>
                  </w:r>
                </w:p>
              </w:tc>
              <w:tc>
                <w:tcPr>
                  <w:tcW w:w="723" w:type="dxa"/>
                  <w:shd w:val="clear" w:color="auto" w:fill="auto"/>
                  <w:vAlign w:val="center"/>
                </w:tcPr>
                <w:p w14:paraId="54F2FA7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0A25F1B5">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3.6s</w:t>
                  </w:r>
                </w:p>
              </w:tc>
              <w:tc>
                <w:tcPr>
                  <w:tcW w:w="1203" w:type="dxa"/>
                  <w:shd w:val="clear" w:color="auto" w:fill="auto"/>
                  <w:vAlign w:val="center"/>
                </w:tcPr>
                <w:p w14:paraId="2C5DB88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除油粉、水</w:t>
                  </w:r>
                </w:p>
              </w:tc>
              <w:tc>
                <w:tcPr>
                  <w:tcW w:w="815" w:type="dxa"/>
                  <w:shd w:val="clear" w:color="auto" w:fill="auto"/>
                  <w:vAlign w:val="center"/>
                </w:tcPr>
                <w:p w14:paraId="2F4E06D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10次/a</w:t>
                  </w:r>
                </w:p>
              </w:tc>
            </w:tr>
            <w:tr w14:paraId="78C074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6ADD7F27">
                  <w:pPr>
                    <w:keepNext w:val="0"/>
                    <w:keepLines w:val="0"/>
                    <w:pageBreakBefore w:val="0"/>
                    <w:widowControl/>
                    <w:kinsoku/>
                    <w:wordWrap/>
                    <w:overflowPunct/>
                    <w:topLinePunct w:val="0"/>
                    <w:autoSpaceDE/>
                    <w:autoSpaceDN/>
                    <w:bidi w:val="0"/>
                    <w:adjustRightInd/>
                    <w:snapToGrid/>
                    <w:jc w:val="center"/>
                    <w:textAlignment w:val="bottom"/>
                    <w:rPr>
                      <w:color w:val="000000" w:themeColor="text1"/>
                      <w14:textFill>
                        <w14:solidFill>
                          <w14:schemeClr w14:val="tx1"/>
                        </w14:solidFill>
                      </w14:textFill>
                    </w:rPr>
                  </w:pPr>
                </w:p>
              </w:tc>
              <w:tc>
                <w:tcPr>
                  <w:tcW w:w="879" w:type="dxa"/>
                  <w:shd w:val="clear" w:color="auto" w:fill="auto"/>
                  <w:vAlign w:val="center"/>
                </w:tcPr>
                <w:p w14:paraId="5333D81D">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电解除油槽</w:t>
                  </w:r>
                </w:p>
              </w:tc>
              <w:tc>
                <w:tcPr>
                  <w:tcW w:w="1908" w:type="dxa"/>
                  <w:shd w:val="clear" w:color="auto" w:fill="auto"/>
                  <w:vAlign w:val="center"/>
                </w:tcPr>
                <w:p w14:paraId="3D77DC1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1500*1200*250mm</w:t>
                  </w:r>
                </w:p>
              </w:tc>
              <w:tc>
                <w:tcPr>
                  <w:tcW w:w="1560" w:type="dxa"/>
                  <w:shd w:val="clear" w:color="auto" w:fill="auto"/>
                  <w:vAlign w:val="center"/>
                </w:tcPr>
                <w:p w14:paraId="5C5A362D">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350L（约80%）</w:t>
                  </w:r>
                </w:p>
              </w:tc>
              <w:tc>
                <w:tcPr>
                  <w:tcW w:w="723" w:type="dxa"/>
                  <w:shd w:val="clear" w:color="auto" w:fill="auto"/>
                  <w:vAlign w:val="center"/>
                </w:tcPr>
                <w:p w14:paraId="68A6DA1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45-55</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761" w:type="dxa"/>
                  <w:shd w:val="clear" w:color="auto" w:fill="auto"/>
                  <w:vAlign w:val="center"/>
                </w:tcPr>
                <w:p w14:paraId="6BAF0AE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3.6s</w:t>
                  </w:r>
                </w:p>
              </w:tc>
              <w:tc>
                <w:tcPr>
                  <w:tcW w:w="1203" w:type="dxa"/>
                  <w:shd w:val="clear" w:color="auto" w:fill="auto"/>
                  <w:vAlign w:val="center"/>
                </w:tcPr>
                <w:p w14:paraId="0BB59C5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除油粉、水</w:t>
                  </w:r>
                </w:p>
              </w:tc>
              <w:tc>
                <w:tcPr>
                  <w:tcW w:w="815" w:type="dxa"/>
                  <w:shd w:val="clear" w:color="auto" w:fill="auto"/>
                  <w:vAlign w:val="center"/>
                </w:tcPr>
                <w:p w14:paraId="1F3E560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10次/a</w:t>
                  </w:r>
                </w:p>
              </w:tc>
            </w:tr>
            <w:tr w14:paraId="4A4BF3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0228738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730D38A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喷淋水洗槽</w:t>
                  </w:r>
                </w:p>
              </w:tc>
              <w:tc>
                <w:tcPr>
                  <w:tcW w:w="1908" w:type="dxa"/>
                  <w:shd w:val="clear" w:color="auto" w:fill="auto"/>
                  <w:vAlign w:val="center"/>
                </w:tcPr>
                <w:p w14:paraId="3059495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4B14411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189A007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40B29074">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7A71E05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18092D04">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65805D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28EC785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206F524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喷淋水洗槽</w:t>
                  </w:r>
                </w:p>
              </w:tc>
              <w:tc>
                <w:tcPr>
                  <w:tcW w:w="1908" w:type="dxa"/>
                  <w:shd w:val="clear" w:color="auto" w:fill="auto"/>
                  <w:vAlign w:val="center"/>
                </w:tcPr>
                <w:p w14:paraId="342DD8E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2FAFE6A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1DA3A88B">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279F130B">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0E04726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56CDDDF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3230E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0E05E3EB">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04308A2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酸洗槽</w:t>
                  </w:r>
                </w:p>
              </w:tc>
              <w:tc>
                <w:tcPr>
                  <w:tcW w:w="1908" w:type="dxa"/>
                  <w:shd w:val="clear" w:color="auto" w:fill="auto"/>
                  <w:vAlign w:val="center"/>
                </w:tcPr>
                <w:p w14:paraId="578A532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1050*1200*250mm</w:t>
                  </w:r>
                </w:p>
              </w:tc>
              <w:tc>
                <w:tcPr>
                  <w:tcW w:w="1560" w:type="dxa"/>
                  <w:shd w:val="clear" w:color="auto" w:fill="auto"/>
                  <w:vAlign w:val="center"/>
                </w:tcPr>
                <w:p w14:paraId="24C678C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250L（约80%）</w:t>
                  </w:r>
                </w:p>
              </w:tc>
              <w:tc>
                <w:tcPr>
                  <w:tcW w:w="723" w:type="dxa"/>
                  <w:shd w:val="clear" w:color="auto" w:fill="auto"/>
                  <w:vAlign w:val="center"/>
                </w:tcPr>
                <w:p w14:paraId="584DC0F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25FA26A4">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2.52s</w:t>
                  </w:r>
                </w:p>
              </w:tc>
              <w:tc>
                <w:tcPr>
                  <w:tcW w:w="1203" w:type="dxa"/>
                  <w:shd w:val="clear" w:color="auto" w:fill="auto"/>
                  <w:vAlign w:val="center"/>
                </w:tcPr>
                <w:p w14:paraId="2FABEF1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硫酸、纯水</w:t>
                  </w:r>
                </w:p>
              </w:tc>
              <w:tc>
                <w:tcPr>
                  <w:tcW w:w="815" w:type="dxa"/>
                  <w:shd w:val="clear" w:color="auto" w:fill="auto"/>
                  <w:vAlign w:val="center"/>
                </w:tcPr>
                <w:p w14:paraId="270F261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10次/a</w:t>
                  </w:r>
                </w:p>
              </w:tc>
            </w:tr>
            <w:tr w14:paraId="1B7C7A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4E4AB6F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0335798B">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w:t>
                  </w:r>
                </w:p>
              </w:tc>
              <w:tc>
                <w:tcPr>
                  <w:tcW w:w="1908" w:type="dxa"/>
                  <w:shd w:val="clear" w:color="auto" w:fill="auto"/>
                  <w:vAlign w:val="center"/>
                </w:tcPr>
                <w:p w14:paraId="6509688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24AD720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3939197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1B7DE3F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7C75BE6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75CB866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041080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350920C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05BF4E2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喷淋水洗槽</w:t>
                  </w:r>
                </w:p>
              </w:tc>
              <w:tc>
                <w:tcPr>
                  <w:tcW w:w="1908" w:type="dxa"/>
                  <w:shd w:val="clear" w:color="auto" w:fill="auto"/>
                  <w:vAlign w:val="center"/>
                </w:tcPr>
                <w:p w14:paraId="767671A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57FB80D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148991A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4A1CF4E5">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7B3D299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0ED329C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514FEC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12B36CB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5C29666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喷淋水洗槽</w:t>
                  </w:r>
                </w:p>
              </w:tc>
              <w:tc>
                <w:tcPr>
                  <w:tcW w:w="1908" w:type="dxa"/>
                  <w:shd w:val="clear" w:color="auto" w:fill="auto"/>
                  <w:vAlign w:val="center"/>
                </w:tcPr>
                <w:p w14:paraId="37C4371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7C7BCD3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19181B1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247DD0C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783D697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4C2BFEC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66B76B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7343FD05">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5250813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铜保护槽</w:t>
                  </w:r>
                </w:p>
              </w:tc>
              <w:tc>
                <w:tcPr>
                  <w:tcW w:w="1908" w:type="dxa"/>
                  <w:shd w:val="clear" w:color="auto" w:fill="auto"/>
                  <w:vAlign w:val="center"/>
                </w:tcPr>
                <w:p w14:paraId="680ABE4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1000*1200*250mm</w:t>
                  </w:r>
                </w:p>
              </w:tc>
              <w:tc>
                <w:tcPr>
                  <w:tcW w:w="1560" w:type="dxa"/>
                  <w:shd w:val="clear" w:color="auto" w:fill="auto"/>
                  <w:vAlign w:val="center"/>
                </w:tcPr>
                <w:p w14:paraId="17D05C7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240L（约80%）</w:t>
                  </w:r>
                </w:p>
              </w:tc>
              <w:tc>
                <w:tcPr>
                  <w:tcW w:w="723" w:type="dxa"/>
                  <w:shd w:val="clear" w:color="auto" w:fill="auto"/>
                  <w:vAlign w:val="center"/>
                </w:tcPr>
                <w:p w14:paraId="357F695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22298555">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2.4s</w:t>
                  </w:r>
                </w:p>
              </w:tc>
              <w:tc>
                <w:tcPr>
                  <w:tcW w:w="1203" w:type="dxa"/>
                  <w:shd w:val="clear" w:color="auto" w:fill="auto"/>
                  <w:vAlign w:val="center"/>
                </w:tcPr>
                <w:p w14:paraId="36B7B1B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铜保护剂、纯水</w:t>
                  </w:r>
                </w:p>
              </w:tc>
              <w:tc>
                <w:tcPr>
                  <w:tcW w:w="815" w:type="dxa"/>
                  <w:shd w:val="clear" w:color="auto" w:fill="auto"/>
                  <w:vAlign w:val="center"/>
                </w:tcPr>
                <w:p w14:paraId="3429FB6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30次/a</w:t>
                  </w:r>
                </w:p>
              </w:tc>
            </w:tr>
            <w:tr w14:paraId="2A6B7C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4BFFCCB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262348C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喷淋水洗槽</w:t>
                  </w:r>
                </w:p>
              </w:tc>
              <w:tc>
                <w:tcPr>
                  <w:tcW w:w="1908" w:type="dxa"/>
                  <w:shd w:val="clear" w:color="auto" w:fill="auto"/>
                  <w:vAlign w:val="center"/>
                </w:tcPr>
                <w:p w14:paraId="3147346B">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73251A05">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1C0BDCD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63752AED">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11BEC54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72FCB36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08099E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2494969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03D132C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喷淋水洗槽</w:t>
                  </w:r>
                </w:p>
              </w:tc>
              <w:tc>
                <w:tcPr>
                  <w:tcW w:w="1908" w:type="dxa"/>
                  <w:shd w:val="clear" w:color="auto" w:fill="auto"/>
                  <w:vAlign w:val="center"/>
                </w:tcPr>
                <w:p w14:paraId="4646CF5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400*1200*250mm</w:t>
                  </w:r>
                </w:p>
              </w:tc>
              <w:tc>
                <w:tcPr>
                  <w:tcW w:w="1560" w:type="dxa"/>
                  <w:shd w:val="clear" w:color="auto" w:fill="auto"/>
                  <w:vAlign w:val="center"/>
                </w:tcPr>
                <w:p w14:paraId="2031261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100L（约80%）</w:t>
                  </w:r>
                </w:p>
              </w:tc>
              <w:tc>
                <w:tcPr>
                  <w:tcW w:w="723" w:type="dxa"/>
                  <w:shd w:val="clear" w:color="auto" w:fill="auto"/>
                  <w:vAlign w:val="center"/>
                </w:tcPr>
                <w:p w14:paraId="5253636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3A41F60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0.96s</w:t>
                  </w:r>
                </w:p>
              </w:tc>
              <w:tc>
                <w:tcPr>
                  <w:tcW w:w="1203" w:type="dxa"/>
                  <w:shd w:val="clear" w:color="auto" w:fill="auto"/>
                  <w:vAlign w:val="center"/>
                </w:tcPr>
                <w:p w14:paraId="7C8EA2C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815" w:type="dxa"/>
                  <w:shd w:val="clear" w:color="auto" w:fill="auto"/>
                  <w:vAlign w:val="center"/>
                </w:tcPr>
                <w:p w14:paraId="04F864BD">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100次/a</w:t>
                  </w:r>
                </w:p>
              </w:tc>
            </w:tr>
            <w:tr w14:paraId="3FAE0B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35C4C31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6A13610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风干槽</w:t>
                  </w:r>
                </w:p>
              </w:tc>
              <w:tc>
                <w:tcPr>
                  <w:tcW w:w="1908" w:type="dxa"/>
                  <w:shd w:val="clear" w:color="auto" w:fill="auto"/>
                  <w:vAlign w:val="center"/>
                </w:tcPr>
                <w:p w14:paraId="753D7E4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600*1200*250mm</w:t>
                  </w:r>
                </w:p>
              </w:tc>
              <w:tc>
                <w:tcPr>
                  <w:tcW w:w="1560" w:type="dxa"/>
                  <w:shd w:val="clear" w:color="auto" w:fill="auto"/>
                  <w:vAlign w:val="center"/>
                </w:tcPr>
                <w:p w14:paraId="6F3B310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723" w:type="dxa"/>
                  <w:shd w:val="clear" w:color="auto" w:fill="auto"/>
                  <w:vAlign w:val="center"/>
                </w:tcPr>
                <w:p w14:paraId="0D1C178D">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11CC7754">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1.44s</w:t>
                  </w:r>
                </w:p>
              </w:tc>
              <w:tc>
                <w:tcPr>
                  <w:tcW w:w="1203" w:type="dxa"/>
                  <w:shd w:val="clear" w:color="auto" w:fill="auto"/>
                  <w:vAlign w:val="center"/>
                </w:tcPr>
                <w:p w14:paraId="48E6AAC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15" w:type="dxa"/>
                  <w:shd w:val="clear" w:color="auto" w:fill="auto"/>
                  <w:vAlign w:val="center"/>
                </w:tcPr>
                <w:p w14:paraId="20B61C0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14:paraId="5C79C7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5B4C9079">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24459E3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烘干槽</w:t>
                  </w:r>
                </w:p>
              </w:tc>
              <w:tc>
                <w:tcPr>
                  <w:tcW w:w="1908" w:type="dxa"/>
                  <w:shd w:val="clear" w:color="auto" w:fill="auto"/>
                  <w:vAlign w:val="center"/>
                </w:tcPr>
                <w:p w14:paraId="6612B26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3900*1200*250mm</w:t>
                  </w:r>
                </w:p>
              </w:tc>
              <w:tc>
                <w:tcPr>
                  <w:tcW w:w="1560" w:type="dxa"/>
                  <w:shd w:val="clear" w:color="auto" w:fill="auto"/>
                  <w:vAlign w:val="center"/>
                </w:tcPr>
                <w:p w14:paraId="727DFDCF">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723" w:type="dxa"/>
                  <w:shd w:val="clear" w:color="auto" w:fill="auto"/>
                  <w:vAlign w:val="center"/>
                </w:tcPr>
                <w:p w14:paraId="6798114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80℃</w:t>
                  </w:r>
                </w:p>
              </w:tc>
              <w:tc>
                <w:tcPr>
                  <w:tcW w:w="761" w:type="dxa"/>
                  <w:shd w:val="clear" w:color="auto" w:fill="auto"/>
                  <w:vAlign w:val="center"/>
                </w:tcPr>
                <w:p w14:paraId="5096F52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9.36s</w:t>
                  </w:r>
                </w:p>
              </w:tc>
              <w:tc>
                <w:tcPr>
                  <w:tcW w:w="1203" w:type="dxa"/>
                  <w:shd w:val="clear" w:color="auto" w:fill="auto"/>
                  <w:vAlign w:val="center"/>
                </w:tcPr>
                <w:p w14:paraId="6BC3D7E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15" w:type="dxa"/>
                  <w:shd w:val="clear" w:color="auto" w:fill="auto"/>
                  <w:vAlign w:val="center"/>
                </w:tcPr>
                <w:p w14:paraId="66DE1F0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14:paraId="697292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6" w:type="dxa"/>
                  <w:vMerge w:val="continue"/>
                  <w:shd w:val="clear" w:color="auto" w:fill="auto"/>
                  <w:vAlign w:val="center"/>
                </w:tcPr>
                <w:p w14:paraId="00F2737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9" w:type="dxa"/>
                  <w:shd w:val="clear" w:color="auto" w:fill="auto"/>
                  <w:vAlign w:val="center"/>
                </w:tcPr>
                <w:p w14:paraId="2AC704CB">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冷却</w:t>
                  </w:r>
                </w:p>
              </w:tc>
              <w:tc>
                <w:tcPr>
                  <w:tcW w:w="1908" w:type="dxa"/>
                  <w:shd w:val="clear" w:color="auto" w:fill="auto"/>
                  <w:vAlign w:val="center"/>
                </w:tcPr>
                <w:p w14:paraId="11AFF1DE">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1200*1200*250mm</w:t>
                  </w:r>
                </w:p>
              </w:tc>
              <w:tc>
                <w:tcPr>
                  <w:tcW w:w="1560" w:type="dxa"/>
                  <w:shd w:val="clear" w:color="auto" w:fill="auto"/>
                  <w:vAlign w:val="center"/>
                </w:tcPr>
                <w:p w14:paraId="0F154DE4">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723" w:type="dxa"/>
                  <w:shd w:val="clear" w:color="auto" w:fill="auto"/>
                  <w:vAlign w:val="center"/>
                </w:tcPr>
                <w:p w14:paraId="44733C3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w:t>
                  </w:r>
                </w:p>
              </w:tc>
              <w:tc>
                <w:tcPr>
                  <w:tcW w:w="761" w:type="dxa"/>
                  <w:shd w:val="clear" w:color="auto" w:fill="auto"/>
                  <w:vAlign w:val="center"/>
                </w:tcPr>
                <w:p w14:paraId="4D2899F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2.88s</w:t>
                  </w:r>
                </w:p>
              </w:tc>
              <w:tc>
                <w:tcPr>
                  <w:tcW w:w="1203" w:type="dxa"/>
                  <w:shd w:val="clear" w:color="auto" w:fill="auto"/>
                  <w:vAlign w:val="center"/>
                </w:tcPr>
                <w:p w14:paraId="251DBF36">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15" w:type="dxa"/>
                  <w:shd w:val="clear" w:color="auto" w:fill="auto"/>
                  <w:vAlign w:val="center"/>
                </w:tcPr>
                <w:p w14:paraId="447604AA">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bl>
          <w:p w14:paraId="1B5D8D16">
            <w:pPr>
              <w:spacing w:line="360" w:lineRule="auto"/>
              <w:ind w:firstLine="482" w:firstLineChars="200"/>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产能匹配性分析：</w:t>
            </w:r>
          </w:p>
          <w:p w14:paraId="3B4F5076">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生产能力主要由清洗线制约，为自动连续清洗线。1条清洗线可同时清洗15列产品，每分钟加工约25米，以典型的框架系列产品为例（单套产品长度为153mm），则1条清洗线每分钟可加工完成约2450套，则厂内3条清洗线最大清洗能力为13.2亿套/年，可满足本项目年产12亿套芯片框架组件的要求。</w:t>
            </w:r>
          </w:p>
          <w:p w14:paraId="5A3B20BC">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14:textFill>
                  <w14:solidFill>
                    <w14:schemeClr w14:val="tx1"/>
                  </w14:solidFill>
                </w14:textFill>
              </w:rPr>
              <w:t>、原辅材料</w:t>
            </w:r>
          </w:p>
          <w:p w14:paraId="35ED5A11">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1）原辅料用量及成分</w:t>
            </w:r>
          </w:p>
          <w:p w14:paraId="71F79D4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本项目主要原辅材料见表2-</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p>
          <w:p w14:paraId="1FF4F060">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14:textFill>
                  <w14:solidFill>
                    <w14:schemeClr w14:val="tx1"/>
                  </w14:solidFill>
                </w14:textFill>
              </w:rPr>
              <w:t xml:space="preserve">  建设项目原辅料及资源能源消耗</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7"/>
              <w:gridCol w:w="652"/>
              <w:gridCol w:w="1896"/>
              <w:gridCol w:w="745"/>
              <w:gridCol w:w="745"/>
              <w:gridCol w:w="745"/>
              <w:gridCol w:w="745"/>
              <w:gridCol w:w="804"/>
              <w:gridCol w:w="715"/>
              <w:gridCol w:w="718"/>
              <w:gridCol w:w="427"/>
            </w:tblGrid>
            <w:tr w14:paraId="74E88A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427" w:type="dxa"/>
                  <w:vMerge w:val="restart"/>
                  <w:shd w:val="clear" w:color="auto" w:fill="auto"/>
                  <w:vAlign w:val="center"/>
                </w:tcPr>
                <w:p w14:paraId="201D5325">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652" w:type="dxa"/>
                  <w:vMerge w:val="restart"/>
                  <w:vAlign w:val="center"/>
                </w:tcPr>
                <w:p w14:paraId="5F78644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896" w:type="dxa"/>
                  <w:vMerge w:val="restart"/>
                  <w:vAlign w:val="center"/>
                </w:tcPr>
                <w:p w14:paraId="3F47F60D">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重要组分、规格及指标</w:t>
                  </w:r>
                </w:p>
              </w:tc>
              <w:tc>
                <w:tcPr>
                  <w:tcW w:w="2980" w:type="dxa"/>
                  <w:gridSpan w:val="4"/>
                  <w:vAlign w:val="center"/>
                </w:tcPr>
                <w:p w14:paraId="5C02FDAE">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年耗量</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p>
              </w:tc>
              <w:tc>
                <w:tcPr>
                  <w:tcW w:w="804" w:type="dxa"/>
                  <w:vMerge w:val="restart"/>
                  <w:vAlign w:val="center"/>
                </w:tcPr>
                <w:p w14:paraId="7BDE3EBC">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最大储存量</w:t>
                  </w:r>
                </w:p>
              </w:tc>
              <w:tc>
                <w:tcPr>
                  <w:tcW w:w="715" w:type="dxa"/>
                  <w:vMerge w:val="restart"/>
                  <w:vAlign w:val="center"/>
                </w:tcPr>
                <w:p w14:paraId="6CE14C3E">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存放位置</w:t>
                  </w:r>
                </w:p>
              </w:tc>
              <w:tc>
                <w:tcPr>
                  <w:tcW w:w="718" w:type="dxa"/>
                  <w:vMerge w:val="restart"/>
                  <w:vAlign w:val="center"/>
                </w:tcPr>
                <w:p w14:paraId="09E408BB">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包装方式</w:t>
                  </w:r>
                </w:p>
              </w:tc>
              <w:tc>
                <w:tcPr>
                  <w:tcW w:w="427" w:type="dxa"/>
                  <w:vMerge w:val="restart"/>
                  <w:vAlign w:val="center"/>
                </w:tcPr>
                <w:p w14:paraId="4899D68E">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来源及</w:t>
                  </w:r>
                </w:p>
                <w:p w14:paraId="095F4A97">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运输</w:t>
                  </w:r>
                </w:p>
              </w:tc>
            </w:tr>
            <w:tr w14:paraId="15737A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427" w:type="dxa"/>
                  <w:vMerge w:val="continue"/>
                  <w:shd w:val="clear" w:color="auto" w:fill="auto"/>
                  <w:vAlign w:val="center"/>
                </w:tcPr>
                <w:p w14:paraId="6F7593B7">
                  <w:pPr>
                    <w:jc w:val="center"/>
                    <w:rPr>
                      <w:color w:val="000000" w:themeColor="text1"/>
                      <w14:textFill>
                        <w14:solidFill>
                          <w14:schemeClr w14:val="tx1"/>
                        </w14:solidFill>
                      </w14:textFill>
                    </w:rPr>
                  </w:pPr>
                </w:p>
              </w:tc>
              <w:tc>
                <w:tcPr>
                  <w:tcW w:w="652" w:type="dxa"/>
                  <w:vMerge w:val="continue"/>
                  <w:vAlign w:val="center"/>
                </w:tcPr>
                <w:p w14:paraId="7758FFE8">
                  <w:pPr>
                    <w:jc w:val="center"/>
                    <w:rPr>
                      <w:color w:val="000000" w:themeColor="text1"/>
                      <w14:textFill>
                        <w14:solidFill>
                          <w14:schemeClr w14:val="tx1"/>
                        </w14:solidFill>
                      </w14:textFill>
                    </w:rPr>
                  </w:pPr>
                </w:p>
              </w:tc>
              <w:tc>
                <w:tcPr>
                  <w:tcW w:w="1896" w:type="dxa"/>
                  <w:vMerge w:val="continue"/>
                  <w:vAlign w:val="center"/>
                </w:tcPr>
                <w:p w14:paraId="160B6300">
                  <w:pPr>
                    <w:jc w:val="center"/>
                    <w:rPr>
                      <w:color w:val="000000" w:themeColor="text1"/>
                      <w14:textFill>
                        <w14:solidFill>
                          <w14:schemeClr w14:val="tx1"/>
                        </w14:solidFill>
                      </w14:textFill>
                    </w:rPr>
                  </w:pPr>
                </w:p>
              </w:tc>
              <w:tc>
                <w:tcPr>
                  <w:tcW w:w="745" w:type="dxa"/>
                  <w:shd w:val="clear" w:color="auto" w:fill="auto"/>
                  <w:vAlign w:val="center"/>
                </w:tcPr>
                <w:p w14:paraId="528B888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原项目</w:t>
                  </w:r>
                </w:p>
              </w:tc>
              <w:tc>
                <w:tcPr>
                  <w:tcW w:w="745" w:type="dxa"/>
                  <w:shd w:val="clear" w:color="auto" w:fill="auto"/>
                  <w:vAlign w:val="center"/>
                </w:tcPr>
                <w:p w14:paraId="6DF35F2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本项目</w:t>
                  </w:r>
                </w:p>
              </w:tc>
              <w:tc>
                <w:tcPr>
                  <w:tcW w:w="745" w:type="dxa"/>
                  <w:shd w:val="clear" w:color="auto" w:fill="auto"/>
                  <w:vAlign w:val="center"/>
                </w:tcPr>
                <w:p w14:paraId="48FAC99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扩建后全厂</w:t>
                  </w:r>
                </w:p>
              </w:tc>
              <w:tc>
                <w:tcPr>
                  <w:tcW w:w="745" w:type="dxa"/>
                  <w:shd w:val="clear" w:color="auto" w:fill="auto"/>
                  <w:vAlign w:val="center"/>
                </w:tcPr>
                <w:p w14:paraId="38F7AE9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增减量</w:t>
                  </w:r>
                </w:p>
              </w:tc>
              <w:tc>
                <w:tcPr>
                  <w:tcW w:w="804" w:type="dxa"/>
                  <w:vMerge w:val="continue"/>
                  <w:vAlign w:val="center"/>
                </w:tcPr>
                <w:p w14:paraId="56391E17">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715" w:type="dxa"/>
                  <w:vMerge w:val="continue"/>
                  <w:vAlign w:val="center"/>
                </w:tcPr>
                <w:p w14:paraId="3954E9C5">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718" w:type="dxa"/>
                  <w:vMerge w:val="continue"/>
                  <w:vAlign w:val="center"/>
                </w:tcPr>
                <w:p w14:paraId="39217977">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427" w:type="dxa"/>
                  <w:vMerge w:val="continue"/>
                  <w:vAlign w:val="center"/>
                </w:tcPr>
                <w:p w14:paraId="166DDFA5">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4BD1E4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58F80F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652" w:type="dxa"/>
                  <w:shd w:val="clear" w:color="auto" w:fill="auto"/>
                  <w:vAlign w:val="center"/>
                </w:tcPr>
                <w:p w14:paraId="67BED783">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铜带</w:t>
                  </w:r>
                </w:p>
              </w:tc>
              <w:tc>
                <w:tcPr>
                  <w:tcW w:w="1896" w:type="dxa"/>
                  <w:vAlign w:val="center"/>
                </w:tcPr>
                <w:p w14:paraId="112D2AA0">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片（0.12-0.8mm），铜99.31%-99.425%、铁0.05%-0.15%，磷0.025-0.04%，上述元素综合</w:t>
                  </w:r>
                  <w:r>
                    <w:rPr>
                      <w:rFonts w:hint="eastAsia" w:ascii="宋体" w:hAnsi="宋体" w:eastAsia="宋体" w:cs="宋体"/>
                      <w:color w:val="000000" w:themeColor="text1"/>
                      <w:kern w:val="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99.5%（不含其他重金属）</w:t>
                  </w:r>
                </w:p>
              </w:tc>
              <w:tc>
                <w:tcPr>
                  <w:tcW w:w="745" w:type="dxa"/>
                  <w:shd w:val="clear" w:color="auto" w:fill="auto"/>
                  <w:vAlign w:val="center"/>
                </w:tcPr>
                <w:p w14:paraId="283BA211">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770</w:t>
                  </w:r>
                </w:p>
              </w:tc>
              <w:tc>
                <w:tcPr>
                  <w:tcW w:w="745" w:type="dxa"/>
                  <w:shd w:val="clear" w:color="auto" w:fill="auto"/>
                  <w:vAlign w:val="center"/>
                </w:tcPr>
                <w:p w14:paraId="0668336A">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770</w:t>
                  </w:r>
                </w:p>
              </w:tc>
              <w:tc>
                <w:tcPr>
                  <w:tcW w:w="745" w:type="dxa"/>
                  <w:shd w:val="clear" w:color="auto" w:fill="auto"/>
                  <w:vAlign w:val="center"/>
                </w:tcPr>
                <w:p w14:paraId="69E65E2B">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15</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0</w:t>
                  </w:r>
                </w:p>
              </w:tc>
              <w:tc>
                <w:tcPr>
                  <w:tcW w:w="745" w:type="dxa"/>
                  <w:shd w:val="clear" w:color="auto" w:fill="auto"/>
                  <w:vAlign w:val="center"/>
                </w:tcPr>
                <w:p w14:paraId="4E78B771">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+770</w:t>
                  </w:r>
                </w:p>
              </w:tc>
              <w:tc>
                <w:tcPr>
                  <w:tcW w:w="804" w:type="dxa"/>
                  <w:shd w:val="clear" w:color="auto" w:fill="auto"/>
                  <w:vAlign w:val="center"/>
                </w:tcPr>
                <w:p w14:paraId="42E5B13B">
                  <w:pPr>
                    <w:jc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120</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15" w:type="dxa"/>
                  <w:vAlign w:val="center"/>
                </w:tcPr>
                <w:p w14:paraId="022B9420">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3FEE6714">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堆放</w:t>
                  </w:r>
                </w:p>
              </w:tc>
              <w:tc>
                <w:tcPr>
                  <w:tcW w:w="427" w:type="dxa"/>
                  <w:vMerge w:val="restart"/>
                  <w:vAlign w:val="center"/>
                </w:tcPr>
                <w:p w14:paraId="5C9CB83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国内</w:t>
                  </w:r>
                </w:p>
                <w:p w14:paraId="5FB917F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车运</w:t>
                  </w:r>
                </w:p>
              </w:tc>
            </w:tr>
            <w:tr w14:paraId="1F34BD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590FF7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652" w:type="dxa"/>
                  <w:shd w:val="clear" w:color="auto" w:fill="auto"/>
                  <w:vAlign w:val="center"/>
                </w:tcPr>
                <w:p w14:paraId="54F21511">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除油粉</w:t>
                  </w:r>
                </w:p>
              </w:tc>
              <w:tc>
                <w:tcPr>
                  <w:tcW w:w="1896" w:type="dxa"/>
                  <w:vAlign w:val="center"/>
                </w:tcPr>
                <w:p w14:paraId="213A5C20">
                  <w:pPr>
                    <w:pStyle w:val="5"/>
                    <w:bidi w:val="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氢氧化钠46%、碳酸钠14%、葡萄糖酸钠22%、表面活性剂18%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（不含磷）</w:t>
                  </w:r>
                </w:p>
              </w:tc>
              <w:tc>
                <w:tcPr>
                  <w:tcW w:w="745" w:type="dxa"/>
                  <w:shd w:val="clear" w:color="auto" w:fill="auto"/>
                  <w:vAlign w:val="center"/>
                </w:tcPr>
                <w:p w14:paraId="3E1388BD">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w:t>
                  </w:r>
                </w:p>
              </w:tc>
              <w:tc>
                <w:tcPr>
                  <w:tcW w:w="745" w:type="dxa"/>
                  <w:shd w:val="clear" w:color="auto" w:fill="auto"/>
                  <w:vAlign w:val="center"/>
                </w:tcPr>
                <w:p w14:paraId="0EB38A18">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3</w:t>
                  </w:r>
                </w:p>
              </w:tc>
              <w:tc>
                <w:tcPr>
                  <w:tcW w:w="745" w:type="dxa"/>
                  <w:shd w:val="clear" w:color="auto" w:fill="auto"/>
                  <w:vAlign w:val="center"/>
                </w:tcPr>
                <w:p w14:paraId="727B4AFA">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3</w:t>
                  </w:r>
                </w:p>
              </w:tc>
              <w:tc>
                <w:tcPr>
                  <w:tcW w:w="745" w:type="dxa"/>
                  <w:shd w:val="clear" w:color="auto" w:fill="auto"/>
                  <w:vAlign w:val="center"/>
                </w:tcPr>
                <w:p w14:paraId="2F37FBA8">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+3</w:t>
                  </w:r>
                </w:p>
              </w:tc>
              <w:tc>
                <w:tcPr>
                  <w:tcW w:w="804" w:type="dxa"/>
                  <w:shd w:val="clear" w:color="auto" w:fill="auto"/>
                  <w:vAlign w:val="center"/>
                </w:tcPr>
                <w:p w14:paraId="39021F00">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0.</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15" w:type="dxa"/>
                  <w:vAlign w:val="center"/>
                </w:tcPr>
                <w:p w14:paraId="335C8A60">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08799802">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427" w:type="dxa"/>
                  <w:vMerge w:val="continue"/>
                  <w:vAlign w:val="center"/>
                </w:tcPr>
                <w:p w14:paraId="08464A27">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86009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219480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652" w:type="dxa"/>
                  <w:shd w:val="clear" w:color="auto" w:fill="auto"/>
                  <w:vAlign w:val="center"/>
                </w:tcPr>
                <w:p w14:paraId="4E9C6CA8">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铜保护剂</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（工作液）</w:t>
                  </w:r>
                </w:p>
              </w:tc>
              <w:tc>
                <w:tcPr>
                  <w:tcW w:w="1896" w:type="dxa"/>
                  <w:shd w:val="clear" w:color="auto" w:fill="auto"/>
                  <w:vAlign w:val="center"/>
                </w:tcPr>
                <w:p w14:paraId="60A8E5B8">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甲醇10%、柠檬酸钾8%、辅助剂A15%、专利添加剂4%、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水余量（无铬）</w:t>
                  </w:r>
                </w:p>
              </w:tc>
              <w:tc>
                <w:tcPr>
                  <w:tcW w:w="745" w:type="dxa"/>
                  <w:shd w:val="clear" w:color="auto" w:fill="auto"/>
                  <w:vAlign w:val="center"/>
                </w:tcPr>
                <w:p w14:paraId="66BBDCD0">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w:t>
                  </w:r>
                </w:p>
              </w:tc>
              <w:tc>
                <w:tcPr>
                  <w:tcW w:w="745" w:type="dxa"/>
                  <w:shd w:val="clear" w:color="auto" w:fill="auto"/>
                  <w:vAlign w:val="center"/>
                </w:tcPr>
                <w:p w14:paraId="0A575176">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1.35m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745" w:type="dxa"/>
                  <w:shd w:val="clear" w:color="auto" w:fill="auto"/>
                  <w:vAlign w:val="center"/>
                </w:tcPr>
                <w:p w14:paraId="00CC9A42">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1.35m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745" w:type="dxa"/>
                  <w:shd w:val="clear" w:color="auto" w:fill="auto"/>
                  <w:vAlign w:val="center"/>
                </w:tcPr>
                <w:p w14:paraId="070363A9">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+1.35m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804" w:type="dxa"/>
                  <w:shd w:val="clear" w:color="auto" w:fill="auto"/>
                  <w:vAlign w:val="center"/>
                </w:tcPr>
                <w:p w14:paraId="146C847D">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0.</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4m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715" w:type="dxa"/>
                  <w:vAlign w:val="center"/>
                </w:tcPr>
                <w:p w14:paraId="6CF47E55">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4531D1EA">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200L/桶</w:t>
                  </w:r>
                </w:p>
              </w:tc>
              <w:tc>
                <w:tcPr>
                  <w:tcW w:w="427" w:type="dxa"/>
                  <w:vMerge w:val="continue"/>
                  <w:vAlign w:val="center"/>
                </w:tcPr>
                <w:p w14:paraId="46B6E60B">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0F6C6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54DA68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652" w:type="dxa"/>
                  <w:shd w:val="clear" w:color="auto" w:fill="auto"/>
                  <w:vAlign w:val="center"/>
                </w:tcPr>
                <w:p w14:paraId="257253F0">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硫酸</w:t>
                  </w:r>
                </w:p>
              </w:tc>
              <w:tc>
                <w:tcPr>
                  <w:tcW w:w="1896" w:type="dxa"/>
                  <w:shd w:val="clear" w:color="auto" w:fill="auto"/>
                  <w:vAlign w:val="center"/>
                </w:tcPr>
                <w:p w14:paraId="27EA135B">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硫酸（质量分数98.3%）</w:t>
                  </w:r>
                </w:p>
              </w:tc>
              <w:tc>
                <w:tcPr>
                  <w:tcW w:w="745" w:type="dxa"/>
                  <w:shd w:val="clear" w:color="auto" w:fill="auto"/>
                  <w:vAlign w:val="center"/>
                </w:tcPr>
                <w:p w14:paraId="462605AC">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w:t>
                  </w:r>
                </w:p>
              </w:tc>
              <w:tc>
                <w:tcPr>
                  <w:tcW w:w="745" w:type="dxa"/>
                  <w:shd w:val="clear" w:color="auto" w:fill="auto"/>
                  <w:vAlign w:val="center"/>
                </w:tcPr>
                <w:p w14:paraId="27FFD062">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0.75m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745" w:type="dxa"/>
                  <w:shd w:val="clear" w:color="auto" w:fill="auto"/>
                  <w:vAlign w:val="center"/>
                </w:tcPr>
                <w:p w14:paraId="0B66F63E">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0.75m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745" w:type="dxa"/>
                  <w:shd w:val="clear" w:color="auto" w:fill="auto"/>
                  <w:vAlign w:val="center"/>
                </w:tcPr>
                <w:p w14:paraId="0140FF95">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+0.75m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804" w:type="dxa"/>
                  <w:shd w:val="clear" w:color="auto" w:fill="auto"/>
                  <w:vAlign w:val="center"/>
                </w:tcPr>
                <w:p w14:paraId="17AC566D">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0.2m</w:t>
                  </w:r>
                  <w:r>
                    <w:rPr>
                      <w:rFonts w:hint="eastAsia" w:ascii="Times New Roman" w:hAnsi="Times New Roman" w:eastAsia="宋体" w:cs="Times New Roman"/>
                      <w:color w:val="000000" w:themeColor="text1"/>
                      <w:kern w:val="1"/>
                      <w:szCs w:val="21"/>
                      <w:vertAlign w:val="superscript"/>
                      <w:lang w:val="en-US" w:eastAsia="zh-CN"/>
                      <w14:textFill>
                        <w14:solidFill>
                          <w14:schemeClr w14:val="tx1"/>
                        </w14:solidFill>
                      </w14:textFill>
                    </w:rPr>
                    <w:t>3</w:t>
                  </w:r>
                </w:p>
              </w:tc>
              <w:tc>
                <w:tcPr>
                  <w:tcW w:w="715" w:type="dxa"/>
                  <w:vAlign w:val="center"/>
                </w:tcPr>
                <w:p w14:paraId="63A30276">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2330F1D0">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200L/桶</w:t>
                  </w:r>
                </w:p>
              </w:tc>
              <w:tc>
                <w:tcPr>
                  <w:tcW w:w="427" w:type="dxa"/>
                  <w:vMerge w:val="continue"/>
                  <w:vAlign w:val="center"/>
                </w:tcPr>
                <w:p w14:paraId="3E96C3A8">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E5C40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01E808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652" w:type="dxa"/>
                  <w:shd w:val="clear" w:color="auto" w:fill="auto"/>
                  <w:vAlign w:val="center"/>
                </w:tcPr>
                <w:p w14:paraId="554EABE6">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润滑油</w:t>
                  </w:r>
                </w:p>
              </w:tc>
              <w:tc>
                <w:tcPr>
                  <w:tcW w:w="1896" w:type="dxa"/>
                  <w:shd w:val="clear" w:color="auto" w:fill="auto"/>
                  <w:vAlign w:val="center"/>
                </w:tcPr>
                <w:p w14:paraId="33622295">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润滑油</w:t>
                  </w:r>
                </w:p>
              </w:tc>
              <w:tc>
                <w:tcPr>
                  <w:tcW w:w="745" w:type="dxa"/>
                  <w:shd w:val="clear" w:color="auto" w:fill="auto"/>
                  <w:vAlign w:val="center"/>
                </w:tcPr>
                <w:p w14:paraId="5AD542E7">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0.3</w:t>
                  </w:r>
                </w:p>
              </w:tc>
              <w:tc>
                <w:tcPr>
                  <w:tcW w:w="745" w:type="dxa"/>
                  <w:shd w:val="clear" w:color="auto" w:fill="auto"/>
                  <w:vAlign w:val="center"/>
                </w:tcPr>
                <w:p w14:paraId="4D91FBEE">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0.3</w:t>
                  </w:r>
                </w:p>
              </w:tc>
              <w:tc>
                <w:tcPr>
                  <w:tcW w:w="745" w:type="dxa"/>
                  <w:shd w:val="clear" w:color="auto" w:fill="auto"/>
                  <w:vAlign w:val="center"/>
                </w:tcPr>
                <w:p w14:paraId="32BDB36E">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w:t>
                  </w:r>
                </w:p>
              </w:tc>
              <w:tc>
                <w:tcPr>
                  <w:tcW w:w="745" w:type="dxa"/>
                  <w:shd w:val="clear" w:color="auto" w:fill="auto"/>
                  <w:vAlign w:val="center"/>
                </w:tcPr>
                <w:p w14:paraId="2BC92AF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w:t>
                  </w:r>
                </w:p>
              </w:tc>
              <w:tc>
                <w:tcPr>
                  <w:tcW w:w="804" w:type="dxa"/>
                  <w:shd w:val="clear" w:color="auto" w:fill="auto"/>
                  <w:vAlign w:val="center"/>
                </w:tcPr>
                <w:p w14:paraId="5628C11B">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0.05</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15" w:type="dxa"/>
                  <w:vAlign w:val="center"/>
                </w:tcPr>
                <w:p w14:paraId="5C0FAEC3">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04045359">
                  <w:pPr>
                    <w:pStyle w:val="5"/>
                    <w:bidi w:val="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427" w:type="dxa"/>
                  <w:vMerge w:val="continue"/>
                  <w:vAlign w:val="center"/>
                </w:tcPr>
                <w:p w14:paraId="4C94F29A">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DC9F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7" w:type="dxa"/>
                  <w:shd w:val="clear" w:color="auto" w:fill="auto"/>
                  <w:vAlign w:val="center"/>
                </w:tcPr>
                <w:p w14:paraId="715E350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52" w:type="dxa"/>
                  <w:shd w:val="clear" w:color="auto" w:fill="auto"/>
                  <w:vAlign w:val="center"/>
                </w:tcPr>
                <w:p w14:paraId="5EEE328B">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磨削液</w:t>
                  </w:r>
                </w:p>
              </w:tc>
              <w:tc>
                <w:tcPr>
                  <w:tcW w:w="1896" w:type="dxa"/>
                  <w:shd w:val="clear" w:color="auto" w:fill="auto"/>
                  <w:vAlign w:val="center"/>
                </w:tcPr>
                <w:p w14:paraId="279BC693">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基础油、表面活性剂、防锈剂、合成添加剂</w:t>
                  </w:r>
                </w:p>
              </w:tc>
              <w:tc>
                <w:tcPr>
                  <w:tcW w:w="745" w:type="dxa"/>
                  <w:shd w:val="clear" w:color="auto" w:fill="auto"/>
                  <w:vAlign w:val="center"/>
                </w:tcPr>
                <w:p w14:paraId="1ADA32E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0.025</w:t>
                  </w:r>
                </w:p>
              </w:tc>
              <w:tc>
                <w:tcPr>
                  <w:tcW w:w="745" w:type="dxa"/>
                  <w:shd w:val="clear" w:color="auto" w:fill="auto"/>
                  <w:vAlign w:val="center"/>
                </w:tcPr>
                <w:p w14:paraId="5B78DA3A">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0.025</w:t>
                  </w:r>
                </w:p>
              </w:tc>
              <w:tc>
                <w:tcPr>
                  <w:tcW w:w="745" w:type="dxa"/>
                  <w:shd w:val="clear" w:color="auto" w:fill="auto"/>
                  <w:vAlign w:val="center"/>
                </w:tcPr>
                <w:p w14:paraId="706631ED">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0.05</w:t>
                  </w:r>
                </w:p>
              </w:tc>
              <w:tc>
                <w:tcPr>
                  <w:tcW w:w="745" w:type="dxa"/>
                  <w:shd w:val="clear" w:color="auto" w:fill="auto"/>
                  <w:vAlign w:val="center"/>
                </w:tcPr>
                <w:p w14:paraId="441F869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+0.025</w:t>
                  </w:r>
                </w:p>
              </w:tc>
              <w:tc>
                <w:tcPr>
                  <w:tcW w:w="804" w:type="dxa"/>
                  <w:shd w:val="clear" w:color="auto" w:fill="auto"/>
                  <w:vAlign w:val="center"/>
                </w:tcPr>
                <w:p w14:paraId="58594938">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0.05</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15" w:type="dxa"/>
                  <w:vAlign w:val="center"/>
                </w:tcPr>
                <w:p w14:paraId="02C565C3">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5F46DD83">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427" w:type="dxa"/>
                  <w:vMerge w:val="continue"/>
                  <w:vAlign w:val="center"/>
                </w:tcPr>
                <w:p w14:paraId="19E480AD">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C9529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62383E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652" w:type="dxa"/>
                  <w:shd w:val="clear" w:color="auto" w:fill="auto"/>
                  <w:vAlign w:val="center"/>
                </w:tcPr>
                <w:p w14:paraId="7C478C4B">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模具</w:t>
                  </w:r>
                </w:p>
              </w:tc>
              <w:tc>
                <w:tcPr>
                  <w:tcW w:w="1896" w:type="dxa"/>
                  <w:shd w:val="clear" w:color="auto" w:fill="auto"/>
                  <w:vAlign w:val="center"/>
                </w:tcPr>
                <w:p w14:paraId="73400733">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模具钢</w:t>
                  </w:r>
                </w:p>
              </w:tc>
              <w:tc>
                <w:tcPr>
                  <w:tcW w:w="745" w:type="dxa"/>
                  <w:shd w:val="clear" w:color="auto" w:fill="auto"/>
                  <w:vAlign w:val="center"/>
                </w:tcPr>
                <w:p w14:paraId="1C951A2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20套</w:t>
                  </w:r>
                </w:p>
              </w:tc>
              <w:tc>
                <w:tcPr>
                  <w:tcW w:w="745" w:type="dxa"/>
                  <w:shd w:val="clear" w:color="auto" w:fill="auto"/>
                  <w:vAlign w:val="center"/>
                </w:tcPr>
                <w:p w14:paraId="7067EB3D">
                  <w:pPr>
                    <w:jc w:val="cente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20套</w:t>
                  </w:r>
                </w:p>
              </w:tc>
              <w:tc>
                <w:tcPr>
                  <w:tcW w:w="745" w:type="dxa"/>
                  <w:shd w:val="clear" w:color="auto" w:fill="auto"/>
                  <w:vAlign w:val="center"/>
                </w:tcPr>
                <w:p w14:paraId="60691A0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40套</w:t>
                  </w:r>
                </w:p>
              </w:tc>
              <w:tc>
                <w:tcPr>
                  <w:tcW w:w="745" w:type="dxa"/>
                  <w:shd w:val="clear" w:color="auto" w:fill="auto"/>
                  <w:vAlign w:val="center"/>
                </w:tcPr>
                <w:p w14:paraId="461A52F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+20套</w:t>
                  </w:r>
                </w:p>
              </w:tc>
              <w:tc>
                <w:tcPr>
                  <w:tcW w:w="804" w:type="dxa"/>
                  <w:shd w:val="clear" w:color="auto" w:fill="auto"/>
                  <w:vAlign w:val="center"/>
                </w:tcPr>
                <w:p w14:paraId="5560AD1B">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20套</w:t>
                  </w:r>
                </w:p>
              </w:tc>
              <w:tc>
                <w:tcPr>
                  <w:tcW w:w="715" w:type="dxa"/>
                  <w:vAlign w:val="center"/>
                </w:tcPr>
                <w:p w14:paraId="3CA8EA2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25A52072">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27" w:type="dxa"/>
                  <w:vMerge w:val="continue"/>
                  <w:vAlign w:val="center"/>
                </w:tcPr>
                <w:p w14:paraId="6E40B549">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0FCDC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0B73CC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652" w:type="dxa"/>
                  <w:shd w:val="clear" w:color="auto" w:fill="auto"/>
                  <w:vAlign w:val="center"/>
                </w:tcPr>
                <w:p w14:paraId="29578C7E">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氢氧化钠</w:t>
                  </w:r>
                </w:p>
              </w:tc>
              <w:tc>
                <w:tcPr>
                  <w:tcW w:w="1896" w:type="dxa"/>
                  <w:shd w:val="clear" w:color="auto" w:fill="auto"/>
                  <w:vAlign w:val="center"/>
                </w:tcPr>
                <w:p w14:paraId="1A3FBAA9">
                  <w:pPr>
                    <w:bidi w:val="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固态，99%</w:t>
                  </w:r>
                </w:p>
              </w:tc>
              <w:tc>
                <w:tcPr>
                  <w:tcW w:w="745" w:type="dxa"/>
                  <w:shd w:val="clear" w:color="auto" w:fill="auto"/>
                  <w:vAlign w:val="center"/>
                </w:tcPr>
                <w:p w14:paraId="6C01D6E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745" w:type="dxa"/>
                  <w:shd w:val="clear" w:color="auto" w:fill="auto"/>
                  <w:vAlign w:val="center"/>
                </w:tcPr>
                <w:p w14:paraId="6923608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w:t>
                  </w:r>
                </w:p>
              </w:tc>
              <w:tc>
                <w:tcPr>
                  <w:tcW w:w="745" w:type="dxa"/>
                  <w:shd w:val="clear" w:color="auto" w:fill="auto"/>
                  <w:vAlign w:val="center"/>
                </w:tcPr>
                <w:p w14:paraId="786DED58">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w:t>
                  </w:r>
                </w:p>
              </w:tc>
              <w:tc>
                <w:tcPr>
                  <w:tcW w:w="745" w:type="dxa"/>
                  <w:shd w:val="clear" w:color="auto" w:fill="auto"/>
                  <w:vAlign w:val="center"/>
                </w:tcPr>
                <w:p w14:paraId="58CA82AB">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w:t>
                  </w:r>
                </w:p>
              </w:tc>
              <w:tc>
                <w:tcPr>
                  <w:tcW w:w="804" w:type="dxa"/>
                  <w:shd w:val="clear" w:color="auto" w:fill="auto"/>
                  <w:vAlign w:val="center"/>
                </w:tcPr>
                <w:p w14:paraId="791E1B3C">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25kg</w:t>
                  </w:r>
                </w:p>
              </w:tc>
              <w:tc>
                <w:tcPr>
                  <w:tcW w:w="715" w:type="dxa"/>
                  <w:vAlign w:val="center"/>
                </w:tcPr>
                <w:p w14:paraId="5C08BC47">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5CE273DF">
                  <w:pPr>
                    <w:bidi w:val="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427" w:type="dxa"/>
                  <w:vMerge w:val="continue"/>
                  <w:vAlign w:val="center"/>
                </w:tcPr>
                <w:p w14:paraId="22B266F1">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2B1DD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3DF4A7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652" w:type="dxa"/>
                  <w:shd w:val="clear" w:color="auto" w:fill="auto"/>
                  <w:vAlign w:val="center"/>
                </w:tcPr>
                <w:p w14:paraId="78185C66">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PAC</w:t>
                  </w:r>
                </w:p>
              </w:tc>
              <w:tc>
                <w:tcPr>
                  <w:tcW w:w="1896" w:type="dxa"/>
                  <w:shd w:val="clear" w:color="auto" w:fill="auto"/>
                  <w:vAlign w:val="center"/>
                </w:tcPr>
                <w:p w14:paraId="2BA3CA49">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聚合氯化铝</w:t>
                  </w:r>
                </w:p>
              </w:tc>
              <w:tc>
                <w:tcPr>
                  <w:tcW w:w="745" w:type="dxa"/>
                  <w:shd w:val="clear" w:color="auto" w:fill="auto"/>
                  <w:vAlign w:val="center"/>
                </w:tcPr>
                <w:p w14:paraId="627F5A6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745" w:type="dxa"/>
                  <w:shd w:val="clear" w:color="auto" w:fill="auto"/>
                  <w:vAlign w:val="center"/>
                </w:tcPr>
                <w:p w14:paraId="6B259331">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0.2</w:t>
                  </w:r>
                </w:p>
              </w:tc>
              <w:tc>
                <w:tcPr>
                  <w:tcW w:w="745" w:type="dxa"/>
                  <w:shd w:val="clear" w:color="auto" w:fill="auto"/>
                  <w:vAlign w:val="center"/>
                </w:tcPr>
                <w:p w14:paraId="5601AC56">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0.2</w:t>
                  </w:r>
                </w:p>
              </w:tc>
              <w:tc>
                <w:tcPr>
                  <w:tcW w:w="745" w:type="dxa"/>
                  <w:shd w:val="clear" w:color="auto" w:fill="auto"/>
                  <w:vAlign w:val="center"/>
                </w:tcPr>
                <w:p w14:paraId="20B95679">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+0.2</w:t>
                  </w:r>
                </w:p>
              </w:tc>
              <w:tc>
                <w:tcPr>
                  <w:tcW w:w="804" w:type="dxa"/>
                  <w:shd w:val="clear" w:color="auto" w:fill="auto"/>
                  <w:vAlign w:val="center"/>
                </w:tcPr>
                <w:p w14:paraId="29B8F1AE">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25kg</w:t>
                  </w:r>
                </w:p>
              </w:tc>
              <w:tc>
                <w:tcPr>
                  <w:tcW w:w="715" w:type="dxa"/>
                  <w:vAlign w:val="center"/>
                </w:tcPr>
                <w:p w14:paraId="36C2990F">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612B2B0C">
                  <w:pPr>
                    <w:bidi w:val="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427" w:type="dxa"/>
                  <w:vMerge w:val="continue"/>
                  <w:vAlign w:val="center"/>
                </w:tcPr>
                <w:p w14:paraId="01A949A5">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7583C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7" w:type="dxa"/>
                  <w:shd w:val="clear" w:color="auto" w:fill="auto"/>
                  <w:vAlign w:val="center"/>
                </w:tcPr>
                <w:p w14:paraId="38EAD5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652" w:type="dxa"/>
                  <w:shd w:val="clear" w:color="auto" w:fill="auto"/>
                  <w:vAlign w:val="center"/>
                </w:tcPr>
                <w:p w14:paraId="7CBF3280">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PAM</w:t>
                  </w:r>
                </w:p>
              </w:tc>
              <w:tc>
                <w:tcPr>
                  <w:tcW w:w="1896" w:type="dxa"/>
                  <w:shd w:val="clear" w:color="auto" w:fill="auto"/>
                  <w:vAlign w:val="center"/>
                </w:tcPr>
                <w:p w14:paraId="466D0FC5">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聚丙烯酰胺</w:t>
                  </w:r>
                </w:p>
              </w:tc>
              <w:tc>
                <w:tcPr>
                  <w:tcW w:w="745" w:type="dxa"/>
                  <w:shd w:val="clear" w:color="auto" w:fill="auto"/>
                  <w:vAlign w:val="center"/>
                </w:tcPr>
                <w:p w14:paraId="003C4EB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745" w:type="dxa"/>
                  <w:shd w:val="clear" w:color="auto" w:fill="auto"/>
                  <w:vAlign w:val="center"/>
                </w:tcPr>
                <w:p w14:paraId="7B1ED3B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w:t>
                  </w:r>
                </w:p>
              </w:tc>
              <w:tc>
                <w:tcPr>
                  <w:tcW w:w="745" w:type="dxa"/>
                  <w:shd w:val="clear" w:color="auto" w:fill="auto"/>
                  <w:vAlign w:val="center"/>
                </w:tcPr>
                <w:p w14:paraId="015A6D5E">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w:t>
                  </w:r>
                </w:p>
              </w:tc>
              <w:tc>
                <w:tcPr>
                  <w:tcW w:w="745" w:type="dxa"/>
                  <w:shd w:val="clear" w:color="auto" w:fill="auto"/>
                  <w:vAlign w:val="center"/>
                </w:tcPr>
                <w:p w14:paraId="4CE64B11">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w:t>
                  </w:r>
                </w:p>
              </w:tc>
              <w:tc>
                <w:tcPr>
                  <w:tcW w:w="804" w:type="dxa"/>
                  <w:shd w:val="clear" w:color="auto" w:fill="auto"/>
                  <w:vAlign w:val="center"/>
                </w:tcPr>
                <w:p w14:paraId="5CC4FAB6">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25kg</w:t>
                  </w:r>
                </w:p>
              </w:tc>
              <w:tc>
                <w:tcPr>
                  <w:tcW w:w="715" w:type="dxa"/>
                  <w:vAlign w:val="center"/>
                </w:tcPr>
                <w:p w14:paraId="578B6B51">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18" w:type="dxa"/>
                  <w:vAlign w:val="center"/>
                </w:tcPr>
                <w:p w14:paraId="7F5519EC">
                  <w:pPr>
                    <w:bidi w:val="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427" w:type="dxa"/>
                  <w:vMerge w:val="continue"/>
                  <w:vAlign w:val="center"/>
                </w:tcPr>
                <w:p w14:paraId="155D2BC2">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65DCC186">
            <w:pPr>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注：铜保护剂为保密配方，根据企业提供检测报告，不含其他有毒有害物质。</w:t>
            </w:r>
          </w:p>
          <w:p w14:paraId="7C077878">
            <w:pPr>
              <w:spacing w:before="156" w:beforeLines="5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14:textFill>
                  <w14:solidFill>
                    <w14:schemeClr w14:val="tx1"/>
                  </w14:solidFill>
                </w14:textFill>
              </w:rPr>
              <w:t xml:space="preserve">  主要原辅料理化性质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6"/>
              <w:gridCol w:w="4845"/>
              <w:gridCol w:w="1456"/>
              <w:gridCol w:w="1373"/>
            </w:tblGrid>
            <w:tr w14:paraId="04310C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207E2E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名称</w:t>
                  </w:r>
                </w:p>
              </w:tc>
              <w:tc>
                <w:tcPr>
                  <w:tcW w:w="2806" w:type="pct"/>
                  <w:tcBorders>
                    <w:tl2br w:val="nil"/>
                    <w:tr2bl w:val="nil"/>
                  </w:tcBorders>
                  <w:tcMar>
                    <w:top w:w="0" w:type="dxa"/>
                    <w:left w:w="0" w:type="dxa"/>
                    <w:bottom w:w="0" w:type="dxa"/>
                    <w:right w:w="0" w:type="dxa"/>
                  </w:tcMar>
                  <w:vAlign w:val="center"/>
                </w:tcPr>
                <w:p w14:paraId="1965E2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理化性质</w:t>
                  </w:r>
                </w:p>
              </w:tc>
              <w:tc>
                <w:tcPr>
                  <w:tcW w:w="843" w:type="pct"/>
                  <w:tcBorders>
                    <w:tl2br w:val="nil"/>
                    <w:tr2bl w:val="nil"/>
                  </w:tcBorders>
                  <w:tcMar>
                    <w:top w:w="0" w:type="dxa"/>
                    <w:left w:w="0" w:type="dxa"/>
                    <w:bottom w:w="0" w:type="dxa"/>
                    <w:right w:w="0" w:type="dxa"/>
                  </w:tcMar>
                  <w:vAlign w:val="center"/>
                </w:tcPr>
                <w:p w14:paraId="051C31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燃爆性/</w:t>
                  </w:r>
                </w:p>
                <w:p w14:paraId="1428A8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放射性</w:t>
                  </w:r>
                </w:p>
              </w:tc>
              <w:tc>
                <w:tcPr>
                  <w:tcW w:w="795" w:type="pct"/>
                  <w:tcBorders>
                    <w:tl2br w:val="nil"/>
                    <w:tr2bl w:val="nil"/>
                  </w:tcBorders>
                  <w:tcMar>
                    <w:top w:w="0" w:type="dxa"/>
                    <w:left w:w="0" w:type="dxa"/>
                    <w:bottom w:w="0" w:type="dxa"/>
                    <w:right w:w="0" w:type="dxa"/>
                  </w:tcMar>
                  <w:vAlign w:val="center"/>
                </w:tcPr>
                <w:p w14:paraId="726D9A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毒性毒理/</w:t>
                  </w:r>
                </w:p>
                <w:p w14:paraId="4B74ED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危险特性</w:t>
                  </w:r>
                </w:p>
              </w:tc>
            </w:tr>
            <w:tr w14:paraId="2742E2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shd w:val="clear" w:color="auto" w:fill="auto"/>
                  <w:tcMar>
                    <w:top w:w="0" w:type="dxa"/>
                    <w:left w:w="0" w:type="dxa"/>
                    <w:bottom w:w="0" w:type="dxa"/>
                    <w:right w:w="0" w:type="dxa"/>
                  </w:tcMar>
                  <w:vAlign w:val="center"/>
                </w:tcPr>
                <w:p w14:paraId="30162BB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铜保护剂</w:t>
                  </w:r>
                </w:p>
              </w:tc>
              <w:tc>
                <w:tcPr>
                  <w:tcW w:w="2806" w:type="pct"/>
                  <w:tcBorders>
                    <w:tl2br w:val="nil"/>
                    <w:tr2bl w:val="nil"/>
                  </w:tcBorders>
                  <w:shd w:val="clear" w:color="auto" w:fill="auto"/>
                  <w:tcMar>
                    <w:top w:w="0" w:type="dxa"/>
                    <w:left w:w="0" w:type="dxa"/>
                    <w:bottom w:w="0" w:type="dxa"/>
                    <w:right w:w="0" w:type="dxa"/>
                  </w:tcMar>
                  <w:vAlign w:val="center"/>
                </w:tcPr>
                <w:p w14:paraId="05DF3EB1">
                  <w:pPr>
                    <w:pStyle w:val="80"/>
                    <w:keepNext w:val="0"/>
                    <w:keepLines w:val="0"/>
                    <w:pageBreakBefore w:val="0"/>
                    <w:widowControl w:val="0"/>
                    <w:kinsoku/>
                    <w:wordWrap/>
                    <w:overflowPunct/>
                    <w:topLinePunct w:val="0"/>
                    <w:autoSpaceDE/>
                    <w:autoSpaceDN/>
                    <w:bidi w:val="0"/>
                    <w:adjustRightInd w:val="0"/>
                    <w:snapToGrid/>
                    <w:ind w:firstLine="0" w:firstLineChars="0"/>
                    <w:jc w:val="left"/>
                    <w:textAlignment w:val="auto"/>
                    <w:rPr>
                      <w:rFonts w:hint="eastAsia" w:ascii="Times New Roman" w:hAnsi="Times New Roman" w:eastAsia="宋体" w:cs="Times New Roman"/>
                      <w:i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2"/>
                      <w:sz w:val="21"/>
                      <w:szCs w:val="21"/>
                      <w:lang w:val="en-US" w:eastAsia="zh-CN" w:bidi="ar-SA"/>
                      <w14:textFill>
                        <w14:solidFill>
                          <w14:schemeClr w14:val="tx1"/>
                        </w14:solidFill>
                      </w14:textFill>
                    </w:rPr>
                    <w:t>铜钝化剂是一种用于铜及铜合金表面处理的工业化学制剂，通过在金属表面形成致密保护膜实现抗氧化功能。该类产品采用无铬环保配方，符合欧盟ROHS标准（2018年通过认证），可在常温条件下通过8-20分钟浸泡完成钝化处理。密度：0.96g/cm</w:t>
                  </w:r>
                  <w:r>
                    <w:rPr>
                      <w:rFonts w:hint="eastAsia" w:ascii="Times New Roman" w:hAnsi="Times New Roman" w:eastAsia="宋体" w:cs="Times New Roman"/>
                      <w:iCs/>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43" w:type="pct"/>
                  <w:tcBorders>
                    <w:tl2br w:val="nil"/>
                    <w:tr2bl w:val="nil"/>
                  </w:tcBorders>
                  <w:shd w:val="clear" w:color="auto" w:fill="auto"/>
                  <w:tcMar>
                    <w:top w:w="0" w:type="dxa"/>
                    <w:left w:w="0" w:type="dxa"/>
                    <w:bottom w:w="0" w:type="dxa"/>
                    <w:right w:w="0" w:type="dxa"/>
                  </w:tcMar>
                  <w:vAlign w:val="center"/>
                </w:tcPr>
                <w:p w14:paraId="17FD29A6">
                  <w:pPr>
                    <w:pStyle w:val="80"/>
                    <w:rPr>
                      <w:rFonts w:hint="default" w:ascii="Times New Roman" w:hAnsi="Times New Roman" w:eastAsia="宋体" w:cs="Times New Roman"/>
                      <w:i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2"/>
                      <w:sz w:val="21"/>
                      <w:szCs w:val="21"/>
                      <w:lang w:val="en-US" w:eastAsia="zh-CN" w:bidi="ar-SA"/>
                      <w14:textFill>
                        <w14:solidFill>
                          <w14:schemeClr w14:val="tx1"/>
                        </w14:solidFill>
                      </w14:textFill>
                    </w:rPr>
                    <w:t>可燃</w:t>
                  </w:r>
                </w:p>
              </w:tc>
              <w:tc>
                <w:tcPr>
                  <w:tcW w:w="795" w:type="pct"/>
                  <w:tcBorders>
                    <w:tl2br w:val="nil"/>
                    <w:tr2bl w:val="nil"/>
                  </w:tcBorders>
                  <w:shd w:val="clear" w:color="auto" w:fill="auto"/>
                  <w:tcMar>
                    <w:top w:w="0" w:type="dxa"/>
                    <w:left w:w="0" w:type="dxa"/>
                    <w:bottom w:w="0" w:type="dxa"/>
                    <w:right w:w="0" w:type="dxa"/>
                  </w:tcMar>
                  <w:vAlign w:val="center"/>
                </w:tcPr>
                <w:p w14:paraId="65EF6655">
                  <w:pPr>
                    <w:pStyle w:val="80"/>
                    <w:rPr>
                      <w:rFonts w:hint="default" w:ascii="Times New Roman" w:hAnsi="Times New Roman" w:eastAsia="宋体" w:cs="Times New Roman"/>
                      <w:i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2"/>
                      <w:sz w:val="21"/>
                      <w:szCs w:val="21"/>
                      <w:lang w:val="en-US" w:eastAsia="zh-CN" w:bidi="ar-SA"/>
                      <w14:textFill>
                        <w14:solidFill>
                          <w14:schemeClr w14:val="tx1"/>
                        </w14:solidFill>
                      </w14:textFill>
                    </w:rPr>
                    <w:t>/</w:t>
                  </w:r>
                </w:p>
              </w:tc>
            </w:tr>
            <w:tr w14:paraId="5B64AC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shd w:val="clear" w:color="auto" w:fill="auto"/>
                  <w:tcMar>
                    <w:top w:w="0" w:type="dxa"/>
                    <w:left w:w="0" w:type="dxa"/>
                    <w:bottom w:w="0" w:type="dxa"/>
                    <w:right w:w="0" w:type="dxa"/>
                  </w:tcMar>
                  <w:vAlign w:val="center"/>
                </w:tcPr>
                <w:p w14:paraId="2F3C631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硫酸</w:t>
                  </w:r>
                </w:p>
              </w:tc>
              <w:tc>
                <w:tcPr>
                  <w:tcW w:w="2806" w:type="pct"/>
                  <w:tcBorders>
                    <w:tl2br w:val="nil"/>
                    <w:tr2bl w:val="nil"/>
                  </w:tcBorders>
                  <w:shd w:val="clear" w:color="auto" w:fill="auto"/>
                  <w:tcMar>
                    <w:top w:w="0" w:type="dxa"/>
                    <w:left w:w="0" w:type="dxa"/>
                    <w:bottom w:w="0" w:type="dxa"/>
                    <w:right w:w="0" w:type="dxa"/>
                  </w:tcMar>
                  <w:vAlign w:val="center"/>
                </w:tcPr>
                <w:p w14:paraId="7DFFBE5D">
                  <w:pPr>
                    <w:pStyle w:val="52"/>
                    <w:jc w:val="left"/>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无水硫酸为无色油状液体，10.36℃时结晶，通常使用的是它的各种不同浓度的水溶液，沸点338℃，相对密度1.84，蒸汽压6×10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mmHg</w:t>
                  </w:r>
                </w:p>
              </w:tc>
              <w:tc>
                <w:tcPr>
                  <w:tcW w:w="843" w:type="pct"/>
                  <w:tcBorders>
                    <w:tl2br w:val="nil"/>
                    <w:tr2bl w:val="nil"/>
                  </w:tcBorders>
                  <w:shd w:val="clear" w:color="auto" w:fill="auto"/>
                  <w:tcMar>
                    <w:top w:w="0" w:type="dxa"/>
                    <w:left w:w="0" w:type="dxa"/>
                    <w:bottom w:w="0" w:type="dxa"/>
                    <w:right w:w="0" w:type="dxa"/>
                  </w:tcMar>
                  <w:vAlign w:val="center"/>
                </w:tcPr>
                <w:p w14:paraId="15A88447">
                  <w:pPr>
                    <w:pStyle w:val="52"/>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不燃，无特殊燃爆特性。浓硫酸与可燃物接触易着火燃烧。</w:t>
                  </w:r>
                </w:p>
              </w:tc>
              <w:tc>
                <w:tcPr>
                  <w:tcW w:w="795" w:type="pct"/>
                  <w:tcBorders>
                    <w:tl2br w:val="nil"/>
                    <w:tr2bl w:val="nil"/>
                  </w:tcBorders>
                  <w:shd w:val="clear" w:color="auto" w:fill="auto"/>
                  <w:tcMar>
                    <w:top w:w="0" w:type="dxa"/>
                    <w:left w:w="0" w:type="dxa"/>
                    <w:bottom w:w="0" w:type="dxa"/>
                    <w:right w:w="0" w:type="dxa"/>
                  </w:tcMar>
                  <w:vAlign w:val="center"/>
                </w:tcPr>
                <w:p w14:paraId="29F8CA1E">
                  <w:pPr>
                    <w:pStyle w:val="52"/>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LD50：2140mg/kg(大鼠经口)</w:t>
                  </w:r>
                </w:p>
              </w:tc>
            </w:tr>
            <w:tr w14:paraId="62DFF3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shd w:val="clear" w:color="auto" w:fill="auto"/>
                  <w:tcMar>
                    <w:top w:w="0" w:type="dxa"/>
                    <w:left w:w="0" w:type="dxa"/>
                    <w:bottom w:w="0" w:type="dxa"/>
                    <w:right w:w="0" w:type="dxa"/>
                  </w:tcMar>
                  <w:vAlign w:val="center"/>
                </w:tcPr>
                <w:p w14:paraId="33DB70D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润滑油</w:t>
                  </w:r>
                </w:p>
              </w:tc>
              <w:tc>
                <w:tcPr>
                  <w:tcW w:w="2806" w:type="pct"/>
                  <w:tcBorders>
                    <w:tl2br w:val="nil"/>
                    <w:tr2bl w:val="nil"/>
                  </w:tcBorders>
                  <w:shd w:val="clear" w:color="auto" w:fill="auto"/>
                  <w:tcMar>
                    <w:top w:w="0" w:type="dxa"/>
                    <w:left w:w="0" w:type="dxa"/>
                    <w:bottom w:w="0" w:type="dxa"/>
                    <w:right w:w="0" w:type="dxa"/>
                  </w:tcMar>
                  <w:vAlign w:val="center"/>
                </w:tcPr>
                <w:p w14:paraId="4CD8391D">
                  <w:pPr>
                    <w:pStyle w:val="52"/>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润滑油是用在各种类型汽车、机械设备上以减少摩擦，保护机械及加工件的液体或半</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"https://baike.baidu.com/item/%E5%9B%BA%E4%BD%93%E6%B6%A6%E6%BB%91%E5%89%82/3395034?fromModule=lemma_inlink" \t "https://baike.baidu.com/item/%E6%B6%A6%E6%BB%91%E6%B2%B9/_blank"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固体润滑剂</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，主要起润滑、辅助冷却、</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"https://baike.baidu.com/item/%E9%98%B2%E9%94%88/4591680?fromModule=lemma_inlink" \t "https://baike.baidu.com/item/%E6%B6%A6%E6%BB%91%E6%B2%B9/_blank"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防锈</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"https://baike.baidu.com/item/%E6%B8%85%E6%B4%81/20384805?fromModule=lemma_inlink" \t "https://baike.baidu.com/item/%E6%B6%A6%E6%BB%91%E6%B2%B9/_blank"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清洁</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"https://baike.baidu.com/item/%E5%AF%86%E5%B0%81/7558996?fromModule=lemma_inlink" \t "https://baike.baidu.com/item/%E6%B6%A6%E6%BB%91%E6%B2%B9/_blank"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密封</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和缓冲等作用。</w:t>
                  </w:r>
                </w:p>
              </w:tc>
              <w:tc>
                <w:tcPr>
                  <w:tcW w:w="843" w:type="pct"/>
                  <w:tcBorders>
                    <w:tl2br w:val="nil"/>
                    <w:tr2bl w:val="nil"/>
                  </w:tcBorders>
                  <w:shd w:val="clear" w:color="auto" w:fill="auto"/>
                  <w:tcMar>
                    <w:top w:w="0" w:type="dxa"/>
                    <w:left w:w="0" w:type="dxa"/>
                    <w:bottom w:w="0" w:type="dxa"/>
                    <w:right w:w="0" w:type="dxa"/>
                  </w:tcMar>
                  <w:vAlign w:val="center"/>
                </w:tcPr>
                <w:p w14:paraId="401DC4D7">
                  <w:pPr>
                    <w:pStyle w:val="52"/>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可燃</w:t>
                  </w:r>
                </w:p>
              </w:tc>
              <w:tc>
                <w:tcPr>
                  <w:tcW w:w="795" w:type="pct"/>
                  <w:tcBorders>
                    <w:tl2br w:val="nil"/>
                    <w:tr2bl w:val="nil"/>
                  </w:tcBorders>
                  <w:shd w:val="clear" w:color="auto" w:fill="auto"/>
                  <w:tcMar>
                    <w:top w:w="0" w:type="dxa"/>
                    <w:left w:w="0" w:type="dxa"/>
                    <w:bottom w:w="0" w:type="dxa"/>
                    <w:right w:w="0" w:type="dxa"/>
                  </w:tcMar>
                  <w:vAlign w:val="center"/>
                </w:tcPr>
                <w:p w14:paraId="3B78CEDA">
                  <w:pPr>
                    <w:pStyle w:val="52"/>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w:t>
                  </w:r>
                </w:p>
              </w:tc>
            </w:tr>
            <w:tr w14:paraId="57ABF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shd w:val="clear" w:color="auto" w:fill="auto"/>
                  <w:tcMar>
                    <w:top w:w="0" w:type="dxa"/>
                    <w:left w:w="0" w:type="dxa"/>
                    <w:bottom w:w="0" w:type="dxa"/>
                    <w:right w:w="0" w:type="dxa"/>
                  </w:tcMar>
                  <w:vAlign w:val="center"/>
                </w:tcPr>
                <w:p w14:paraId="1CE9AFF7">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氢氧化钠</w:t>
                  </w:r>
                </w:p>
              </w:tc>
              <w:tc>
                <w:tcPr>
                  <w:tcW w:w="2806" w:type="pct"/>
                  <w:tcBorders>
                    <w:tl2br w:val="nil"/>
                    <w:tr2bl w:val="nil"/>
                  </w:tcBorders>
                  <w:shd w:val="clear" w:color="auto" w:fill="auto"/>
                  <w:tcMar>
                    <w:top w:w="0" w:type="dxa"/>
                    <w:left w:w="0" w:type="dxa"/>
                    <w:bottom w:w="0" w:type="dxa"/>
                    <w:right w:w="0" w:type="dxa"/>
                  </w:tcMar>
                  <w:vAlign w:val="center"/>
                </w:tcPr>
                <w:p w14:paraId="089B6633">
                  <w:pPr>
                    <w:pStyle w:val="52"/>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也称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"https://baike.baidu.com/item/%E8%8B%9B%E6%80%A7%E9%92%A0/3926819?fromModule=lemma_inlink" \t "https://baike.baidu.com/item/%E6%B0%A2%E6%B0%A7%E5%8C%96%E9%92%A0/_blank"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苛性钠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"https://baike.baidu.com/item/%E7%83%A7%E7%A2%B1/1400538?fromModule=lemma_inlink" \t "https://baike.baidu.com/item/%E6%B0%A2%E6%B0%A7%E5%8C%96%E9%92%A0/_blank"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烧碱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"https://baike.baidu.com/item/%E7%81%AB%E7%A2%B1/2751638?fromModule=lemma_inlink" \t "https://baike.baidu.com/item/%E6%B0%A2%E6%B0%A7%E5%8C%96%E9%92%A0/_blank"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火碱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"https://baike.baidu.com/item/%E7%89%87%E7%A2%B1/10779075?fromModule=lemma_inlink" \t "https://baike.baidu.com/item/%E6%B0%A2%E6%B0%A7%E5%8C%96%E9%92%A0/_blank"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片碱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一种无机化合物，化学式NaOH，相对分子量为39.9970。氢氧化钠具有强碱性，腐蚀性极强，可作酸中和剂、配合掩蔽剂、沉淀剂、沉淀掩蔽剂、显色剂、皂化剂、去皮剂、洗涤剂等，用途非常广泛。密度：2.130g/c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熔点：318.4℃(591K)</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沸点：1390℃(1663K)</w:t>
                  </w:r>
                </w:p>
              </w:tc>
              <w:tc>
                <w:tcPr>
                  <w:tcW w:w="843" w:type="pct"/>
                  <w:tcBorders>
                    <w:tl2br w:val="nil"/>
                    <w:tr2bl w:val="nil"/>
                  </w:tcBorders>
                  <w:shd w:val="clear" w:color="auto" w:fill="auto"/>
                  <w:tcMar>
                    <w:top w:w="0" w:type="dxa"/>
                    <w:left w:w="0" w:type="dxa"/>
                    <w:bottom w:w="0" w:type="dxa"/>
                    <w:right w:w="0" w:type="dxa"/>
                  </w:tcMar>
                  <w:vAlign w:val="center"/>
                </w:tcPr>
                <w:p w14:paraId="1BAB719E">
                  <w:pPr>
                    <w:pStyle w:val="52"/>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不可燃</w:t>
                  </w:r>
                </w:p>
              </w:tc>
              <w:tc>
                <w:tcPr>
                  <w:tcW w:w="795" w:type="pct"/>
                  <w:tcBorders>
                    <w:tl2br w:val="nil"/>
                    <w:tr2bl w:val="nil"/>
                  </w:tcBorders>
                  <w:shd w:val="clear" w:color="auto" w:fill="auto"/>
                  <w:tcMar>
                    <w:top w:w="0" w:type="dxa"/>
                    <w:left w:w="0" w:type="dxa"/>
                    <w:bottom w:w="0" w:type="dxa"/>
                    <w:right w:w="0" w:type="dxa"/>
                  </w:tcMar>
                  <w:vAlign w:val="center"/>
                </w:tcPr>
                <w:p w14:paraId="03356A53">
                  <w:pPr>
                    <w:pStyle w:val="52"/>
                    <w:jc w:val="cente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w:t>
                  </w:r>
                </w:p>
              </w:tc>
            </w:tr>
            <w:tr w14:paraId="422A7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shd w:val="clear" w:color="auto" w:fill="auto"/>
                  <w:tcMar>
                    <w:top w:w="0" w:type="dxa"/>
                    <w:left w:w="0" w:type="dxa"/>
                    <w:bottom w:w="0" w:type="dxa"/>
                    <w:right w:w="0" w:type="dxa"/>
                  </w:tcMar>
                  <w:vAlign w:val="center"/>
                </w:tcPr>
                <w:p w14:paraId="64DDD9E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除油粉</w:t>
                  </w:r>
                </w:p>
              </w:tc>
              <w:tc>
                <w:tcPr>
                  <w:tcW w:w="2806" w:type="pct"/>
                  <w:tcBorders>
                    <w:tl2br w:val="nil"/>
                    <w:tr2bl w:val="nil"/>
                  </w:tcBorders>
                  <w:shd w:val="clear" w:color="auto" w:fill="auto"/>
                  <w:tcMar>
                    <w:top w:w="0" w:type="dxa"/>
                    <w:left w:w="0" w:type="dxa"/>
                    <w:bottom w:w="0" w:type="dxa"/>
                    <w:right w:w="0" w:type="dxa"/>
                  </w:tcMar>
                  <w:vAlign w:val="center"/>
                </w:tcPr>
                <w:p w14:paraId="0390C64D">
                  <w:pPr>
                    <w:pStyle w:val="52"/>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外观与性状：白色固体</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气味：无味或淡淡的碱味</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熔点(℃)：无资料</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沸点(℃)：无资料</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疏松容积密度： 1.074克/毫升±0.05</w:t>
                  </w:r>
                  <w:r>
                    <w:rPr>
                      <w:rFonts w:hint="eastAsia" w:ascii="Times New Roman" w:hAnsi="Times New Roman" w:eastAsia="宋体" w:cs="Times New Roman"/>
                      <w:color w:val="000000" w:themeColor="text1"/>
                      <w:sz w:val="21"/>
                      <w:szCs w:val="21"/>
                      <w:lang w:eastAsia="zh-CN"/>
                      <w14:textFill>
                        <w14:solidFill>
                          <w14:schemeClr w14:val="tx1"/>
                        </w14:solidFill>
                      </w14:textFill>
                    </w:rPr>
                    <w:t>，溶解性：可混溶，主要用途：去除金属表面的油脂</w:t>
                  </w:r>
                </w:p>
              </w:tc>
              <w:tc>
                <w:tcPr>
                  <w:tcW w:w="843" w:type="pct"/>
                  <w:tcBorders>
                    <w:tl2br w:val="nil"/>
                    <w:tr2bl w:val="nil"/>
                  </w:tcBorders>
                  <w:shd w:val="clear" w:color="auto" w:fill="auto"/>
                  <w:tcMar>
                    <w:top w:w="0" w:type="dxa"/>
                    <w:left w:w="0" w:type="dxa"/>
                    <w:bottom w:w="0" w:type="dxa"/>
                    <w:right w:w="0" w:type="dxa"/>
                  </w:tcMar>
                  <w:vAlign w:val="center"/>
                </w:tcPr>
                <w:p w14:paraId="73C9B50B">
                  <w:pPr>
                    <w:pStyle w:val="52"/>
                    <w:jc w:val="cente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不可燃</w:t>
                  </w:r>
                </w:p>
              </w:tc>
              <w:tc>
                <w:tcPr>
                  <w:tcW w:w="795" w:type="pct"/>
                  <w:tcBorders>
                    <w:tl2br w:val="nil"/>
                    <w:tr2bl w:val="nil"/>
                  </w:tcBorders>
                  <w:shd w:val="clear" w:color="auto" w:fill="auto"/>
                  <w:tcMar>
                    <w:top w:w="0" w:type="dxa"/>
                    <w:left w:w="0" w:type="dxa"/>
                    <w:bottom w:w="0" w:type="dxa"/>
                    <w:right w:w="0" w:type="dxa"/>
                  </w:tcMar>
                  <w:vAlign w:val="center"/>
                </w:tcPr>
                <w:p w14:paraId="563DF6EA">
                  <w:pPr>
                    <w:pStyle w:val="52"/>
                    <w:jc w:val="cente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w:t>
                  </w:r>
                </w:p>
              </w:tc>
            </w:tr>
          </w:tbl>
          <w:p w14:paraId="31777796">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（2）原辅料用量匹配性分析</w:t>
            </w:r>
          </w:p>
          <w:p w14:paraId="73A21E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8</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原辅料用量与产能匹配性分析表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978"/>
              <w:gridCol w:w="1619"/>
              <w:gridCol w:w="1445"/>
              <w:gridCol w:w="1724"/>
            </w:tblGrid>
            <w:tr w14:paraId="2E58C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4494D1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vertAlign w:val="baseline"/>
                      <w:lang w:val="en-US" w:eastAsia="zh-CN"/>
                      <w14:textFill>
                        <w14:solidFill>
                          <w14:schemeClr w14:val="tx1"/>
                        </w14:solidFill>
                      </w14:textFill>
                    </w:rPr>
                    <w:t>物料名称</w:t>
                  </w:r>
                </w:p>
              </w:tc>
              <w:tc>
                <w:tcPr>
                  <w:tcW w:w="1146" w:type="pct"/>
                  <w:tcBorders>
                    <w:tl2br w:val="nil"/>
                    <w:tr2bl w:val="nil"/>
                  </w:tcBorders>
                  <w:vAlign w:val="center"/>
                </w:tcPr>
                <w:p w14:paraId="6797EC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vertAlign w:val="baseline"/>
                      <w:lang w:val="en-US" w:eastAsia="zh-CN"/>
                      <w14:textFill>
                        <w14:solidFill>
                          <w14:schemeClr w14:val="tx1"/>
                        </w14:solidFill>
                      </w14:textFill>
                    </w:rPr>
                    <w:t>单次单槽添加量</w:t>
                  </w:r>
                </w:p>
              </w:tc>
              <w:tc>
                <w:tcPr>
                  <w:tcW w:w="938" w:type="pct"/>
                  <w:tcBorders>
                    <w:tl2br w:val="nil"/>
                    <w:tr2bl w:val="nil"/>
                  </w:tcBorders>
                  <w:vAlign w:val="center"/>
                </w:tcPr>
                <w:p w14:paraId="2A959F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vertAlign w:val="baseline"/>
                      <w:lang w:val="en-US" w:eastAsia="zh-CN"/>
                      <w14:textFill>
                        <w14:solidFill>
                          <w14:schemeClr w14:val="tx1"/>
                        </w14:solidFill>
                      </w14:textFill>
                    </w:rPr>
                    <w:t>槽体数量</w:t>
                  </w:r>
                </w:p>
              </w:tc>
              <w:tc>
                <w:tcPr>
                  <w:tcW w:w="837" w:type="pct"/>
                  <w:tcBorders>
                    <w:tl2br w:val="nil"/>
                    <w:tr2bl w:val="nil"/>
                  </w:tcBorders>
                  <w:vAlign w:val="center"/>
                </w:tcPr>
                <w:p w14:paraId="7803F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年更换次数</w:t>
                  </w:r>
                </w:p>
              </w:tc>
              <w:tc>
                <w:tcPr>
                  <w:tcW w:w="999" w:type="pct"/>
                  <w:tcBorders>
                    <w:tl2br w:val="nil"/>
                    <w:tr2bl w:val="nil"/>
                  </w:tcBorders>
                  <w:vAlign w:val="center"/>
                </w:tcPr>
                <w:p w14:paraId="17992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总用量</w:t>
                  </w:r>
                </w:p>
              </w:tc>
            </w:tr>
            <w:tr w14:paraId="57C56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shd w:val="clear" w:color="auto" w:fill="auto"/>
                  <w:vAlign w:val="center"/>
                </w:tcPr>
                <w:p w14:paraId="262DE7FA">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除油粉</w:t>
                  </w:r>
                </w:p>
              </w:tc>
              <w:tc>
                <w:tcPr>
                  <w:tcW w:w="1146" w:type="pct"/>
                  <w:tcBorders>
                    <w:tl2br w:val="nil"/>
                    <w:tr2bl w:val="nil"/>
                  </w:tcBorders>
                  <w:shd w:val="clear" w:color="auto" w:fill="auto"/>
                  <w:vAlign w:val="center"/>
                </w:tcPr>
                <w:p w14:paraId="33A24EB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50kg</w:t>
                  </w:r>
                </w:p>
              </w:tc>
              <w:tc>
                <w:tcPr>
                  <w:tcW w:w="938" w:type="pct"/>
                  <w:tcBorders>
                    <w:tl2br w:val="nil"/>
                    <w:tr2bl w:val="nil"/>
                  </w:tcBorders>
                  <w:shd w:val="clear" w:color="auto" w:fill="auto"/>
                  <w:vAlign w:val="center"/>
                </w:tcPr>
                <w:p w14:paraId="42A8CACC">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w:t>
                  </w:r>
                </w:p>
              </w:tc>
              <w:tc>
                <w:tcPr>
                  <w:tcW w:w="837" w:type="pct"/>
                  <w:tcBorders>
                    <w:tl2br w:val="nil"/>
                    <w:tr2bl w:val="nil"/>
                  </w:tcBorders>
                  <w:vAlign w:val="center"/>
                </w:tcPr>
                <w:p w14:paraId="68EB4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w:t>
                  </w:r>
                </w:p>
              </w:tc>
              <w:tc>
                <w:tcPr>
                  <w:tcW w:w="999" w:type="pct"/>
                  <w:tcBorders>
                    <w:tl2br w:val="nil"/>
                    <w:tr2bl w:val="nil"/>
                  </w:tcBorders>
                  <w:vAlign w:val="center"/>
                </w:tcPr>
                <w:p w14:paraId="3832A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3t/a</w:t>
                  </w:r>
                </w:p>
              </w:tc>
            </w:tr>
            <w:tr w14:paraId="67A08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5744BC4F">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硫酸</w:t>
                  </w:r>
                </w:p>
              </w:tc>
              <w:tc>
                <w:tcPr>
                  <w:tcW w:w="1146" w:type="pct"/>
                  <w:shd w:val="clear" w:color="auto" w:fill="auto"/>
                  <w:vAlign w:val="center"/>
                </w:tcPr>
                <w:p w14:paraId="44A4096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25L</w:t>
                  </w:r>
                </w:p>
              </w:tc>
              <w:tc>
                <w:tcPr>
                  <w:tcW w:w="938" w:type="pct"/>
                  <w:shd w:val="clear" w:color="auto" w:fill="auto"/>
                  <w:vAlign w:val="center"/>
                </w:tcPr>
                <w:p w14:paraId="3229997F">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837" w:type="pct"/>
                </w:tcPr>
                <w:p w14:paraId="3C25A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w:t>
                  </w:r>
                </w:p>
              </w:tc>
              <w:tc>
                <w:tcPr>
                  <w:tcW w:w="999" w:type="pct"/>
                  <w:vAlign w:val="center"/>
                </w:tcPr>
                <w:p w14:paraId="71BB8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0.75m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r>
            <w:tr w14:paraId="08173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7877D47B">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铜保护剂</w:t>
                  </w:r>
                </w:p>
              </w:tc>
              <w:tc>
                <w:tcPr>
                  <w:tcW w:w="1146" w:type="pct"/>
                  <w:shd w:val="clear" w:color="auto" w:fill="auto"/>
                  <w:vAlign w:val="center"/>
                </w:tcPr>
                <w:p w14:paraId="7CE345C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15L</w:t>
                  </w:r>
                </w:p>
              </w:tc>
              <w:tc>
                <w:tcPr>
                  <w:tcW w:w="938" w:type="pct"/>
                  <w:shd w:val="clear" w:color="auto" w:fill="auto"/>
                  <w:vAlign w:val="center"/>
                </w:tcPr>
                <w:p w14:paraId="2623F03A">
                  <w:pPr>
                    <w:pStyle w:val="53"/>
                    <w:keepNext w:val="0"/>
                    <w:keepLines w:val="0"/>
                    <w:suppressLineNumbers w:val="0"/>
                    <w:spacing w:before="0" w:beforeAutospacing="0" w:after="0" w:afterAutospacing="0"/>
                    <w:ind w:left="42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837" w:type="pct"/>
                </w:tcPr>
                <w:p w14:paraId="63746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30</w:t>
                  </w:r>
                </w:p>
              </w:tc>
              <w:tc>
                <w:tcPr>
                  <w:tcW w:w="999" w:type="pct"/>
                  <w:vAlign w:val="center"/>
                </w:tcPr>
                <w:p w14:paraId="4BDF38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1.35m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r>
          </w:tbl>
          <w:p w14:paraId="0E627A0F">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14:textFill>
                  <w14:solidFill>
                    <w14:schemeClr w14:val="tx1"/>
                  </w14:solidFill>
                </w14:textFill>
              </w:rPr>
              <w:t>、项目工程情况</w:t>
            </w:r>
          </w:p>
          <w:p w14:paraId="01F5E7B3">
            <w:pPr>
              <w:pStyle w:val="54"/>
              <w:spacing w:line="360" w:lineRule="auto"/>
              <w:ind w:right="13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本项目主体、公用及辅助工程</w:t>
            </w:r>
            <w:r>
              <w:rPr>
                <w:rFonts w:hint="default" w:ascii="Times New Roman" w:hAnsi="Times New Roman" w:eastAsia="宋体" w:cs="Times New Roman"/>
                <w:color w:val="000000" w:themeColor="text1"/>
                <w:spacing w:val="-2"/>
                <w:sz w:val="24"/>
                <w14:textFill>
                  <w14:solidFill>
                    <w14:schemeClr w14:val="tx1"/>
                  </w14:solidFill>
                </w14:textFill>
              </w:rPr>
              <w:t>组成详见表2-</w:t>
            </w:r>
            <w:r>
              <w:rPr>
                <w:rFonts w:hint="eastAsia" w:ascii="Times New Roman" w:hAnsi="Times New Roman" w:eastAsia="宋体" w:cs="Times New Roman"/>
                <w:color w:val="000000" w:themeColor="text1"/>
                <w:spacing w:val="-2"/>
                <w:sz w:val="24"/>
                <w:lang w:val="en-US" w:eastAsia="zh-CN"/>
                <w14:textFill>
                  <w14:solidFill>
                    <w14:schemeClr w14:val="tx1"/>
                  </w14:solidFill>
                </w14:textFill>
              </w:rPr>
              <w:t>9</w:t>
            </w:r>
            <w:r>
              <w:rPr>
                <w:rFonts w:hint="default" w:ascii="Times New Roman" w:hAnsi="Times New Roman" w:eastAsia="宋体" w:cs="Times New Roman"/>
                <w:color w:val="000000" w:themeColor="text1"/>
                <w:spacing w:val="-2"/>
                <w:sz w:val="24"/>
                <w14:textFill>
                  <w14:solidFill>
                    <w14:schemeClr w14:val="tx1"/>
                  </w14:solidFill>
                </w14:textFill>
              </w:rPr>
              <w:t>。</w:t>
            </w:r>
          </w:p>
          <w:p w14:paraId="1B0E3011">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14:textFill>
                  <w14:solidFill>
                    <w14:schemeClr w14:val="tx1"/>
                  </w14:solidFill>
                </w14:textFill>
              </w:rPr>
              <w:t xml:space="preserve">  项目主体、公用、辅助及环保工程情况表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8"/>
              <w:gridCol w:w="450"/>
              <w:gridCol w:w="1464"/>
              <w:gridCol w:w="1334"/>
              <w:gridCol w:w="1319"/>
              <w:gridCol w:w="1338"/>
              <w:gridCol w:w="1993"/>
            </w:tblGrid>
            <w:tr w14:paraId="5B0C62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422" w:type="pct"/>
                  <w:vMerge w:val="restart"/>
                  <w:vAlign w:val="center"/>
                </w:tcPr>
                <w:p w14:paraId="5ED263D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类别</w:t>
                  </w:r>
                </w:p>
              </w:tc>
              <w:tc>
                <w:tcPr>
                  <w:tcW w:w="1109" w:type="pct"/>
                  <w:gridSpan w:val="2"/>
                  <w:vMerge w:val="restart"/>
                  <w:vAlign w:val="center"/>
                </w:tcPr>
                <w:p w14:paraId="06360DB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建设名称</w:t>
                  </w:r>
                </w:p>
              </w:tc>
              <w:tc>
                <w:tcPr>
                  <w:tcW w:w="2312" w:type="pct"/>
                  <w:gridSpan w:val="3"/>
                  <w:vAlign w:val="center"/>
                </w:tcPr>
                <w:p w14:paraId="6CC6987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设计能力</w:t>
                  </w:r>
                </w:p>
              </w:tc>
              <w:tc>
                <w:tcPr>
                  <w:tcW w:w="1155" w:type="pct"/>
                  <w:vMerge w:val="restart"/>
                  <w:vAlign w:val="center"/>
                </w:tcPr>
                <w:p w14:paraId="6915BC0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备注</w:t>
                  </w:r>
                </w:p>
              </w:tc>
            </w:tr>
            <w:tr w14:paraId="7DE148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422" w:type="pct"/>
                  <w:vMerge w:val="continue"/>
                  <w:vAlign w:val="center"/>
                </w:tcPr>
                <w:p w14:paraId="6CB07BD5">
                  <w:pPr>
                    <w:keepNext w:val="0"/>
                    <w:keepLines w:val="0"/>
                    <w:pageBreakBefore w:val="0"/>
                    <w:kinsoku/>
                    <w:wordWrap/>
                    <w:overflowPunct/>
                    <w:topLinePunct w:val="0"/>
                    <w:autoSpaceDE/>
                    <w:autoSpaceDN/>
                    <w:bidi w:val="0"/>
                    <w:adjustRightInd/>
                    <w:snapToGrid/>
                    <w:ind w:left="0" w:firstLine="0" w:firstLineChars="0"/>
                    <w:jc w:val="center"/>
                    <w:textAlignment w:val="auto"/>
                    <w:rPr>
                      <w:color w:val="000000" w:themeColor="text1"/>
                      <w14:textFill>
                        <w14:solidFill>
                          <w14:schemeClr w14:val="tx1"/>
                        </w14:solidFill>
                      </w14:textFill>
                    </w:rPr>
                  </w:pPr>
                </w:p>
              </w:tc>
              <w:tc>
                <w:tcPr>
                  <w:tcW w:w="1109" w:type="pct"/>
                  <w:gridSpan w:val="2"/>
                  <w:vMerge w:val="continue"/>
                  <w:vAlign w:val="center"/>
                </w:tcPr>
                <w:p w14:paraId="0209A7AA">
                  <w:pPr>
                    <w:keepNext w:val="0"/>
                    <w:keepLines w:val="0"/>
                    <w:pageBreakBefore w:val="0"/>
                    <w:kinsoku/>
                    <w:wordWrap/>
                    <w:overflowPunct/>
                    <w:topLinePunct w:val="0"/>
                    <w:autoSpaceDE/>
                    <w:autoSpaceDN/>
                    <w:bidi w:val="0"/>
                    <w:adjustRightInd/>
                    <w:snapToGrid/>
                    <w:ind w:left="0" w:firstLine="0" w:firstLineChars="0"/>
                    <w:jc w:val="center"/>
                    <w:textAlignment w:val="auto"/>
                    <w:rPr>
                      <w:color w:val="000000" w:themeColor="text1"/>
                      <w14:textFill>
                        <w14:solidFill>
                          <w14:schemeClr w14:val="tx1"/>
                        </w14:solidFill>
                      </w14:textFill>
                    </w:rPr>
                  </w:pPr>
                </w:p>
              </w:tc>
              <w:tc>
                <w:tcPr>
                  <w:tcW w:w="773" w:type="pct"/>
                  <w:shd w:val="clear" w:color="auto" w:fill="auto"/>
                  <w:vAlign w:val="center"/>
                </w:tcPr>
                <w:p w14:paraId="532B931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扩建前</w:t>
                  </w:r>
                </w:p>
              </w:tc>
              <w:tc>
                <w:tcPr>
                  <w:tcW w:w="764" w:type="pct"/>
                  <w:shd w:val="clear" w:color="auto" w:fill="auto"/>
                  <w:vAlign w:val="center"/>
                </w:tcPr>
                <w:p w14:paraId="2B06D66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本项目</w:t>
                  </w:r>
                </w:p>
              </w:tc>
              <w:tc>
                <w:tcPr>
                  <w:tcW w:w="775" w:type="pct"/>
                  <w:vAlign w:val="center"/>
                </w:tcPr>
                <w:p w14:paraId="5E9ED72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扩建后全厂</w:t>
                  </w:r>
                </w:p>
              </w:tc>
              <w:tc>
                <w:tcPr>
                  <w:tcW w:w="1155" w:type="pct"/>
                  <w:vMerge w:val="continue"/>
                  <w:vAlign w:val="center"/>
                </w:tcPr>
                <w:p w14:paraId="020D2AA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p>
              </w:tc>
            </w:tr>
            <w:tr w14:paraId="36468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restart"/>
                  <w:vAlign w:val="center"/>
                </w:tcPr>
                <w:p w14:paraId="53BABE5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主体工程</w:t>
                  </w:r>
                </w:p>
              </w:tc>
              <w:tc>
                <w:tcPr>
                  <w:tcW w:w="1109" w:type="pct"/>
                  <w:gridSpan w:val="2"/>
                  <w:vAlign w:val="center"/>
                </w:tcPr>
                <w:p w14:paraId="453AFDA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w:t>
                  </w:r>
                  <w:r>
                    <w:rPr>
                      <w:rFonts w:hint="eastAsia" w:ascii="Times New Roman" w:hAnsi="Times New Roman" w:eastAsia="宋体" w:cs="Times New Roman"/>
                      <w:color w:val="000000" w:themeColor="text1"/>
                      <w:szCs w:val="21"/>
                      <w:lang w:val="en-US" w:eastAsia="zh-CN"/>
                      <w14:textFill>
                        <w14:solidFill>
                          <w14:schemeClr w14:val="tx1"/>
                        </w14:solidFill>
                      </w14:textFill>
                    </w:rPr>
                    <w:t>厂房（一层）</w:t>
                  </w:r>
                </w:p>
              </w:tc>
              <w:tc>
                <w:tcPr>
                  <w:tcW w:w="2312" w:type="pct"/>
                  <w:gridSpan w:val="3"/>
                  <w:vAlign w:val="center"/>
                </w:tcPr>
                <w:p w14:paraId="272E4B6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建筑面积约</w:t>
                  </w:r>
                  <w:r>
                    <w:rPr>
                      <w:rFonts w:hint="eastAsia" w:ascii="Times New Roman" w:hAnsi="Times New Roman" w:eastAsia="宋体" w:cs="Times New Roman"/>
                      <w:color w:val="000000" w:themeColor="text1"/>
                      <w:szCs w:val="21"/>
                      <w:lang w:val="en-US" w:eastAsia="zh-CN"/>
                      <w14:textFill>
                        <w14:solidFill>
                          <w14:schemeClr w14:val="tx1"/>
                        </w14:solidFill>
                      </w14:textFill>
                    </w:rPr>
                    <w:t>650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包括</w:t>
                  </w:r>
                  <w:r>
                    <w:rPr>
                      <w:rFonts w:hint="eastAsia" w:ascii="Times New Roman" w:hAnsi="Times New Roman" w:eastAsia="宋体" w:cs="Times New Roman"/>
                      <w:color w:val="000000" w:themeColor="text1"/>
                      <w:szCs w:val="21"/>
                      <w:lang w:val="en-US" w:eastAsia="zh-CN"/>
                      <w14:textFill>
                        <w14:solidFill>
                          <w14:schemeClr w14:val="tx1"/>
                        </w14:solidFill>
                      </w14:textFill>
                    </w:rPr>
                    <w:t>冲压区和原料仓库</w:t>
                  </w:r>
                  <w:r>
                    <w:rPr>
                      <w:rFonts w:hint="default" w:ascii="Times New Roman" w:hAnsi="Times New Roman" w:eastAsia="宋体" w:cs="Times New Roman"/>
                      <w:color w:val="000000" w:themeColor="text1"/>
                      <w:szCs w:val="21"/>
                      <w:lang w:val="en-US" w:eastAsia="zh-CN"/>
                      <w14:textFill>
                        <w14:solidFill>
                          <w14:schemeClr w14:val="tx1"/>
                        </w14:solidFill>
                      </w14:textFill>
                    </w:rPr>
                    <w:t>等</w:t>
                  </w:r>
                </w:p>
              </w:tc>
              <w:tc>
                <w:tcPr>
                  <w:tcW w:w="1155" w:type="pct"/>
                  <w:vMerge w:val="restart"/>
                  <w:vAlign w:val="center"/>
                </w:tcPr>
                <w:p w14:paraId="2B8CFDE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依托现有厂房</w:t>
                  </w:r>
                </w:p>
              </w:tc>
            </w:tr>
            <w:tr w14:paraId="3720F6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185313A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6D779FA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w:t>
                  </w:r>
                  <w:r>
                    <w:rPr>
                      <w:rFonts w:hint="eastAsia" w:ascii="Times New Roman" w:hAnsi="Times New Roman" w:eastAsia="宋体" w:cs="Times New Roman"/>
                      <w:color w:val="000000" w:themeColor="text1"/>
                      <w:szCs w:val="21"/>
                      <w:lang w:val="en-US" w:eastAsia="zh-CN"/>
                      <w14:textFill>
                        <w14:solidFill>
                          <w14:schemeClr w14:val="tx1"/>
                        </w14:solidFill>
                      </w14:textFill>
                    </w:rPr>
                    <w:t>厂房（二层）</w:t>
                  </w:r>
                </w:p>
              </w:tc>
              <w:tc>
                <w:tcPr>
                  <w:tcW w:w="2312" w:type="pct"/>
                  <w:gridSpan w:val="3"/>
                  <w:vAlign w:val="center"/>
                </w:tcPr>
                <w:p w14:paraId="4027D9F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建筑面积约</w:t>
                  </w:r>
                  <w:r>
                    <w:rPr>
                      <w:rFonts w:hint="eastAsia" w:ascii="Times New Roman" w:hAnsi="Times New Roman" w:eastAsia="宋体" w:cs="Times New Roman"/>
                      <w:color w:val="000000" w:themeColor="text1"/>
                      <w:szCs w:val="21"/>
                      <w:lang w:val="en-US" w:eastAsia="zh-CN"/>
                      <w14:textFill>
                        <w14:solidFill>
                          <w14:schemeClr w14:val="tx1"/>
                        </w14:solidFill>
                      </w14:textFill>
                    </w:rPr>
                    <w:t>650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包括</w:t>
                  </w:r>
                  <w:r>
                    <w:rPr>
                      <w:rFonts w:hint="eastAsia" w:ascii="Times New Roman" w:hAnsi="Times New Roman" w:eastAsia="宋体" w:cs="Times New Roman"/>
                      <w:color w:val="000000" w:themeColor="text1"/>
                      <w:szCs w:val="21"/>
                      <w:lang w:val="en-US" w:eastAsia="zh-CN"/>
                      <w14:textFill>
                        <w14:solidFill>
                          <w14:schemeClr w14:val="tx1"/>
                        </w14:solidFill>
                      </w14:textFill>
                    </w:rPr>
                    <w:t>清洗区和包装材料仓库</w:t>
                  </w:r>
                  <w:r>
                    <w:rPr>
                      <w:rFonts w:hint="default" w:ascii="Times New Roman" w:hAnsi="Times New Roman" w:eastAsia="宋体" w:cs="Times New Roman"/>
                      <w:color w:val="000000" w:themeColor="text1"/>
                      <w:szCs w:val="21"/>
                      <w:lang w:val="en-US" w:eastAsia="zh-CN"/>
                      <w14:textFill>
                        <w14:solidFill>
                          <w14:schemeClr w14:val="tx1"/>
                        </w14:solidFill>
                      </w14:textFill>
                    </w:rPr>
                    <w:t>等</w:t>
                  </w:r>
                </w:p>
              </w:tc>
              <w:tc>
                <w:tcPr>
                  <w:tcW w:w="1155" w:type="pct"/>
                  <w:vMerge w:val="continue"/>
                  <w:vAlign w:val="center"/>
                </w:tcPr>
                <w:p w14:paraId="344218F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5D675D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7064AFE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436882F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w:t>
                  </w:r>
                  <w:r>
                    <w:rPr>
                      <w:rFonts w:hint="eastAsia" w:ascii="Times New Roman" w:hAnsi="Times New Roman" w:eastAsia="宋体" w:cs="Times New Roman"/>
                      <w:color w:val="000000" w:themeColor="text1"/>
                      <w:szCs w:val="21"/>
                      <w:lang w:val="en-US" w:eastAsia="zh-CN"/>
                      <w14:textFill>
                        <w14:solidFill>
                          <w14:schemeClr w14:val="tx1"/>
                        </w14:solidFill>
                      </w14:textFill>
                    </w:rPr>
                    <w:t>厂房（三层）</w:t>
                  </w:r>
                </w:p>
              </w:tc>
              <w:tc>
                <w:tcPr>
                  <w:tcW w:w="2312" w:type="pct"/>
                  <w:gridSpan w:val="3"/>
                  <w:vAlign w:val="center"/>
                </w:tcPr>
                <w:p w14:paraId="7D0A8E2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建筑面积约</w:t>
                  </w:r>
                  <w:r>
                    <w:rPr>
                      <w:rFonts w:hint="eastAsia" w:ascii="Times New Roman" w:hAnsi="Times New Roman" w:eastAsia="宋体" w:cs="Times New Roman"/>
                      <w:color w:val="000000" w:themeColor="text1"/>
                      <w:szCs w:val="21"/>
                      <w:lang w:val="en-US" w:eastAsia="zh-CN"/>
                      <w14:textFill>
                        <w14:solidFill>
                          <w14:schemeClr w14:val="tx1"/>
                        </w14:solidFill>
                      </w14:textFill>
                    </w:rPr>
                    <w:t>650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包括</w:t>
                  </w:r>
                  <w:r>
                    <w:rPr>
                      <w:rFonts w:hint="eastAsia" w:ascii="Times New Roman" w:hAnsi="Times New Roman" w:eastAsia="宋体" w:cs="Times New Roman"/>
                      <w:color w:val="000000" w:themeColor="text1"/>
                      <w:szCs w:val="21"/>
                      <w:lang w:val="en-US" w:eastAsia="zh-CN"/>
                      <w14:textFill>
                        <w14:solidFill>
                          <w14:schemeClr w14:val="tx1"/>
                        </w14:solidFill>
                      </w14:textFill>
                    </w:rPr>
                    <w:t>成品区</w:t>
                  </w:r>
                  <w:r>
                    <w:rPr>
                      <w:rFonts w:hint="default" w:ascii="Times New Roman" w:hAnsi="Times New Roman" w:eastAsia="宋体" w:cs="Times New Roman"/>
                      <w:color w:val="000000" w:themeColor="text1"/>
                      <w:szCs w:val="21"/>
                      <w:lang w:val="en-US" w:eastAsia="zh-CN"/>
                      <w14:textFill>
                        <w14:solidFill>
                          <w14:schemeClr w14:val="tx1"/>
                        </w14:solidFill>
                      </w14:textFill>
                    </w:rPr>
                    <w:t>等</w:t>
                  </w:r>
                </w:p>
              </w:tc>
              <w:tc>
                <w:tcPr>
                  <w:tcW w:w="1155" w:type="pct"/>
                  <w:vMerge w:val="continue"/>
                  <w:vAlign w:val="center"/>
                </w:tcPr>
                <w:p w14:paraId="26D742F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2B71AB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restart"/>
                  <w:vAlign w:val="center"/>
                </w:tcPr>
                <w:p w14:paraId="1F0C0DC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贮运工程</w:t>
                  </w:r>
                </w:p>
              </w:tc>
              <w:tc>
                <w:tcPr>
                  <w:tcW w:w="1109" w:type="pct"/>
                  <w:gridSpan w:val="2"/>
                  <w:vAlign w:val="center"/>
                </w:tcPr>
                <w:p w14:paraId="2531B5D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原料仓库</w:t>
                  </w:r>
                </w:p>
              </w:tc>
              <w:tc>
                <w:tcPr>
                  <w:tcW w:w="773" w:type="pct"/>
                  <w:vAlign w:val="center"/>
                </w:tcPr>
                <w:p w14:paraId="798B7A4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764" w:type="pct"/>
                  <w:vAlign w:val="center"/>
                </w:tcPr>
                <w:p w14:paraId="36DB2EE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775" w:type="pct"/>
                  <w:vAlign w:val="center"/>
                </w:tcPr>
                <w:p w14:paraId="2EA9B2E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1155" w:type="pct"/>
                  <w:vAlign w:val="center"/>
                </w:tcPr>
                <w:p w14:paraId="1FEDAE9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依托现有</w:t>
                  </w:r>
                </w:p>
              </w:tc>
            </w:tr>
            <w:tr w14:paraId="639758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7B10195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2C25B9E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成品仓库</w:t>
                  </w:r>
                </w:p>
              </w:tc>
              <w:tc>
                <w:tcPr>
                  <w:tcW w:w="773" w:type="pct"/>
                  <w:vAlign w:val="center"/>
                </w:tcPr>
                <w:p w14:paraId="36D3187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764" w:type="pct"/>
                  <w:vAlign w:val="center"/>
                </w:tcPr>
                <w:p w14:paraId="2B4FA24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775" w:type="pct"/>
                  <w:vAlign w:val="center"/>
                </w:tcPr>
                <w:p w14:paraId="7147BF1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1155" w:type="pct"/>
                  <w:vAlign w:val="center"/>
                </w:tcPr>
                <w:p w14:paraId="489168C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依托现有</w:t>
                  </w:r>
                </w:p>
              </w:tc>
            </w:tr>
            <w:tr w14:paraId="707B21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restart"/>
                  <w:vAlign w:val="center"/>
                </w:tcPr>
                <w:p w14:paraId="5947FF2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公辅工程</w:t>
                  </w:r>
                </w:p>
              </w:tc>
              <w:tc>
                <w:tcPr>
                  <w:tcW w:w="1109" w:type="pct"/>
                  <w:gridSpan w:val="2"/>
                  <w:vAlign w:val="center"/>
                </w:tcPr>
                <w:p w14:paraId="333F59B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给水系统</w:t>
                  </w:r>
                </w:p>
              </w:tc>
              <w:tc>
                <w:tcPr>
                  <w:tcW w:w="773" w:type="pct"/>
                  <w:vAlign w:val="center"/>
                </w:tcPr>
                <w:p w14:paraId="4A5FEED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150.25</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64" w:type="pct"/>
                  <w:vAlign w:val="center"/>
                </w:tcPr>
                <w:p w14:paraId="70D3B27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455.25</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75" w:type="pct"/>
                  <w:vAlign w:val="center"/>
                </w:tcPr>
                <w:p w14:paraId="424DCB8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605.5</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1155" w:type="pct"/>
                  <w:vAlign w:val="center"/>
                </w:tcPr>
                <w:p w14:paraId="394201D4">
                  <w:pPr>
                    <w:pStyle w:val="53"/>
                    <w:keepNext w:val="0"/>
                    <w:keepLines w:val="0"/>
                    <w:pageBreakBefore w:val="0"/>
                    <w:widowControl/>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由城市给水管网供给</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依托现有</w:t>
                  </w:r>
                </w:p>
              </w:tc>
            </w:tr>
            <w:tr w14:paraId="6FD380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0B4D5A0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tcBorders>
                    <w:right w:val="single" w:color="auto" w:sz="4" w:space="0"/>
                  </w:tcBorders>
                  <w:vAlign w:val="center"/>
                </w:tcPr>
                <w:p w14:paraId="5D69684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排水系统</w:t>
                  </w:r>
                </w:p>
              </w:tc>
              <w:tc>
                <w:tcPr>
                  <w:tcW w:w="848" w:type="pct"/>
                  <w:tcBorders>
                    <w:left w:val="single" w:color="auto" w:sz="4" w:space="0"/>
                  </w:tcBorders>
                  <w:vAlign w:val="center"/>
                </w:tcPr>
                <w:p w14:paraId="75E8028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p>
              </w:tc>
              <w:tc>
                <w:tcPr>
                  <w:tcW w:w="773" w:type="pct"/>
                  <w:vAlign w:val="center"/>
                </w:tcPr>
                <w:p w14:paraId="5BD1215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64" w:type="pct"/>
                  <w:vAlign w:val="center"/>
                </w:tcPr>
                <w:p w14:paraId="6BE60F1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240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75" w:type="pct"/>
                  <w:vAlign w:val="center"/>
                </w:tcPr>
                <w:p w14:paraId="5D4C8D7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360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1155" w:type="pct"/>
                  <w:vAlign w:val="center"/>
                </w:tcPr>
                <w:p w14:paraId="187DC94F">
                  <w:pPr>
                    <w:pStyle w:val="53"/>
                    <w:keepNext w:val="0"/>
                    <w:keepLines w:val="0"/>
                    <w:pageBreakBefore w:val="0"/>
                    <w:widowControl/>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r>
                    <w:rPr>
                      <w:rFonts w:hint="default" w:ascii="Times New Roman" w:hAnsi="Times New Roman" w:eastAsia="宋体" w:cs="Times New Roman"/>
                      <w:color w:val="000000" w:themeColor="text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Cs w:val="21"/>
                      <w14:textFill>
                        <w14:solidFill>
                          <w14:schemeClr w14:val="tx1"/>
                        </w14:solidFill>
                      </w14:textFill>
                    </w:rPr>
                    <w:t>常州市金坛区第二污水厂集中处理</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依托现有</w:t>
                  </w:r>
                </w:p>
              </w:tc>
            </w:tr>
            <w:tr w14:paraId="49B412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4D7D225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264C3E8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雨水排放系统</w:t>
                  </w:r>
                </w:p>
              </w:tc>
              <w:tc>
                <w:tcPr>
                  <w:tcW w:w="3467" w:type="pct"/>
                  <w:gridSpan w:val="4"/>
                  <w:vAlign w:val="center"/>
                </w:tcPr>
                <w:p w14:paraId="1287BB8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雨水通过</w:t>
                  </w:r>
                  <w:r>
                    <w:rPr>
                      <w:rFonts w:hint="default" w:ascii="Times New Roman" w:hAnsi="Times New Roman" w:eastAsia="宋体" w:cs="Times New Roman"/>
                      <w:color w:val="000000" w:themeColor="text1"/>
                      <w:szCs w:val="21"/>
                      <w:lang w:val="en-US" w:eastAsia="zh-CN"/>
                      <w14:textFill>
                        <w14:solidFill>
                          <w14:schemeClr w14:val="tx1"/>
                        </w14:solidFill>
                      </w14:textFill>
                    </w:rPr>
                    <w:t>厂</w:t>
                  </w:r>
                  <w:r>
                    <w:rPr>
                      <w:rFonts w:hint="default" w:ascii="Times New Roman" w:hAnsi="Times New Roman" w:eastAsia="宋体" w:cs="Times New Roman"/>
                      <w:color w:val="000000" w:themeColor="text1"/>
                      <w:szCs w:val="21"/>
                      <w14:textFill>
                        <w14:solidFill>
                          <w14:schemeClr w14:val="tx1"/>
                        </w14:solidFill>
                      </w14:textFill>
                    </w:rPr>
                    <w:t>内现有雨水管网排入市政雨水管网</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最终排入尧塘河，</w:t>
                  </w:r>
                  <w:r>
                    <w:rPr>
                      <w:rFonts w:hint="default" w:ascii="Times New Roman" w:hAnsi="Times New Roman" w:eastAsia="宋体" w:cs="Times New Roman"/>
                      <w:color w:val="000000" w:themeColor="text1"/>
                      <w:lang w:val="en-US" w:eastAsia="zh-CN"/>
                      <w14:textFill>
                        <w14:solidFill>
                          <w14:schemeClr w14:val="tx1"/>
                        </w14:solidFill>
                      </w14:textFill>
                    </w:rPr>
                    <w:t>依托现有</w:t>
                  </w:r>
                </w:p>
              </w:tc>
            </w:tr>
            <w:tr w14:paraId="77AE1F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3AC3A1A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39ACF38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供电工程</w:t>
                  </w:r>
                </w:p>
              </w:tc>
              <w:tc>
                <w:tcPr>
                  <w:tcW w:w="773" w:type="pct"/>
                  <w:vAlign w:val="center"/>
                </w:tcPr>
                <w:p w14:paraId="6EA9B98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zCs w:val="21"/>
                      <w14:textFill>
                        <w14:solidFill>
                          <w14:schemeClr w14:val="tx1"/>
                        </w14:solidFill>
                      </w14:textFill>
                    </w:rPr>
                    <w:t>万kWh/a</w:t>
                  </w:r>
                </w:p>
              </w:tc>
              <w:tc>
                <w:tcPr>
                  <w:tcW w:w="764" w:type="pct"/>
                  <w:vAlign w:val="center"/>
                </w:tcPr>
                <w:p w14:paraId="54B837E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Cs w:val="21"/>
                      <w14:textFill>
                        <w14:solidFill>
                          <w14:schemeClr w14:val="tx1"/>
                        </w14:solidFill>
                      </w14:textFill>
                    </w:rPr>
                    <w:t>万kWh/a</w:t>
                  </w:r>
                </w:p>
              </w:tc>
              <w:tc>
                <w:tcPr>
                  <w:tcW w:w="775" w:type="pct"/>
                  <w:vAlign w:val="center"/>
                </w:tcPr>
                <w:p w14:paraId="754A356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w:t>
                  </w:r>
                  <w:r>
                    <w:rPr>
                      <w:rFonts w:hint="default" w:ascii="Times New Roman" w:hAnsi="Times New Roman" w:eastAsia="宋体" w:cs="Times New Roman"/>
                      <w:color w:val="000000" w:themeColor="text1"/>
                      <w:szCs w:val="21"/>
                      <w14:textFill>
                        <w14:solidFill>
                          <w14:schemeClr w14:val="tx1"/>
                        </w14:solidFill>
                      </w14:textFill>
                    </w:rPr>
                    <w:t>万kWh/a</w:t>
                  </w:r>
                </w:p>
              </w:tc>
              <w:tc>
                <w:tcPr>
                  <w:tcW w:w="1155" w:type="pct"/>
                  <w:vAlign w:val="center"/>
                </w:tcPr>
                <w:p w14:paraId="2BEDA21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由城市电网供给</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依托现有</w:t>
                  </w:r>
                </w:p>
              </w:tc>
            </w:tr>
            <w:tr w14:paraId="44D65D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74D2B3F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53F6DBB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压缩空气</w:t>
                  </w:r>
                </w:p>
              </w:tc>
              <w:tc>
                <w:tcPr>
                  <w:tcW w:w="773" w:type="pct"/>
                  <w:vAlign w:val="center"/>
                </w:tcPr>
                <w:p w14:paraId="01B0756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6.2m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/min</w:t>
                  </w:r>
                </w:p>
              </w:tc>
              <w:tc>
                <w:tcPr>
                  <w:tcW w:w="764" w:type="pct"/>
                  <w:vAlign w:val="center"/>
                </w:tcPr>
                <w:p w14:paraId="03C2C0A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75" w:type="pct"/>
                  <w:vAlign w:val="center"/>
                </w:tcPr>
                <w:p w14:paraId="0F10C2C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6.2m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/min</w:t>
                  </w:r>
                </w:p>
              </w:tc>
              <w:tc>
                <w:tcPr>
                  <w:tcW w:w="1155" w:type="pct"/>
                  <w:vAlign w:val="center"/>
                </w:tcPr>
                <w:p w14:paraId="4391C87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依托现有</w:t>
                  </w:r>
                </w:p>
              </w:tc>
            </w:tr>
            <w:tr w14:paraId="416772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479AD4F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332331B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制纯水</w:t>
                  </w:r>
                </w:p>
              </w:tc>
              <w:tc>
                <w:tcPr>
                  <w:tcW w:w="773" w:type="pct"/>
                  <w:vAlign w:val="center"/>
                </w:tcPr>
                <w:p w14:paraId="38E7C39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64" w:type="pct"/>
                  <w:vAlign w:val="center"/>
                </w:tcPr>
                <w:p w14:paraId="674CC7E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0.1t/h</w:t>
                  </w:r>
                </w:p>
              </w:tc>
              <w:tc>
                <w:tcPr>
                  <w:tcW w:w="775" w:type="pct"/>
                  <w:vAlign w:val="center"/>
                </w:tcPr>
                <w:p w14:paraId="314370D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0.1t/h</w:t>
                  </w:r>
                </w:p>
              </w:tc>
              <w:tc>
                <w:tcPr>
                  <w:tcW w:w="1155" w:type="pct"/>
                  <w:vAlign w:val="center"/>
                </w:tcPr>
                <w:p w14:paraId="7F0BA0E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新建</w:t>
                  </w:r>
                </w:p>
              </w:tc>
            </w:tr>
            <w:tr w14:paraId="465DF1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restart"/>
                  <w:vAlign w:val="center"/>
                </w:tcPr>
                <w:p w14:paraId="36A8F68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环保工程</w:t>
                  </w:r>
                </w:p>
              </w:tc>
              <w:tc>
                <w:tcPr>
                  <w:tcW w:w="1109" w:type="pct"/>
                  <w:gridSpan w:val="2"/>
                  <w:vAlign w:val="center"/>
                </w:tcPr>
                <w:p w14:paraId="7D9FC27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规范化排污口、雨污分流管网</w:t>
                  </w:r>
                </w:p>
              </w:tc>
              <w:tc>
                <w:tcPr>
                  <w:tcW w:w="3467" w:type="pct"/>
                  <w:gridSpan w:val="4"/>
                  <w:vAlign w:val="center"/>
                </w:tcPr>
                <w:p w14:paraId="49AD18C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本项目实行“雨污分流”，雨水排入市政雨水管网，生活污水</w:t>
                  </w:r>
                  <w:r>
                    <w:rPr>
                      <w:rFonts w:hint="default" w:ascii="Times New Roman" w:hAnsi="Times New Roman" w:eastAsia="宋体" w:cs="Times New Roman"/>
                      <w:color w:val="000000" w:themeColor="text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Cs w:val="21"/>
                      <w14:textFill>
                        <w14:solidFill>
                          <w14:schemeClr w14:val="tx1"/>
                        </w14:solidFill>
                      </w14:textFill>
                    </w:rPr>
                    <w:t>常州市金坛区第二污水厂集中处理，尾水排入尧塘河</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依托现有</w:t>
                  </w:r>
                </w:p>
              </w:tc>
            </w:tr>
            <w:tr w14:paraId="13ADFC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2560D65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Merge w:val="restart"/>
                  <w:vAlign w:val="center"/>
                </w:tcPr>
                <w:p w14:paraId="66C5400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w:t>
                  </w:r>
                </w:p>
              </w:tc>
              <w:tc>
                <w:tcPr>
                  <w:tcW w:w="848" w:type="pct"/>
                  <w:vAlign w:val="center"/>
                </w:tcPr>
                <w:p w14:paraId="35C6C8F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生活污水</w:t>
                  </w:r>
                </w:p>
              </w:tc>
              <w:tc>
                <w:tcPr>
                  <w:tcW w:w="773" w:type="pct"/>
                  <w:shd w:val="clear" w:color="auto" w:fill="auto"/>
                  <w:vAlign w:val="center"/>
                </w:tcPr>
                <w:p w14:paraId="092535D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64" w:type="pct"/>
                  <w:shd w:val="clear" w:color="auto" w:fill="auto"/>
                  <w:vAlign w:val="center"/>
                </w:tcPr>
                <w:p w14:paraId="70BC929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240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75" w:type="pct"/>
                  <w:shd w:val="clear" w:color="auto" w:fill="auto"/>
                  <w:vAlign w:val="center"/>
                </w:tcPr>
                <w:p w14:paraId="475F491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360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1155" w:type="pct"/>
                  <w:vAlign w:val="center"/>
                </w:tcPr>
                <w:p w14:paraId="675D277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Cs w:val="21"/>
                      <w14:textFill>
                        <w14:solidFill>
                          <w14:schemeClr w14:val="tx1"/>
                        </w14:solidFill>
                      </w14:textFill>
                    </w:rPr>
                    <w:t>常州市金坛区第二污水厂集中处理</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依托现有</w:t>
                  </w:r>
                </w:p>
              </w:tc>
            </w:tr>
            <w:tr w14:paraId="7746C5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0177810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Merge w:val="continue"/>
                  <w:vAlign w:val="center"/>
                </w:tcPr>
                <w:p w14:paraId="7659793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48" w:type="pct"/>
                  <w:vAlign w:val="center"/>
                </w:tcPr>
                <w:p w14:paraId="71E2EA8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生产废水</w:t>
                  </w:r>
                </w:p>
              </w:tc>
              <w:tc>
                <w:tcPr>
                  <w:tcW w:w="773" w:type="pct"/>
                  <w:vAlign w:val="center"/>
                </w:tcPr>
                <w:p w14:paraId="620C5D5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64" w:type="pct"/>
                  <w:vAlign w:val="center"/>
                </w:tcPr>
                <w:p w14:paraId="52B5964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194</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775" w:type="pct"/>
                  <w:vAlign w:val="center"/>
                </w:tcPr>
                <w:p w14:paraId="414A307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194</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1155" w:type="pct"/>
                  <w:vAlign w:val="center"/>
                </w:tcPr>
                <w:p w14:paraId="6711B5C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经厂内污水处理设施处理后回用，不外排，</w:t>
                  </w:r>
                  <w:r>
                    <w:rPr>
                      <w:rFonts w:hint="eastAsia" w:ascii="Times New Roman" w:hAnsi="Times New Roman" w:eastAsia="宋体" w:cs="Times New Roman"/>
                      <w:color w:val="000000" w:themeColor="text1"/>
                      <w:lang w:val="en-US" w:eastAsia="zh-CN"/>
                      <w14:textFill>
                        <w14:solidFill>
                          <w14:schemeClr w14:val="tx1"/>
                        </w14:solidFill>
                      </w14:textFill>
                    </w:rPr>
                    <w:t>新建</w:t>
                  </w:r>
                </w:p>
              </w:tc>
            </w:tr>
            <w:tr w14:paraId="56E904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7A8C67F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Align w:val="center"/>
                </w:tcPr>
                <w:p w14:paraId="3A394B8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废气</w:t>
                  </w:r>
                </w:p>
              </w:tc>
              <w:tc>
                <w:tcPr>
                  <w:tcW w:w="848" w:type="pct"/>
                  <w:vAlign w:val="center"/>
                </w:tcPr>
                <w:p w14:paraId="5BB0A68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酸洗</w:t>
                  </w:r>
                  <w:r>
                    <w:rPr>
                      <w:rFonts w:hint="default" w:ascii="Times New Roman" w:hAnsi="Times New Roman" w:eastAsia="宋体" w:cs="Times New Roman"/>
                      <w:color w:val="000000" w:themeColor="text1"/>
                      <w:szCs w:val="21"/>
                      <w:lang w:val="en-US" w:eastAsia="zh-CN"/>
                      <w14:textFill>
                        <w14:solidFill>
                          <w14:schemeClr w14:val="tx1"/>
                        </w14:solidFill>
                      </w14:textFill>
                    </w:rPr>
                    <w:t>废气</w:t>
                  </w:r>
                  <w:r>
                    <w:rPr>
                      <w:rFonts w:hint="eastAsia" w:ascii="Times New Roman" w:hAnsi="Times New Roman" w:eastAsia="宋体" w:cs="Times New Roman"/>
                      <w:color w:val="000000" w:themeColor="text1"/>
                      <w:szCs w:val="21"/>
                      <w:lang w:val="en-US" w:eastAsia="zh-CN"/>
                      <w14:textFill>
                        <w14:solidFill>
                          <w14:schemeClr w14:val="tx1"/>
                        </w14:solidFill>
                      </w14:textFill>
                    </w:rPr>
                    <w:t>、铜保护废气</w:t>
                  </w:r>
                </w:p>
              </w:tc>
              <w:tc>
                <w:tcPr>
                  <w:tcW w:w="773" w:type="pct"/>
                  <w:vAlign w:val="center"/>
                </w:tcPr>
                <w:p w14:paraId="7F4B920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764" w:type="pct"/>
                  <w:vAlign w:val="center"/>
                </w:tcPr>
                <w:p w14:paraId="1DB05F9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风机风量1000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h，碱喷淋塔+除雾器+二级活性炭吸附装置处理后通过20m排气筒排放</w:t>
                  </w:r>
                </w:p>
              </w:tc>
              <w:tc>
                <w:tcPr>
                  <w:tcW w:w="775" w:type="pct"/>
                  <w:vAlign w:val="center"/>
                </w:tcPr>
                <w:p w14:paraId="38607AE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风机风量1000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h，碱喷淋塔+除雾器+二级活性炭吸附装置处理后通过20m排气筒排放</w:t>
                  </w:r>
                </w:p>
              </w:tc>
              <w:tc>
                <w:tcPr>
                  <w:tcW w:w="1155" w:type="pct"/>
                  <w:vAlign w:val="center"/>
                </w:tcPr>
                <w:p w14:paraId="7E87BAE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70DF8E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31CB7A5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109" w:type="pct"/>
                  <w:gridSpan w:val="2"/>
                  <w:vAlign w:val="center"/>
                </w:tcPr>
                <w:p w14:paraId="01D354B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2312" w:type="pct"/>
                  <w:gridSpan w:val="3"/>
                  <w:vAlign w:val="center"/>
                </w:tcPr>
                <w:p w14:paraId="565225E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降噪25dB</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A</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选取厂房隔声、距离衰减</w:t>
                  </w:r>
                </w:p>
              </w:tc>
              <w:tc>
                <w:tcPr>
                  <w:tcW w:w="1155" w:type="pct"/>
                  <w:vAlign w:val="center"/>
                </w:tcPr>
                <w:p w14:paraId="01BDA9D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厂界达标</w:t>
                  </w:r>
                </w:p>
              </w:tc>
            </w:tr>
            <w:tr w14:paraId="318C4C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6E370A6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Merge w:val="restart"/>
                  <w:vAlign w:val="center"/>
                </w:tcPr>
                <w:p w14:paraId="37415C0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848" w:type="pct"/>
                  <w:vAlign w:val="center"/>
                </w:tcPr>
                <w:p w14:paraId="2B6A583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w:t>
                  </w:r>
                  <w:r>
                    <w:rPr>
                      <w:rFonts w:hint="eastAsia" w:ascii="Times New Roman" w:hAnsi="Times New Roman" w:eastAsia="宋体" w:cs="Times New Roman"/>
                      <w:color w:val="000000" w:themeColor="text1"/>
                      <w:szCs w:val="21"/>
                      <w:lang w:val="en-US" w:eastAsia="zh-CN"/>
                      <w14:textFill>
                        <w14:solidFill>
                          <w14:schemeClr w14:val="tx1"/>
                        </w14:solidFill>
                      </w14:textFill>
                    </w:rPr>
                    <w:t>仓库</w:t>
                  </w:r>
                </w:p>
              </w:tc>
              <w:tc>
                <w:tcPr>
                  <w:tcW w:w="773" w:type="pct"/>
                  <w:shd w:val="clear" w:color="auto" w:fill="auto"/>
                  <w:vAlign w:val="center"/>
                </w:tcPr>
                <w:p w14:paraId="2CC6968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764" w:type="pct"/>
                  <w:vAlign w:val="center"/>
                </w:tcPr>
                <w:p w14:paraId="0906821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75" w:type="pct"/>
                  <w:vAlign w:val="center"/>
                </w:tcPr>
                <w:p w14:paraId="5A5C470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1155" w:type="pct"/>
                  <w:vAlign w:val="center"/>
                </w:tcPr>
                <w:p w14:paraId="2ED4A5A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堆放一般固废</w:t>
                  </w:r>
                  <w:r>
                    <w:rPr>
                      <w:rFonts w:hint="eastAsia" w:ascii="Times New Roman" w:hAnsi="Times New Roman" w:eastAsia="宋体" w:cs="Times New Roman"/>
                      <w:color w:val="000000" w:themeColor="text1"/>
                      <w:szCs w:val="21"/>
                      <w:lang w:val="en-US" w:eastAsia="zh-CN"/>
                      <w14:textFill>
                        <w14:solidFill>
                          <w14:schemeClr w14:val="tx1"/>
                        </w14:solidFill>
                      </w14:textFill>
                    </w:rPr>
                    <w:t>，依托现有</w:t>
                  </w:r>
                </w:p>
              </w:tc>
            </w:tr>
            <w:tr w14:paraId="117326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65FB354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Merge w:val="continue"/>
                  <w:vAlign w:val="center"/>
                </w:tcPr>
                <w:p w14:paraId="789CF1F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848" w:type="pct"/>
                  <w:vAlign w:val="center"/>
                </w:tcPr>
                <w:p w14:paraId="6D8EF35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危废</w:t>
                  </w:r>
                  <w:r>
                    <w:rPr>
                      <w:rFonts w:hint="default" w:ascii="Times New Roman" w:hAnsi="Times New Roman" w:eastAsia="宋体" w:cs="Times New Roman"/>
                      <w:color w:val="000000" w:themeColor="text1"/>
                      <w:szCs w:val="21"/>
                      <w:lang w:val="en-US" w:eastAsia="zh-CN"/>
                      <w14:textFill>
                        <w14:solidFill>
                          <w14:schemeClr w14:val="tx1"/>
                        </w14:solidFill>
                      </w14:textFill>
                    </w:rPr>
                    <w:t>暂存间</w:t>
                  </w:r>
                </w:p>
              </w:tc>
              <w:tc>
                <w:tcPr>
                  <w:tcW w:w="773" w:type="pct"/>
                  <w:shd w:val="clear" w:color="auto" w:fill="auto"/>
                  <w:vAlign w:val="center"/>
                </w:tcPr>
                <w:p w14:paraId="60C997B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危废贮存点1</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764" w:type="pct"/>
                  <w:vAlign w:val="center"/>
                </w:tcPr>
                <w:p w14:paraId="5E2602A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775" w:type="pct"/>
                  <w:vAlign w:val="center"/>
                </w:tcPr>
                <w:p w14:paraId="767F892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1155" w:type="pct"/>
                  <w:vAlign w:val="center"/>
                </w:tcPr>
                <w:p w14:paraId="1F125BA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存放危险废物</w:t>
                  </w:r>
                  <w:r>
                    <w:rPr>
                      <w:rFonts w:hint="eastAsia" w:ascii="Times New Roman" w:hAnsi="Times New Roman" w:eastAsia="宋体" w:cs="Times New Roman"/>
                      <w:color w:val="000000" w:themeColor="text1"/>
                      <w:szCs w:val="21"/>
                      <w:lang w:val="en-US" w:eastAsia="zh-CN"/>
                      <w14:textFill>
                        <w14:solidFill>
                          <w14:schemeClr w14:val="tx1"/>
                        </w14:solidFill>
                      </w14:textFill>
                    </w:rPr>
                    <w:t>，新建5</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危废</w:t>
                  </w:r>
                  <w:r>
                    <w:rPr>
                      <w:rFonts w:hint="default" w:ascii="Times New Roman" w:hAnsi="Times New Roman" w:eastAsia="宋体" w:cs="Times New Roman"/>
                      <w:color w:val="000000" w:themeColor="text1"/>
                      <w:szCs w:val="21"/>
                      <w:lang w:val="en-US" w:eastAsia="zh-CN"/>
                      <w14:textFill>
                        <w14:solidFill>
                          <w14:schemeClr w14:val="tx1"/>
                        </w14:solidFill>
                      </w14:textFill>
                    </w:rPr>
                    <w:t>暂存间</w:t>
                  </w:r>
                  <w:r>
                    <w:rPr>
                      <w:rFonts w:hint="eastAsia" w:ascii="Times New Roman" w:hAnsi="Times New Roman" w:eastAsia="宋体" w:cs="Times New Roman"/>
                      <w:color w:val="000000" w:themeColor="text1"/>
                      <w:szCs w:val="21"/>
                      <w:lang w:val="en-US" w:eastAsia="zh-CN"/>
                      <w14:textFill>
                        <w14:solidFill>
                          <w14:schemeClr w14:val="tx1"/>
                        </w14:solidFill>
                      </w14:textFill>
                    </w:rPr>
                    <w:t>，拆除</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危废暂存点</w:t>
                  </w:r>
                </w:p>
              </w:tc>
            </w:tr>
            <w:tr w14:paraId="408985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007A998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Merge w:val="restart"/>
                  <w:vAlign w:val="center"/>
                </w:tcPr>
                <w:p w14:paraId="505F951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应急</w:t>
                  </w:r>
                </w:p>
              </w:tc>
              <w:tc>
                <w:tcPr>
                  <w:tcW w:w="848" w:type="pct"/>
                  <w:vAlign w:val="center"/>
                </w:tcPr>
                <w:p w14:paraId="6091701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事故应急池</w:t>
                  </w:r>
                </w:p>
              </w:tc>
              <w:tc>
                <w:tcPr>
                  <w:tcW w:w="773" w:type="pct"/>
                  <w:vAlign w:val="center"/>
                </w:tcPr>
                <w:p w14:paraId="182B7BC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86</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764" w:type="pct"/>
                  <w:vAlign w:val="center"/>
                </w:tcPr>
                <w:p w14:paraId="266F9D4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75" w:type="pct"/>
                  <w:vAlign w:val="center"/>
                </w:tcPr>
                <w:p w14:paraId="3DB5AB5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86</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1155" w:type="pct"/>
                  <w:vAlign w:val="center"/>
                </w:tcPr>
                <w:p w14:paraId="75A459C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位于园区北侧，</w:t>
                  </w: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ascii="Times New Roman" w:hAnsi="Times New Roman" w:eastAsia="宋体" w:cs="Times New Roman"/>
                      <w:color w:val="000000" w:themeColor="text1"/>
                      <w:lang w:val="en-US" w:eastAsia="zh-CN"/>
                      <w14:textFill>
                        <w14:solidFill>
                          <w14:schemeClr w14:val="tx1"/>
                        </w14:solidFill>
                      </w14:textFill>
                    </w:rPr>
                    <w:t>园区</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778FA9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2" w:type="pct"/>
                  <w:vMerge w:val="continue"/>
                  <w:vAlign w:val="center"/>
                </w:tcPr>
                <w:p w14:paraId="4CC0236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61" w:type="pct"/>
                  <w:vMerge w:val="continue"/>
                  <w:vAlign w:val="center"/>
                </w:tcPr>
                <w:p w14:paraId="497A698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848" w:type="pct"/>
                  <w:vAlign w:val="center"/>
                </w:tcPr>
                <w:p w14:paraId="3C60FD8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污水收纳袋</w:t>
                  </w:r>
                </w:p>
              </w:tc>
              <w:tc>
                <w:tcPr>
                  <w:tcW w:w="773" w:type="pct"/>
                  <w:vAlign w:val="center"/>
                </w:tcPr>
                <w:p w14:paraId="2A041B9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64" w:type="pct"/>
                  <w:vAlign w:val="center"/>
                </w:tcPr>
                <w:p w14:paraId="7597370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775" w:type="pct"/>
                  <w:vAlign w:val="center"/>
                </w:tcPr>
                <w:p w14:paraId="664A09F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1155" w:type="pct"/>
                  <w:vAlign w:val="center"/>
                </w:tcPr>
                <w:p w14:paraId="27F0ABE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新增</w:t>
                  </w:r>
                </w:p>
              </w:tc>
            </w:tr>
          </w:tbl>
          <w:p w14:paraId="1D846B7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依托可行性分析：</w:t>
            </w:r>
          </w:p>
          <w:p w14:paraId="114BDDE2">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原有生产车间内有闲置区域，车间区域仍可满足</w:t>
            </w:r>
            <w:r>
              <w:rPr>
                <w:rFonts w:hint="eastAsia" w:ascii="Times New Roman" w:hAnsi="Times New Roman" w:eastAsia="宋体" w:cs="Times New Roman"/>
                <w:color w:val="000000" w:themeColor="text1"/>
                <w:sz w:val="24"/>
                <w:lang w:val="en-US" w:eastAsia="zh-CN"/>
                <w14:textFill>
                  <w14:solidFill>
                    <w14:schemeClr w14:val="tx1"/>
                  </w14:solidFill>
                </w14:textFill>
              </w:rPr>
              <w:t>新增</w:t>
            </w:r>
            <w:r>
              <w:rPr>
                <w:rFonts w:hint="default" w:ascii="Times New Roman" w:hAnsi="Times New Roman" w:eastAsia="宋体" w:cs="Times New Roman"/>
                <w:color w:val="000000" w:themeColor="text1"/>
                <w:sz w:val="24"/>
                <w:lang w:eastAsia="zh-CN"/>
                <w14:textFill>
                  <w14:solidFill>
                    <w14:schemeClr w14:val="tx1"/>
                  </w14:solidFill>
                </w14:textFill>
              </w:rPr>
              <w:t>设备放置，且放置后仍有闲置区域用于材料中转及叉车行驶。</w:t>
            </w:r>
            <w:r>
              <w:rPr>
                <w:rFonts w:hint="eastAsia" w:ascii="Times New Roman" w:hAnsi="Times New Roman" w:eastAsia="宋体" w:cs="Times New Roman"/>
                <w:color w:val="000000" w:themeColor="text1"/>
                <w:sz w:val="24"/>
                <w:lang w:val="en-US" w:eastAsia="zh-CN"/>
                <w14:textFill>
                  <w14:solidFill>
                    <w14:schemeClr w14:val="tx1"/>
                  </w14:solidFill>
                </w14:textFill>
              </w:rPr>
              <w:t>联东U谷金坛科技产业园</w:t>
            </w:r>
            <w:r>
              <w:rPr>
                <w:rFonts w:hint="default" w:ascii="Times New Roman" w:hAnsi="Times New Roman" w:eastAsia="宋体" w:cs="Times New Roman"/>
                <w:color w:val="000000" w:themeColor="text1"/>
                <w:sz w:val="24"/>
                <w:lang w:eastAsia="zh-CN"/>
                <w14:textFill>
                  <w14:solidFill>
                    <w14:schemeClr w14:val="tx1"/>
                  </w14:solidFill>
                </w14:textFill>
              </w:rPr>
              <w:t>内已实施雨污分流，已建设污水管网及排口、雨水管网及排口、供电线路</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供水管网</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事故应急池</w:t>
            </w:r>
            <w:r>
              <w:rPr>
                <w:rFonts w:hint="default" w:ascii="Times New Roman" w:hAnsi="Times New Roman" w:eastAsia="宋体" w:cs="Times New Roman"/>
                <w:color w:val="000000" w:themeColor="text1"/>
                <w:sz w:val="24"/>
                <w:lang w:eastAsia="zh-CN"/>
                <w14:textFill>
                  <w14:solidFill>
                    <w14:schemeClr w14:val="tx1"/>
                  </w14:solidFill>
                </w14:textFill>
              </w:rPr>
              <w:t>。供水由市政给水管网提供，依托厂区已建管网；排水依托厂区现有雨污管网</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雨水经雨水管网最终排入尧塘河，污水经污水管网进金坛第二</w:t>
            </w:r>
            <w:r>
              <w:rPr>
                <w:rFonts w:hint="default" w:ascii="Times New Roman" w:hAnsi="Times New Roman" w:eastAsia="宋体" w:cs="Times New Roman"/>
                <w:color w:val="000000" w:themeColor="text1"/>
                <w:kern w:val="0"/>
                <w:sz w:val="24"/>
                <w:lang w:eastAsia="zh-CN"/>
                <w14:textFill>
                  <w14:solidFill>
                    <w14:schemeClr w14:val="tx1"/>
                  </w14:solidFill>
                </w14:textFill>
              </w:rPr>
              <w:t>污水处理厂</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最终排入尧塘河</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，供电依托</w:t>
            </w:r>
            <w:r>
              <w:rPr>
                <w:rFonts w:hint="eastAsia" w:ascii="Times New Roman" w:hAnsi="Times New Roman" w:eastAsia="宋体" w:cs="Times New Roman"/>
                <w:color w:val="000000" w:themeColor="text1"/>
                <w:sz w:val="24"/>
                <w:lang w:val="en-US" w:eastAsia="zh-CN"/>
                <w14:textFill>
                  <w14:solidFill>
                    <w14:schemeClr w14:val="tx1"/>
                  </w14:solidFill>
                </w14:textFill>
              </w:rPr>
              <w:t>园区</w:t>
            </w:r>
            <w:r>
              <w:rPr>
                <w:rFonts w:hint="default" w:ascii="Times New Roman" w:hAnsi="Times New Roman" w:eastAsia="宋体" w:cs="Times New Roman"/>
                <w:color w:val="000000" w:themeColor="text1"/>
                <w:sz w:val="24"/>
                <w:lang w:eastAsia="zh-CN"/>
                <w14:textFill>
                  <w14:solidFill>
                    <w14:schemeClr w14:val="tx1"/>
                  </w14:solidFill>
                </w14:textFill>
              </w:rPr>
              <w:t>供电管网</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应急依托园区事故应急池</w:t>
            </w:r>
            <w:r>
              <w:rPr>
                <w:rFonts w:hint="default" w:ascii="Times New Roman" w:hAnsi="Times New Roman" w:eastAsia="宋体" w:cs="Times New Roman"/>
                <w:color w:val="000000" w:themeColor="text1"/>
                <w:sz w:val="24"/>
                <w:lang w:eastAsia="zh-CN"/>
                <w14:textFill>
                  <w14:solidFill>
                    <w14:schemeClr w14:val="tx1"/>
                  </w14:solidFill>
                </w14:textFill>
              </w:rPr>
              <w:t>，满足本项目使用需求。</w:t>
            </w:r>
          </w:p>
          <w:p w14:paraId="6D34063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公用工程说明：</w:t>
            </w:r>
          </w:p>
          <w:p w14:paraId="242764D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（1）给</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排</w:t>
            </w:r>
            <w:r>
              <w:rPr>
                <w:rFonts w:hint="default" w:ascii="Times New Roman" w:hAnsi="Times New Roman" w:eastAsia="宋体" w:cs="Times New Roman"/>
                <w:b/>
                <w:color w:val="000000" w:themeColor="text1"/>
                <w:sz w:val="24"/>
                <w:szCs w:val="24"/>
                <w14:textFill>
                  <w14:solidFill>
                    <w14:schemeClr w14:val="tx1"/>
                  </w14:solidFill>
                </w14:textFill>
              </w:rPr>
              <w:t>水</w:t>
            </w:r>
          </w:p>
          <w:p w14:paraId="4E87E9F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生活用水：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szCs w:val="24"/>
                <w14:textFill>
                  <w14:solidFill>
                    <w14:schemeClr w14:val="tx1"/>
                  </w14:solidFill>
                </w14:textFill>
              </w:rPr>
              <w:t>定员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14:textFill>
                  <w14:solidFill>
                    <w14:schemeClr w14:val="tx1"/>
                  </w14:solidFill>
                </w14:textFill>
              </w:rPr>
              <w:t>人，年工作日约300天，办公生活用水量按照</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14:textFill>
                  <w14:solidFill>
                    <w14:schemeClr w14:val="tx1"/>
                  </w14:solidFill>
                </w14:textFill>
              </w:rPr>
              <w:t>0L/人·d计算，则本项目生活用水量为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300m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其中新鲜水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，纯水制备浓水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。生活污水量按照用水量的80%计，污水产生量约</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240m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4"/>
                <w14:textFill>
                  <w14:solidFill>
                    <w14:schemeClr w14:val="tx1"/>
                  </w14:solidFill>
                </w14:textFill>
              </w:rPr>
              <w:t>常州市金坛第二污水处理厂集中处理，处理后尾水排入尧塘河。</w:t>
            </w:r>
          </w:p>
          <w:p w14:paraId="7A1B697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电解除油</w:t>
            </w:r>
            <w:r>
              <w:rPr>
                <w:rFonts w:hint="default" w:ascii="Times New Roman" w:hAnsi="Times New Roman" w:eastAsia="宋体" w:cs="Times New Roman"/>
                <w:b/>
                <w:color w:val="000000" w:themeColor="text1"/>
                <w:sz w:val="24"/>
                <w:szCs w:val="24"/>
                <w14:textFill>
                  <w14:solidFill>
                    <w14:schemeClr w14:val="tx1"/>
                  </w14:solidFill>
                </w14:textFill>
              </w:rPr>
              <w:t>用水</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本项目设置3条清洗线，每条清洗线设置2个电解除油槽，每个电解槽每次添加水（回用水和自来水）量为350L，添加除油粉50kg，每30天更换一次（年更换10次），则电解除油槽用水量共计为21</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损耗量按20%计，则电解除油废水产生量为16.8</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收集暂存作为危废处置。</w:t>
            </w:r>
          </w:p>
          <w:p w14:paraId="593224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电解除油后喷淋用水：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本项目设置3条清洗线，每条清洗线设置2个电解除油后喷淋水槽，每个喷淋水槽每次添加水（回用水和自来水）量为100L，每三天更换一次（年更换100次），则电解除油后喷淋用水量共计为60</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损耗量按20%计，则电解除油后喷淋废水产生量为48</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经厂内污水处理设施处理后回用。</w:t>
            </w:r>
          </w:p>
          <w:p w14:paraId="6DCF78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酸洗</w:t>
            </w:r>
            <w:r>
              <w:rPr>
                <w:rFonts w:hint="default" w:ascii="Times New Roman" w:hAnsi="Times New Roman" w:eastAsia="宋体" w:cs="Times New Roman"/>
                <w:b/>
                <w:color w:val="000000" w:themeColor="text1"/>
                <w:sz w:val="24"/>
                <w:szCs w:val="24"/>
                <w14:textFill>
                  <w14:solidFill>
                    <w14:schemeClr w14:val="tx1"/>
                  </w14:solidFill>
                </w14:textFill>
              </w:rPr>
              <w:t>用水</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本项目设置3条清洗线，每条清洗线设置1个酸洗槽，酸洗槽每次添加水（纯水）量为225L，添加硫酸量为25L，每30天更换一次（年更换10次），则酸洗用水量共计为7.75</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硫酸用量共计为0.75</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损耗量按20%计，则酸洗废液产生量为6.8</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收集暂存作为危废处置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10A33A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酸洗后喷淋用水：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本项目设置3条清洗线，每条清洗线设置3个酸洗后喷淋水槽，每个喷淋水槽每次添加水（回用水和自来水）量为100L，每三天更换一次（年更换100次），则酸洗后喷淋用水量共计为90</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损耗量按20%计，则酸洗后喷淋废水产生量为72</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经厂内污水处理设施处理后回用。</w:t>
            </w:r>
          </w:p>
          <w:p w14:paraId="50E213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铜保护工序</w:t>
            </w:r>
            <w:r>
              <w:rPr>
                <w:rFonts w:hint="default" w:ascii="Times New Roman" w:hAnsi="Times New Roman" w:eastAsia="宋体" w:cs="Times New Roman"/>
                <w:b/>
                <w:color w:val="000000" w:themeColor="text1"/>
                <w:sz w:val="24"/>
                <w:szCs w:val="24"/>
                <w14:textFill>
                  <w14:solidFill>
                    <w14:schemeClr w14:val="tx1"/>
                  </w14:solidFill>
                </w14:textFill>
              </w:rPr>
              <w:t>用水</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本项目设置3条清洗线，每条清洗线设置1个铜保护槽，铜保护槽每次添加水（纯水）量为225L，添加铜保护剂为15L，每10天更换一次（年更换30次），则铜保护用水量共计为20.25</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铜保护剂用量共计为1.35</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损耗量按20%计，则铜保护工序废液产生量为17.28</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收集暂存作为危废处置。</w:t>
            </w:r>
          </w:p>
          <w:p w14:paraId="02326E9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铜保护后喷淋用水：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本项目设置3条清洗线，每条清洗线设置2个铜保护工序后喷淋水槽，每个喷淋水槽每次添加水（回用水和自来水）量为100L，每三天更换一次（年更换100次），则铜保护后喷淋用水量共计为60</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损耗量按20%计，则铜保护后喷淋废水产生量为48</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/a，</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经厂内污水处理设施处理后回用。</w:t>
            </w:r>
          </w:p>
          <w:p w14:paraId="3AF57B4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纯水制备用水：</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项目清洗工序纯水用量为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28</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。本项目采用纯水机制备纯水，得水率为70%，则需自来水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约40</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，制备时产生的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浓水</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量约为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用于企业冲厕用水。根据企业提供资料，纯水系统反冲洗废水产生量为约为用水量的5%，则本项目反冲洗废水产生量2t/a。</w:t>
            </w:r>
          </w:p>
          <w:p w14:paraId="2449F6BB">
            <w:pPr>
              <w:pStyle w:val="57"/>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纯水制备工艺：</w:t>
            </w:r>
          </w:p>
          <w:p w14:paraId="523F08EF">
            <w:pPr>
              <w:pStyle w:val="57"/>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drawing>
                <wp:inline distT="0" distB="0" distL="114300" distR="114300">
                  <wp:extent cx="5593080" cy="1366520"/>
                  <wp:effectExtent l="0" t="0" r="7620" b="5080"/>
                  <wp:docPr id="10" name="图片 10" descr="42badab82f5d7832cd04586868b5d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badab82f5d7832cd04586868b5d666"/>
                          <pic:cNvPicPr>
                            <a:picLocks noChangeAspect="1"/>
                          </pic:cNvPicPr>
                        </pic:nvPicPr>
                        <pic:blipFill>
                          <a:blip r:embed="rId13"/>
                          <a:srcRect t="21321"/>
                          <a:stretch>
                            <a:fillRect/>
                          </a:stretch>
                        </pic:blipFill>
                        <pic:spPr>
                          <a:xfrm>
                            <a:off x="0" y="0"/>
                            <a:ext cx="5593080" cy="1366520"/>
                          </a:xfrm>
                          <a:prstGeom prst="rect">
                            <a:avLst/>
                          </a:prstGeom>
                        </pic:spPr>
                      </pic:pic>
                    </a:graphicData>
                  </a:graphic>
                </wp:inline>
              </w:drawing>
            </w:r>
          </w:p>
          <w:p w14:paraId="668D52E5">
            <w:pPr>
              <w:pStyle w:val="57"/>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附图2-1  纯水制备工艺</w:t>
            </w:r>
          </w:p>
          <w:p w14:paraId="3C01EEC9">
            <w:pPr>
              <w:pStyle w:val="57"/>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喷淋</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塔用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水</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本项目设置一座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碱</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喷淋塔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，循环水量为</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Cs w:val="28"/>
                <w:highlight w:val="none"/>
                <w14:textFill>
                  <w14:solidFill>
                    <w14:schemeClr w14:val="tx1"/>
                  </w14:solidFill>
                </w14:textFill>
              </w:rPr>
              <w:t>m</w:t>
            </w:r>
            <w:r>
              <w:rPr>
                <w:rFonts w:hint="default" w:ascii="Times New Roman" w:hAnsi="Times New Roman" w:eastAsia="宋体" w:cs="Times New Roman"/>
                <w:color w:val="000000" w:themeColor="text1"/>
                <w:szCs w:val="2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8"/>
                <w:highlight w:val="none"/>
                <w14:textFill>
                  <w14:solidFill>
                    <w14:schemeClr w14:val="tx1"/>
                  </w14:solidFill>
                </w14:textFill>
              </w:rPr>
              <w:t>/</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Cs w:val="28"/>
                <w:highlight w:val="none"/>
                <w14:textFill>
                  <w14:solidFill>
                    <w14:schemeClr w14:val="tx1"/>
                  </w14:solidFill>
                </w14:textFill>
              </w:rPr>
              <w:t>，年工作时间</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Cs w:val="28"/>
                <w:highlight w:val="none"/>
                <w14:textFill>
                  <w14:solidFill>
                    <w14:schemeClr w14:val="tx1"/>
                  </w14:solidFill>
                </w14:textFill>
              </w:rPr>
              <w:t>00h，则喷淋塔循环水量约为</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240</w:t>
            </w:r>
            <w:r>
              <w:rPr>
                <w:rFonts w:hint="default" w:ascii="Times New Roman" w:hAnsi="Times New Roman" w:eastAsia="宋体" w:cs="Times New Roman"/>
                <w:color w:val="000000" w:themeColor="text1"/>
                <w:szCs w:val="28"/>
                <w:highlight w:val="none"/>
                <w14:textFill>
                  <w14:solidFill>
                    <w14:schemeClr w14:val="tx1"/>
                  </w14:solidFill>
                </w14:textFill>
              </w:rPr>
              <w:t>m</w:t>
            </w:r>
            <w:r>
              <w:rPr>
                <w:rFonts w:hint="default" w:ascii="Times New Roman" w:hAnsi="Times New Roman" w:eastAsia="宋体" w:cs="Times New Roman"/>
                <w:color w:val="000000" w:themeColor="text1"/>
                <w:szCs w:val="2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8"/>
                <w:highlight w:val="none"/>
                <w14:textFill>
                  <w14:solidFill>
                    <w14:schemeClr w14:val="tx1"/>
                  </w14:solidFill>
                </w14:textFill>
              </w:rPr>
              <w:t>/a。蒸发损耗量按总循环水量的</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8"/>
                <w:highlight w:val="none"/>
                <w14:textFill>
                  <w14:solidFill>
                    <w14:schemeClr w14:val="tx1"/>
                  </w14:solidFill>
                </w14:textFill>
              </w:rPr>
              <w:t>%计，则损耗量为</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Cs w:val="28"/>
                <w:highlight w:val="none"/>
                <w14:textFill>
                  <w14:solidFill>
                    <w14:schemeClr w14:val="tx1"/>
                  </w14:solidFill>
                </w14:textFill>
              </w:rPr>
              <w:t>m</w:t>
            </w:r>
            <w:r>
              <w:rPr>
                <w:rFonts w:hint="default" w:ascii="Times New Roman" w:hAnsi="Times New Roman" w:eastAsia="宋体" w:cs="Times New Roman"/>
                <w:color w:val="000000" w:themeColor="text1"/>
                <w:szCs w:val="2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8"/>
                <w:highlight w:val="none"/>
                <w14:textFill>
                  <w14:solidFill>
                    <w14:schemeClr w14:val="tx1"/>
                  </w14:solidFill>
                </w14:textFill>
              </w:rPr>
              <w:t>/a；排放量按循环水量的</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Cs w:val="28"/>
                <w:highlight w:val="none"/>
                <w14:textFill>
                  <w14:solidFill>
                    <w14:schemeClr w14:val="tx1"/>
                  </w14:solidFill>
                </w14:textFill>
              </w:rPr>
              <w:t>%计，排水量为</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8"/>
                <w:highlight w:val="none"/>
                <w14:textFill>
                  <w14:solidFill>
                    <w14:schemeClr w14:val="tx1"/>
                  </w14:solidFill>
                </w14:textFill>
              </w:rPr>
              <w:t>m</w:t>
            </w:r>
            <w:r>
              <w:rPr>
                <w:rFonts w:hint="default" w:ascii="Times New Roman" w:hAnsi="Times New Roman" w:eastAsia="宋体" w:cs="Times New Roman"/>
                <w:color w:val="000000" w:themeColor="text1"/>
                <w:szCs w:val="2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8"/>
                <w:highlight w:val="none"/>
                <w14:textFill>
                  <w14:solidFill>
                    <w14:schemeClr w14:val="tx1"/>
                  </w14:solidFill>
                </w14:textFill>
              </w:rPr>
              <w:t>/a，</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作为喷淋塔废水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经厂内污水处理站处理后回用；综上</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碱</w:t>
            </w:r>
            <w:r>
              <w:rPr>
                <w:rFonts w:hint="default" w:ascii="Times New Roman" w:hAnsi="Times New Roman" w:eastAsia="宋体" w:cs="Times New Roman"/>
                <w:color w:val="000000" w:themeColor="text1"/>
                <w:szCs w:val="28"/>
                <w:highlight w:val="none"/>
                <w14:textFill>
                  <w14:solidFill>
                    <w14:schemeClr w14:val="tx1"/>
                  </w14:solidFill>
                </w14:textFill>
              </w:rPr>
              <w:t>喷淋塔补充水</w:t>
            </w:r>
            <w:r>
              <w:rPr>
                <w:rFonts w:hint="eastAsia" w:ascii="Times New Roman" w:hAnsi="Times New Roman" w:eastAsia="宋体" w:cs="Times New Roman"/>
                <w:color w:val="000000" w:themeColor="text1"/>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自来水</w:t>
            </w:r>
            <w:r>
              <w:rPr>
                <w:rFonts w:hint="eastAsia" w:ascii="Times New Roman" w:hAnsi="Times New Roman" w:eastAsia="宋体" w:cs="Times New Roman"/>
                <w:color w:val="000000" w:themeColor="text1"/>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8"/>
                <w:highlight w:val="none"/>
                <w14:textFill>
                  <w14:solidFill>
                    <w14:schemeClr w14:val="tx1"/>
                  </w14:solidFill>
                </w14:textFill>
              </w:rPr>
              <w:t>量为</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Cs w:val="28"/>
                <w:highlight w:val="none"/>
                <w14:textFill>
                  <w14:solidFill>
                    <w14:schemeClr w14:val="tx1"/>
                  </w14:solidFill>
                </w14:textFill>
              </w:rPr>
              <w:t>m</w:t>
            </w:r>
            <w:r>
              <w:rPr>
                <w:rFonts w:hint="default" w:ascii="Times New Roman" w:hAnsi="Times New Roman" w:eastAsia="宋体" w:cs="Times New Roman"/>
                <w:color w:val="000000" w:themeColor="text1"/>
                <w:szCs w:val="2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8"/>
                <w:highlight w:val="none"/>
                <w14:textFill>
                  <w14:solidFill>
                    <w14:schemeClr w14:val="tx1"/>
                  </w14:solidFill>
                </w14:textFill>
              </w:rPr>
              <w:t>/a。</w:t>
            </w:r>
          </w:p>
          <w:p w14:paraId="5C1DE68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削液稀释用水：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削液加水配比稀释后循环使用，</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削液与水配比比例为1:</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削液用量为0.0</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t/a，则新鲜水用量为</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0.25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t/a。稀释后的</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削液循环使用，</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定期</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更换，</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损耗量按20%计，则废磨削液产生量为0.22t/a，</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更换后的废</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削液作为危险废物委托有资质单位处置。</w:t>
            </w:r>
          </w:p>
          <w:p w14:paraId="7B293E2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地面清洗用水：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本项目清洗线底部设置有托盘，</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防止跑冒滴漏</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，清洗区域定期清洗。按照每星期清洗一次，全年约50次，每次按0.1m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/次计算，则地面清洗用水量约5m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/a。损耗按20%计，则项目地面清洗废水产生量约为4m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/a，经厂内污水处理设施处理后回用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w:t>
            </w:r>
          </w:p>
          <w:p w14:paraId="59E5122B">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水平衡图见图2-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2BA4A19B">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479415" cy="8056880"/>
                  <wp:effectExtent l="0" t="0" r="6985" b="12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5479415" cy="8056880"/>
                          </a:xfrm>
                          <a:prstGeom prst="rect">
                            <a:avLst/>
                          </a:prstGeom>
                          <a:noFill/>
                          <a:ln>
                            <a:noFill/>
                          </a:ln>
                        </pic:spPr>
                      </pic:pic>
                    </a:graphicData>
                  </a:graphic>
                </wp:inline>
              </w:drawing>
            </w:r>
          </w:p>
          <w:p w14:paraId="621007EE">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图2-</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color w:val="000000" w:themeColor="text1"/>
                <w:sz w:val="24"/>
                <w:szCs w:val="24"/>
                <w14:textFill>
                  <w14:solidFill>
                    <w14:schemeClr w14:val="tx1"/>
                  </w14:solidFill>
                </w14:textFill>
              </w:rPr>
              <w:t>水平衡图（</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/a）</w:t>
            </w:r>
          </w:p>
          <w:p w14:paraId="0342229B">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全厂</w:t>
            </w:r>
            <w:r>
              <w:rPr>
                <w:rFonts w:hint="default" w:ascii="Times New Roman" w:hAnsi="Times New Roman" w:eastAsia="宋体" w:cs="Times New Roman"/>
                <w:color w:val="000000" w:themeColor="text1"/>
                <w:sz w:val="24"/>
                <w:szCs w:val="24"/>
                <w:lang w:eastAsia="zh-CN"/>
                <w14:textFill>
                  <w14:solidFill>
                    <w14:schemeClr w14:val="tx1"/>
                  </w14:solidFill>
                </w14:textFill>
              </w:rPr>
              <w:t>水平衡图见图2-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78177E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32095" cy="7858125"/>
                  <wp:effectExtent l="0" t="0" r="190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332095" cy="7858125"/>
                          </a:xfrm>
                          <a:prstGeom prst="rect">
                            <a:avLst/>
                          </a:prstGeom>
                          <a:noFill/>
                          <a:ln>
                            <a:noFill/>
                          </a:ln>
                        </pic:spPr>
                      </pic:pic>
                    </a:graphicData>
                  </a:graphic>
                </wp:inline>
              </w:drawing>
            </w:r>
          </w:p>
          <w:p w14:paraId="2907251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图2-</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全厂</w:t>
            </w:r>
            <w:r>
              <w:rPr>
                <w:rFonts w:hint="default" w:ascii="Times New Roman" w:hAnsi="Times New Roman" w:eastAsia="宋体" w:cs="Times New Roman"/>
                <w:b/>
                <w:color w:val="000000" w:themeColor="text1"/>
                <w:sz w:val="24"/>
                <w:szCs w:val="24"/>
                <w14:textFill>
                  <w14:solidFill>
                    <w14:schemeClr w14:val="tx1"/>
                  </w14:solidFill>
                </w14:textFill>
              </w:rPr>
              <w:t>水平衡图（</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/a）</w:t>
            </w:r>
          </w:p>
          <w:p w14:paraId="4C7838D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）供电</w:t>
            </w:r>
          </w:p>
          <w:p w14:paraId="11FF234E">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本项目生产设备使用电能，用电由市政电网接入，年用电量约为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36</w:t>
            </w:r>
            <w:r>
              <w:rPr>
                <w:rFonts w:hint="default" w:ascii="Times New Roman" w:hAnsi="Times New Roman" w:eastAsia="宋体" w:cs="Times New Roman"/>
                <w:bCs/>
                <w:color w:val="000000" w:themeColor="text1"/>
                <w:sz w:val="24"/>
                <w:szCs w:val="24"/>
                <w14:textFill>
                  <w14:solidFill>
                    <w14:schemeClr w14:val="tx1"/>
                  </w14:solidFill>
                </w14:textFill>
              </w:rPr>
              <w:t>万kW·h。</w:t>
            </w:r>
          </w:p>
          <w:p w14:paraId="5F1664DF">
            <w:pPr>
              <w:numPr>
                <w:ilvl w:val="0"/>
                <w:numId w:val="0"/>
              </w:numPr>
              <w:spacing w:line="360" w:lineRule="auto"/>
              <w:rPr>
                <w:rFonts w:hint="eastAsia" w:ascii="Times New Roman" w:hAnsi="Times New Roman" w:eastAsia="宋体" w:cs="Times New Roman"/>
                <w:b/>
                <w:color w:val="000000" w:themeColor="text1"/>
                <w:sz w:val="24"/>
                <w:lang w:val="en-US" w:eastAsia="zh-CN"/>
                <w14:textFill>
                  <w14:solidFill>
                    <w14:schemeClr w14:val="tx1"/>
                  </w14:solidFill>
                </w14:textFill>
              </w:rPr>
            </w:pPr>
            <w:bookmarkStart w:id="0" w:name="_Toc21599"/>
            <w:bookmarkStart w:id="1" w:name="_Toc9020"/>
            <w:bookmarkStart w:id="2" w:name="_Toc457"/>
            <w:bookmarkStart w:id="3" w:name="_Toc4904"/>
            <w:bookmarkStart w:id="4" w:name="_Toc21016"/>
            <w:r>
              <w:rPr>
                <w:rFonts w:hint="eastAsia" w:ascii="Times New Roman" w:hAnsi="Times New Roman" w:eastAsia="宋体" w:cs="Times New Roman"/>
                <w:b/>
                <w:color w:val="000000" w:themeColor="text1"/>
                <w:sz w:val="24"/>
                <w:lang w:val="en-US" w:eastAsia="zh-CN"/>
                <w14:textFill>
                  <w14:solidFill>
                    <w14:schemeClr w14:val="tx1"/>
                  </w14:solidFill>
                </w14:textFill>
              </w:rPr>
              <w:t>7、物料平衡</w:t>
            </w:r>
          </w:p>
          <w:p w14:paraId="29969BD1">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物料平衡</w:t>
            </w:r>
          </w:p>
          <w:p w14:paraId="758C0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10</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物料</w:t>
            </w:r>
            <w:r>
              <w:rPr>
                <w:rFonts w:hint="eastAsia" w:ascii="Times New Roman" w:hAnsi="Times New Roman" w:eastAsia="宋体" w:cs="Times New Roman"/>
                <w:b/>
                <w:color w:val="000000" w:themeColor="text1"/>
                <w:sz w:val="24"/>
                <w:lang w:val="en-US" w:eastAsia="zh-CN"/>
                <w14:textFill>
                  <w14:solidFill>
                    <w14:schemeClr w14:val="tx1"/>
                  </w14:solidFill>
                </w14:textFill>
              </w:rPr>
              <w:t>平衡</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38"/>
              <w:gridCol w:w="1948"/>
              <w:gridCol w:w="649"/>
              <w:gridCol w:w="2452"/>
              <w:gridCol w:w="1640"/>
            </w:tblGrid>
            <w:tr w14:paraId="00216C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52" w:type="pct"/>
                  <w:gridSpan w:val="2"/>
                  <w:tcBorders>
                    <w:tl2br w:val="nil"/>
                    <w:tr2bl w:val="nil"/>
                  </w:tcBorders>
                  <w:noWrap w:val="0"/>
                  <w:vAlign w:val="center"/>
                </w:tcPr>
                <w:p w14:paraId="10CC1218">
                  <w:pPr>
                    <w:pStyle w:val="52"/>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投入（t/a）</w:t>
                  </w:r>
                </w:p>
              </w:tc>
              <w:tc>
                <w:tcPr>
                  <w:tcW w:w="2747" w:type="pct"/>
                  <w:gridSpan w:val="3"/>
                  <w:tcBorders>
                    <w:tl2br w:val="nil"/>
                    <w:tr2bl w:val="nil"/>
                  </w:tcBorders>
                  <w:noWrap w:val="0"/>
                  <w:vAlign w:val="center"/>
                </w:tcPr>
                <w:p w14:paraId="53D20C26">
                  <w:pPr>
                    <w:pStyle w:val="52"/>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产出（t/a）</w:t>
                  </w:r>
                </w:p>
              </w:tc>
            </w:tr>
            <w:tr w14:paraId="3CB0B2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10E0F3B6">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铜带</w:t>
                  </w:r>
                </w:p>
              </w:tc>
              <w:tc>
                <w:tcPr>
                  <w:tcW w:w="1128" w:type="pct"/>
                  <w:tcBorders>
                    <w:tl2br w:val="nil"/>
                    <w:tr2bl w:val="nil"/>
                  </w:tcBorders>
                  <w:noWrap w:val="0"/>
                  <w:vAlign w:val="center"/>
                </w:tcPr>
                <w:p w14:paraId="46F4CFEF">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1540</w:t>
                  </w:r>
                </w:p>
              </w:tc>
              <w:tc>
                <w:tcPr>
                  <w:tcW w:w="1797" w:type="pct"/>
                  <w:gridSpan w:val="2"/>
                  <w:tcBorders>
                    <w:tl2br w:val="nil"/>
                    <w:tr2bl w:val="nil"/>
                  </w:tcBorders>
                  <w:noWrap w:val="0"/>
                  <w:vAlign w:val="center"/>
                </w:tcPr>
                <w:p w14:paraId="0A9FE06B">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产品</w:t>
                  </w:r>
                </w:p>
              </w:tc>
              <w:tc>
                <w:tcPr>
                  <w:tcW w:w="950" w:type="pct"/>
                  <w:tcBorders>
                    <w:tl2br w:val="nil"/>
                    <w:tr2bl w:val="nil"/>
                  </w:tcBorders>
                  <w:noWrap w:val="0"/>
                  <w:vAlign w:val="center"/>
                </w:tcPr>
                <w:p w14:paraId="3F321EC9">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1519.8</w:t>
                  </w:r>
                </w:p>
              </w:tc>
            </w:tr>
            <w:tr w14:paraId="1CF083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47F07BB1">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除油粉</w:t>
                  </w:r>
                </w:p>
              </w:tc>
              <w:tc>
                <w:tcPr>
                  <w:tcW w:w="1128" w:type="pct"/>
                  <w:tcBorders>
                    <w:tl2br w:val="nil"/>
                    <w:tr2bl w:val="nil"/>
                  </w:tcBorders>
                  <w:noWrap w:val="0"/>
                  <w:vAlign w:val="center"/>
                </w:tcPr>
                <w:p w14:paraId="7E5F3743">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3</w:t>
                  </w:r>
                </w:p>
              </w:tc>
              <w:tc>
                <w:tcPr>
                  <w:tcW w:w="376" w:type="pct"/>
                  <w:vMerge w:val="restart"/>
                  <w:tcBorders>
                    <w:tl2br w:val="nil"/>
                    <w:tr2bl w:val="nil"/>
                  </w:tcBorders>
                  <w:noWrap w:val="0"/>
                  <w:vAlign w:val="center"/>
                </w:tcPr>
                <w:p w14:paraId="3D5AE28C">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废气</w:t>
                  </w:r>
                </w:p>
              </w:tc>
              <w:tc>
                <w:tcPr>
                  <w:tcW w:w="1421" w:type="pct"/>
                  <w:tcBorders>
                    <w:tl2br w:val="nil"/>
                    <w:tr2bl w:val="nil"/>
                  </w:tcBorders>
                  <w:noWrap w:val="0"/>
                  <w:vAlign w:val="center"/>
                </w:tcPr>
                <w:p w14:paraId="73C16352">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VOCs（以非甲烷总烃计）</w:t>
                  </w:r>
                </w:p>
              </w:tc>
              <w:tc>
                <w:tcPr>
                  <w:tcW w:w="950" w:type="pct"/>
                  <w:tcBorders>
                    <w:tl2br w:val="nil"/>
                    <w:tr2bl w:val="nil"/>
                  </w:tcBorders>
                  <w:noWrap w:val="0"/>
                  <w:vAlign w:val="center"/>
                </w:tcPr>
                <w:p w14:paraId="6D965AB1">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0.304</w:t>
                  </w:r>
                </w:p>
              </w:tc>
            </w:tr>
            <w:tr w14:paraId="47855A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1AF7AB08">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铜保护剂</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（工作液）</w:t>
                  </w:r>
                </w:p>
              </w:tc>
              <w:tc>
                <w:tcPr>
                  <w:tcW w:w="1128" w:type="pct"/>
                  <w:tcBorders>
                    <w:tl2br w:val="nil"/>
                    <w:tr2bl w:val="nil"/>
                  </w:tcBorders>
                  <w:noWrap w:val="0"/>
                  <w:vAlign w:val="center"/>
                </w:tcPr>
                <w:p w14:paraId="58D669F4">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1.296</w:t>
                  </w:r>
                </w:p>
              </w:tc>
              <w:tc>
                <w:tcPr>
                  <w:tcW w:w="376" w:type="pct"/>
                  <w:vMerge w:val="continue"/>
                  <w:tcBorders>
                    <w:tl2br w:val="nil"/>
                    <w:tr2bl w:val="nil"/>
                  </w:tcBorders>
                  <w:noWrap w:val="0"/>
                  <w:vAlign w:val="center"/>
                </w:tcPr>
                <w:p w14:paraId="63E96C17">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noWrap w:val="0"/>
                  <w:vAlign w:val="center"/>
                </w:tcPr>
                <w:p w14:paraId="3131D541">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硫酸雾</w:t>
                  </w:r>
                </w:p>
              </w:tc>
              <w:tc>
                <w:tcPr>
                  <w:tcW w:w="950" w:type="pct"/>
                  <w:tcBorders>
                    <w:tl2br w:val="nil"/>
                    <w:tr2bl w:val="nil"/>
                  </w:tcBorders>
                  <w:noWrap w:val="0"/>
                  <w:vAlign w:val="center"/>
                </w:tcPr>
                <w:p w14:paraId="05D2C955">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0.15</w:t>
                  </w:r>
                </w:p>
              </w:tc>
            </w:tr>
            <w:tr w14:paraId="74197A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714B72AE">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硫酸</w:t>
                  </w:r>
                </w:p>
              </w:tc>
              <w:tc>
                <w:tcPr>
                  <w:tcW w:w="1128" w:type="pct"/>
                  <w:tcBorders>
                    <w:tl2br w:val="nil"/>
                    <w:tr2bl w:val="nil"/>
                  </w:tcBorders>
                  <w:noWrap w:val="0"/>
                  <w:vAlign w:val="center"/>
                </w:tcPr>
                <w:p w14:paraId="5676498F">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2.484</w:t>
                  </w:r>
                </w:p>
              </w:tc>
              <w:tc>
                <w:tcPr>
                  <w:tcW w:w="376" w:type="pct"/>
                  <w:vMerge w:val="restart"/>
                  <w:tcBorders>
                    <w:tl2br w:val="nil"/>
                    <w:tr2bl w:val="nil"/>
                  </w:tcBorders>
                  <w:noWrap w:val="0"/>
                  <w:vAlign w:val="center"/>
                </w:tcPr>
                <w:p w14:paraId="1ADD6334">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废水</w:t>
                  </w:r>
                </w:p>
              </w:tc>
              <w:tc>
                <w:tcPr>
                  <w:tcW w:w="1421" w:type="pct"/>
                  <w:tcBorders>
                    <w:tl2br w:val="nil"/>
                    <w:tr2bl w:val="nil"/>
                  </w:tcBorders>
                  <w:shd w:val="clear" w:color="auto" w:fill="auto"/>
                  <w:noWrap w:val="0"/>
                  <w:vAlign w:val="center"/>
                </w:tcPr>
                <w:p w14:paraId="5DAB2DF5">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电解除油后喷淋废水</w:t>
                  </w:r>
                </w:p>
              </w:tc>
              <w:tc>
                <w:tcPr>
                  <w:tcW w:w="950" w:type="pct"/>
                  <w:tcBorders>
                    <w:tl2br w:val="nil"/>
                    <w:tr2bl w:val="nil"/>
                  </w:tcBorders>
                  <w:shd w:val="clear" w:color="auto" w:fill="auto"/>
                  <w:noWrap w:val="0"/>
                  <w:vAlign w:val="center"/>
                </w:tcPr>
                <w:p w14:paraId="6425E4ED">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48</w:t>
                  </w:r>
                </w:p>
              </w:tc>
            </w:tr>
            <w:tr w14:paraId="383C9A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7CB91BC4">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清洗线用水</w:t>
                  </w:r>
                </w:p>
              </w:tc>
              <w:tc>
                <w:tcPr>
                  <w:tcW w:w="1128" w:type="pct"/>
                  <w:tcBorders>
                    <w:tl2br w:val="nil"/>
                    <w:tr2bl w:val="nil"/>
                  </w:tcBorders>
                  <w:noWrap w:val="0"/>
                  <w:vAlign w:val="center"/>
                </w:tcPr>
                <w:p w14:paraId="5B792E0F">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309</w:t>
                  </w:r>
                </w:p>
              </w:tc>
              <w:tc>
                <w:tcPr>
                  <w:tcW w:w="376" w:type="pct"/>
                  <w:vMerge w:val="continue"/>
                  <w:tcBorders>
                    <w:tl2br w:val="nil"/>
                    <w:tr2bl w:val="nil"/>
                  </w:tcBorders>
                  <w:noWrap w:val="0"/>
                  <w:vAlign w:val="center"/>
                </w:tcPr>
                <w:p w14:paraId="2A117C89">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shd w:val="clear" w:color="auto" w:fill="auto"/>
                  <w:noWrap w:val="0"/>
                  <w:vAlign w:val="center"/>
                </w:tcPr>
                <w:p w14:paraId="430DF2A9">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酸洗后喷淋废水</w:t>
                  </w:r>
                </w:p>
              </w:tc>
              <w:tc>
                <w:tcPr>
                  <w:tcW w:w="950" w:type="pct"/>
                  <w:tcBorders>
                    <w:tl2br w:val="nil"/>
                    <w:tr2bl w:val="nil"/>
                  </w:tcBorders>
                  <w:shd w:val="clear" w:color="auto" w:fill="auto"/>
                  <w:noWrap w:val="0"/>
                  <w:vAlign w:val="center"/>
                </w:tcPr>
                <w:p w14:paraId="671396C1">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72</w:t>
                  </w:r>
                </w:p>
              </w:tc>
            </w:tr>
            <w:tr w14:paraId="1CDDC7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10667269">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4A1455F9">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131E1A29">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shd w:val="clear" w:color="auto" w:fill="auto"/>
                  <w:noWrap w:val="0"/>
                  <w:vAlign w:val="center"/>
                </w:tcPr>
                <w:p w14:paraId="50DA8653">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铜保护后喷淋废水</w:t>
                  </w:r>
                </w:p>
              </w:tc>
              <w:tc>
                <w:tcPr>
                  <w:tcW w:w="950" w:type="pct"/>
                  <w:tcBorders>
                    <w:tl2br w:val="nil"/>
                    <w:tr2bl w:val="nil"/>
                  </w:tcBorders>
                  <w:shd w:val="clear" w:color="auto" w:fill="auto"/>
                  <w:noWrap w:val="0"/>
                  <w:vAlign w:val="center"/>
                </w:tcPr>
                <w:p w14:paraId="4F4FD594">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48</w:t>
                  </w:r>
                </w:p>
              </w:tc>
            </w:tr>
            <w:tr w14:paraId="09B456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23525A1A">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7D4745A5">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4A79FDF3">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shd w:val="clear" w:color="auto" w:fill="auto"/>
                  <w:noWrap w:val="0"/>
                  <w:vAlign w:val="center"/>
                </w:tcPr>
                <w:p w14:paraId="316FD9E6">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纯水系统反冲洗水</w:t>
                  </w:r>
                </w:p>
              </w:tc>
              <w:tc>
                <w:tcPr>
                  <w:tcW w:w="950" w:type="pct"/>
                  <w:tcBorders>
                    <w:tl2br w:val="nil"/>
                    <w:tr2bl w:val="nil"/>
                  </w:tcBorders>
                  <w:shd w:val="clear" w:color="auto" w:fill="auto"/>
                  <w:noWrap w:val="0"/>
                  <w:vAlign w:val="center"/>
                </w:tcPr>
                <w:p w14:paraId="296820F2">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w:t>
                  </w:r>
                </w:p>
              </w:tc>
            </w:tr>
            <w:tr w14:paraId="2E5DFB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0F9587F4">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123B14F8">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1D20221E">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shd w:val="clear" w:color="auto" w:fill="auto"/>
                  <w:noWrap w:val="0"/>
                  <w:vAlign w:val="center"/>
                </w:tcPr>
                <w:p w14:paraId="00F5A245">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纯水制备浓水</w:t>
                  </w:r>
                </w:p>
              </w:tc>
              <w:tc>
                <w:tcPr>
                  <w:tcW w:w="950" w:type="pct"/>
                  <w:tcBorders>
                    <w:tl2br w:val="nil"/>
                    <w:tr2bl w:val="nil"/>
                  </w:tcBorders>
                  <w:shd w:val="clear" w:color="auto" w:fill="auto"/>
                  <w:noWrap w:val="0"/>
                  <w:vAlign w:val="center"/>
                </w:tcPr>
                <w:p w14:paraId="4C59B3FB">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12</w:t>
                  </w:r>
                </w:p>
              </w:tc>
            </w:tr>
            <w:tr w14:paraId="782F63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0167D118">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0876C2FF">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restart"/>
                  <w:tcBorders>
                    <w:tl2br w:val="nil"/>
                    <w:tr2bl w:val="nil"/>
                  </w:tcBorders>
                  <w:noWrap w:val="0"/>
                  <w:vAlign w:val="center"/>
                </w:tcPr>
                <w:p w14:paraId="6B1BCE42">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固废</w:t>
                  </w:r>
                </w:p>
              </w:tc>
              <w:tc>
                <w:tcPr>
                  <w:tcW w:w="1421" w:type="pct"/>
                  <w:tcBorders>
                    <w:tl2br w:val="nil"/>
                    <w:tr2bl w:val="nil"/>
                  </w:tcBorders>
                  <w:shd w:val="clear" w:color="auto" w:fill="auto"/>
                  <w:noWrap w:val="0"/>
                  <w:vAlign w:val="center"/>
                </w:tcPr>
                <w:p w14:paraId="18243F89">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电解除油废液</w:t>
                  </w:r>
                </w:p>
              </w:tc>
              <w:tc>
                <w:tcPr>
                  <w:tcW w:w="950" w:type="pct"/>
                  <w:tcBorders>
                    <w:tl2br w:val="nil"/>
                    <w:tr2bl w:val="nil"/>
                  </w:tcBorders>
                  <w:shd w:val="clear" w:color="auto" w:fill="auto"/>
                  <w:noWrap w:val="0"/>
                  <w:vAlign w:val="center"/>
                </w:tcPr>
                <w:p w14:paraId="59BFAD24">
                  <w:pPr>
                    <w:pStyle w:val="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19.8</w:t>
                  </w:r>
                </w:p>
              </w:tc>
            </w:tr>
            <w:tr w14:paraId="089BED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546682DE">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19D62966">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66EDF755">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noWrap w:val="0"/>
                  <w:vAlign w:val="center"/>
                </w:tcPr>
                <w:p w14:paraId="5BB1C3E2">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酸洗废液</w:t>
                  </w:r>
                </w:p>
              </w:tc>
              <w:tc>
                <w:tcPr>
                  <w:tcW w:w="950" w:type="pct"/>
                  <w:tcBorders>
                    <w:tl2br w:val="nil"/>
                    <w:tr2bl w:val="nil"/>
                  </w:tcBorders>
                  <w:noWrap w:val="0"/>
                  <w:vAlign w:val="center"/>
                </w:tcPr>
                <w:p w14:paraId="49B4D39B">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6.8</w:t>
                  </w:r>
                </w:p>
              </w:tc>
            </w:tr>
            <w:tr w14:paraId="09CC95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29CA503F">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5C13CF0D">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2220C705">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noWrap w:val="0"/>
                  <w:vAlign w:val="center"/>
                </w:tcPr>
                <w:p w14:paraId="71D91542">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铜保护废液</w:t>
                  </w:r>
                </w:p>
              </w:tc>
              <w:tc>
                <w:tcPr>
                  <w:tcW w:w="950" w:type="pct"/>
                  <w:tcBorders>
                    <w:tl2br w:val="nil"/>
                    <w:tr2bl w:val="nil"/>
                  </w:tcBorders>
                  <w:noWrap w:val="0"/>
                  <w:vAlign w:val="center"/>
                </w:tcPr>
                <w:p w14:paraId="605F97B3">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17.28</w:t>
                  </w:r>
                </w:p>
              </w:tc>
            </w:tr>
            <w:tr w14:paraId="3BD1C9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0A7EB0BE">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70F94A17">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0608D39A">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noWrap w:val="0"/>
                  <w:vAlign w:val="center"/>
                </w:tcPr>
                <w:p w14:paraId="58774FA3">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废边角料</w:t>
                  </w:r>
                </w:p>
              </w:tc>
              <w:tc>
                <w:tcPr>
                  <w:tcW w:w="950" w:type="pct"/>
                  <w:tcBorders>
                    <w:tl2br w:val="nil"/>
                    <w:tr2bl w:val="nil"/>
                  </w:tcBorders>
                  <w:shd w:val="clear" w:color="auto" w:fill="auto"/>
                  <w:noWrap w:val="0"/>
                  <w:vAlign w:val="center"/>
                </w:tcPr>
                <w:p w14:paraId="7F6B302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r>
            <w:tr w14:paraId="18427A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09C97C0F">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4F1788D7">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76" w:type="pct"/>
                  <w:vMerge w:val="continue"/>
                  <w:tcBorders>
                    <w:tl2br w:val="nil"/>
                    <w:tr2bl w:val="nil"/>
                  </w:tcBorders>
                  <w:noWrap w:val="0"/>
                  <w:vAlign w:val="center"/>
                </w:tcPr>
                <w:p w14:paraId="532A2283">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21" w:type="pct"/>
                  <w:tcBorders>
                    <w:tl2br w:val="nil"/>
                    <w:tr2bl w:val="nil"/>
                  </w:tcBorders>
                  <w:noWrap w:val="0"/>
                  <w:vAlign w:val="center"/>
                </w:tcPr>
                <w:p w14:paraId="7453595B">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不合格品</w:t>
                  </w:r>
                </w:p>
              </w:tc>
              <w:tc>
                <w:tcPr>
                  <w:tcW w:w="950" w:type="pct"/>
                  <w:tcBorders>
                    <w:tl2br w:val="nil"/>
                    <w:tr2bl w:val="nil"/>
                  </w:tcBorders>
                  <w:shd w:val="clear" w:color="auto" w:fill="auto"/>
                  <w:noWrap w:val="0"/>
                  <w:vAlign w:val="center"/>
                </w:tcPr>
                <w:p w14:paraId="6E32DC50">
                  <w:pPr>
                    <w:keepNext w:val="0"/>
                    <w:keepLines w:val="0"/>
                    <w:widowControl/>
                    <w:suppressLineNumbers w:val="0"/>
                    <w:jc w:val="center"/>
                    <w:textAlignment w:val="center"/>
                    <w:rPr>
                      <w:rFonts w:hint="default" w:ascii="宋体" w:hAnsi="宋体" w:eastAsia="宋体" w:cs="宋体"/>
                      <w:i w:val="0"/>
                      <w:iCs w:val="0"/>
                      <w:color w:val="000000" w:themeColor="text1"/>
                      <w:kern w:val="2"/>
                      <w:sz w:val="22"/>
                      <w:szCs w:val="22"/>
                      <w:u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1</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9.426</w:t>
                  </w:r>
                </w:p>
              </w:tc>
            </w:tr>
            <w:tr w14:paraId="450B61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45FB8598">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p>
              </w:tc>
              <w:tc>
                <w:tcPr>
                  <w:tcW w:w="1128" w:type="pct"/>
                  <w:tcBorders>
                    <w:tl2br w:val="nil"/>
                    <w:tr2bl w:val="nil"/>
                  </w:tcBorders>
                  <w:noWrap w:val="0"/>
                  <w:vAlign w:val="center"/>
                </w:tcPr>
                <w:p w14:paraId="37E04218">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797" w:type="pct"/>
                  <w:gridSpan w:val="2"/>
                  <w:tcBorders>
                    <w:tl2br w:val="nil"/>
                    <w:tr2bl w:val="nil"/>
                  </w:tcBorders>
                  <w:noWrap w:val="0"/>
                  <w:vAlign w:val="center"/>
                </w:tcPr>
                <w:p w14:paraId="7236FE38">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清洗线水分损耗</w:t>
                  </w:r>
                </w:p>
              </w:tc>
              <w:tc>
                <w:tcPr>
                  <w:tcW w:w="950" w:type="pct"/>
                  <w:tcBorders>
                    <w:tl2br w:val="nil"/>
                    <w:tr2bl w:val="nil"/>
                  </w:tcBorders>
                  <w:noWrap w:val="0"/>
                  <w:vAlign w:val="center"/>
                </w:tcPr>
                <w:p w14:paraId="08DF886D">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52.22</w:t>
                  </w:r>
                </w:p>
              </w:tc>
            </w:tr>
            <w:tr w14:paraId="669117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3" w:type="pct"/>
                  <w:tcBorders>
                    <w:tl2br w:val="nil"/>
                    <w:tr2bl w:val="nil"/>
                  </w:tcBorders>
                  <w:shd w:val="clear" w:color="auto" w:fill="auto"/>
                  <w:noWrap w:val="0"/>
                  <w:vAlign w:val="center"/>
                </w:tcPr>
                <w:p w14:paraId="707EFD39">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合计</w:t>
                  </w:r>
                </w:p>
              </w:tc>
              <w:tc>
                <w:tcPr>
                  <w:tcW w:w="1128" w:type="pct"/>
                  <w:tcBorders>
                    <w:tl2br w:val="nil"/>
                    <w:tr2bl w:val="nil"/>
                  </w:tcBorders>
                  <w:noWrap w:val="0"/>
                  <w:vAlign w:val="center"/>
                </w:tcPr>
                <w:p w14:paraId="5EEC8495">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1819.78</w:t>
                  </w:r>
                </w:p>
              </w:tc>
              <w:tc>
                <w:tcPr>
                  <w:tcW w:w="1797" w:type="pct"/>
                  <w:gridSpan w:val="2"/>
                  <w:tcBorders>
                    <w:tl2br w:val="nil"/>
                    <w:tr2bl w:val="nil"/>
                  </w:tcBorders>
                  <w:noWrap w:val="0"/>
                  <w:vAlign w:val="center"/>
                </w:tcPr>
                <w:p w14:paraId="0F6B0604">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合计</w:t>
                  </w:r>
                </w:p>
              </w:tc>
              <w:tc>
                <w:tcPr>
                  <w:tcW w:w="950" w:type="pct"/>
                  <w:tcBorders>
                    <w:tl2br w:val="nil"/>
                    <w:tr2bl w:val="nil"/>
                  </w:tcBorders>
                  <w:noWrap w:val="0"/>
                  <w:vAlign w:val="center"/>
                </w:tcPr>
                <w:p w14:paraId="69BFCA32">
                  <w:pPr>
                    <w:pStyle w:val="5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1819.78</w:t>
                  </w:r>
                </w:p>
              </w:tc>
            </w:tr>
          </w:tbl>
          <w:p w14:paraId="172071AC">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VOCs平衡</w:t>
            </w:r>
          </w:p>
          <w:p w14:paraId="71241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11</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lang w:val="en-US" w:eastAsia="zh-CN"/>
                <w14:textFill>
                  <w14:solidFill>
                    <w14:schemeClr w14:val="tx1"/>
                  </w14:solidFill>
                </w14:textFill>
              </w:rPr>
              <w:t>VOCs</w:t>
            </w:r>
            <w:r>
              <w:rPr>
                <w:rFonts w:hint="eastAsia" w:ascii="Times New Roman" w:hAnsi="Times New Roman" w:eastAsia="宋体" w:cs="Times New Roman"/>
                <w:b/>
                <w:color w:val="000000" w:themeColor="text1"/>
                <w:sz w:val="24"/>
                <w:lang w:val="en-US" w:eastAsia="zh-CN"/>
                <w14:textFill>
                  <w14:solidFill>
                    <w14:schemeClr w14:val="tx1"/>
                  </w14:solidFill>
                </w14:textFill>
              </w:rPr>
              <w:t>平衡</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39"/>
              <w:gridCol w:w="1947"/>
              <w:gridCol w:w="649"/>
              <w:gridCol w:w="2452"/>
              <w:gridCol w:w="1640"/>
            </w:tblGrid>
            <w:tr w14:paraId="054961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52" w:type="pct"/>
                  <w:gridSpan w:val="2"/>
                  <w:tcBorders>
                    <w:tl2br w:val="nil"/>
                    <w:tr2bl w:val="nil"/>
                  </w:tcBorders>
                  <w:noWrap w:val="0"/>
                  <w:vAlign w:val="center"/>
                </w:tcPr>
                <w:p w14:paraId="2FA18D3D">
                  <w:pPr>
                    <w:pStyle w:val="52"/>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投入（t/a）</w:t>
                  </w:r>
                </w:p>
              </w:tc>
              <w:tc>
                <w:tcPr>
                  <w:tcW w:w="2747" w:type="pct"/>
                  <w:gridSpan w:val="3"/>
                  <w:tcBorders>
                    <w:tl2br w:val="nil"/>
                    <w:tr2bl w:val="nil"/>
                  </w:tcBorders>
                  <w:noWrap w:val="0"/>
                  <w:vAlign w:val="center"/>
                </w:tcPr>
                <w:p w14:paraId="6C94DFCF">
                  <w:pPr>
                    <w:pStyle w:val="52"/>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产出（t/a）</w:t>
                  </w:r>
                </w:p>
              </w:tc>
            </w:tr>
            <w:tr w14:paraId="305117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4" w:type="pct"/>
                  <w:tcBorders>
                    <w:tl2br w:val="nil"/>
                    <w:tr2bl w:val="nil"/>
                  </w:tcBorders>
                  <w:shd w:val="clear" w:color="auto" w:fill="auto"/>
                  <w:noWrap w:val="0"/>
                  <w:vAlign w:val="center"/>
                </w:tcPr>
                <w:p w14:paraId="4FDF06BA">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铜保护剂</w:t>
                  </w:r>
                </w:p>
              </w:tc>
              <w:tc>
                <w:tcPr>
                  <w:tcW w:w="1128" w:type="pct"/>
                  <w:tcBorders>
                    <w:tl2br w:val="nil"/>
                    <w:tr2bl w:val="nil"/>
                  </w:tcBorders>
                  <w:shd w:val="clear" w:color="auto" w:fill="auto"/>
                  <w:noWrap w:val="0"/>
                  <w:vAlign w:val="center"/>
                </w:tcPr>
                <w:p w14:paraId="4A6DC6A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1.35*0.225</w:t>
                  </w:r>
                </w:p>
              </w:tc>
              <w:tc>
                <w:tcPr>
                  <w:tcW w:w="376" w:type="pct"/>
                  <w:tcBorders>
                    <w:tl2br w:val="nil"/>
                    <w:tr2bl w:val="nil"/>
                  </w:tcBorders>
                  <w:noWrap w:val="0"/>
                  <w:vAlign w:val="center"/>
                </w:tcPr>
                <w:p w14:paraId="415E662E">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w:t>
                  </w:r>
                </w:p>
              </w:tc>
              <w:tc>
                <w:tcPr>
                  <w:tcW w:w="1421" w:type="pct"/>
                  <w:tcBorders>
                    <w:tl2br w:val="nil"/>
                    <w:tr2bl w:val="nil"/>
                  </w:tcBorders>
                  <w:noWrap w:val="0"/>
                  <w:vAlign w:val="center"/>
                </w:tcPr>
                <w:p w14:paraId="260ABB88">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VOCs（以非甲烷总烃计）</w:t>
                  </w:r>
                </w:p>
              </w:tc>
              <w:tc>
                <w:tcPr>
                  <w:tcW w:w="950" w:type="pct"/>
                  <w:tcBorders>
                    <w:tl2br w:val="nil"/>
                    <w:tr2bl w:val="nil"/>
                  </w:tcBorders>
                  <w:noWrap w:val="0"/>
                  <w:vAlign w:val="center"/>
                </w:tcPr>
                <w:p w14:paraId="1B7EC354">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0.044</w:t>
                  </w:r>
                </w:p>
              </w:tc>
            </w:tr>
            <w:tr w14:paraId="005A3E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4" w:type="pct"/>
                  <w:tcBorders>
                    <w:tl2br w:val="nil"/>
                    <w:tr2bl w:val="nil"/>
                  </w:tcBorders>
                  <w:shd w:val="clear" w:color="auto" w:fill="auto"/>
                  <w:noWrap w:val="0"/>
                  <w:vAlign w:val="center"/>
                </w:tcPr>
                <w:p w14:paraId="6F733822">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28" w:type="pct"/>
                  <w:tcBorders>
                    <w:tl2br w:val="nil"/>
                    <w:tr2bl w:val="nil"/>
                  </w:tcBorders>
                  <w:noWrap w:val="0"/>
                  <w:vAlign w:val="center"/>
                </w:tcPr>
                <w:p w14:paraId="4C38C18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76" w:type="pct"/>
                  <w:tcBorders>
                    <w:tl2br w:val="nil"/>
                    <w:tr2bl w:val="nil"/>
                  </w:tcBorders>
                  <w:noWrap w:val="0"/>
                  <w:vAlign w:val="center"/>
                </w:tcPr>
                <w:p w14:paraId="2CF9F69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固废</w:t>
                  </w:r>
                </w:p>
              </w:tc>
              <w:tc>
                <w:tcPr>
                  <w:tcW w:w="1421" w:type="pct"/>
                  <w:tcBorders>
                    <w:tl2br w:val="nil"/>
                    <w:tr2bl w:val="nil"/>
                  </w:tcBorders>
                  <w:shd w:val="clear" w:color="auto" w:fill="auto"/>
                  <w:noWrap w:val="0"/>
                  <w:vAlign w:val="center"/>
                </w:tcPr>
                <w:p w14:paraId="3B675190">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进入活性炭</w:t>
                  </w:r>
                </w:p>
              </w:tc>
              <w:tc>
                <w:tcPr>
                  <w:tcW w:w="950" w:type="pct"/>
                  <w:tcBorders>
                    <w:tl2br w:val="nil"/>
                    <w:tr2bl w:val="nil"/>
                  </w:tcBorders>
                  <w:shd w:val="clear" w:color="auto" w:fill="auto"/>
                  <w:noWrap w:val="0"/>
                  <w:vAlign w:val="center"/>
                </w:tcPr>
                <w:p w14:paraId="6DD262E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0.260</w:t>
                  </w:r>
                </w:p>
              </w:tc>
            </w:tr>
            <w:tr w14:paraId="12F3A7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4" w:type="pct"/>
                  <w:tcBorders>
                    <w:tl2br w:val="nil"/>
                    <w:tr2bl w:val="nil"/>
                  </w:tcBorders>
                  <w:shd w:val="clear" w:color="auto" w:fill="auto"/>
                  <w:noWrap w:val="0"/>
                  <w:vAlign w:val="center"/>
                </w:tcPr>
                <w:p w14:paraId="4AD19331">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合计</w:t>
                  </w:r>
                </w:p>
              </w:tc>
              <w:tc>
                <w:tcPr>
                  <w:tcW w:w="1128" w:type="pct"/>
                  <w:tcBorders>
                    <w:tl2br w:val="nil"/>
                    <w:tr2bl w:val="nil"/>
                  </w:tcBorders>
                  <w:noWrap w:val="0"/>
                  <w:vAlign w:val="center"/>
                </w:tcPr>
                <w:p w14:paraId="36F89D40">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0.304</w:t>
                  </w:r>
                </w:p>
              </w:tc>
              <w:tc>
                <w:tcPr>
                  <w:tcW w:w="1797" w:type="pct"/>
                  <w:gridSpan w:val="2"/>
                  <w:tcBorders>
                    <w:tl2br w:val="nil"/>
                    <w:tr2bl w:val="nil"/>
                  </w:tcBorders>
                  <w:noWrap w:val="0"/>
                  <w:vAlign w:val="center"/>
                </w:tcPr>
                <w:p w14:paraId="1FB94F9E">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合计</w:t>
                  </w:r>
                </w:p>
              </w:tc>
              <w:tc>
                <w:tcPr>
                  <w:tcW w:w="950" w:type="pct"/>
                  <w:tcBorders>
                    <w:tl2br w:val="nil"/>
                    <w:tr2bl w:val="nil"/>
                  </w:tcBorders>
                  <w:noWrap w:val="0"/>
                  <w:vAlign w:val="center"/>
                </w:tcPr>
                <w:p w14:paraId="223D4460">
                  <w:pPr>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0.304</w:t>
                  </w:r>
                </w:p>
              </w:tc>
            </w:tr>
          </w:tbl>
          <w:p w14:paraId="13D3F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注：根据企业提供的铜保护剂MSDS及VOCs检测报告，其工作液VOC含量为90~225g/L（本项目取最高值225g/L），则VOCs产生量为0.304t/a。</w:t>
            </w:r>
          </w:p>
          <w:p w14:paraId="21D1D217">
            <w:pPr>
              <w:numPr>
                <w:ilvl w:val="0"/>
                <w:numId w:val="0"/>
              </w:numPr>
              <w:spacing w:line="360" w:lineRule="auto"/>
              <w:ind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（3）铜平衡</w:t>
            </w:r>
          </w:p>
          <w:p w14:paraId="7176A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12  铜平衡</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39"/>
              <w:gridCol w:w="1947"/>
              <w:gridCol w:w="3101"/>
              <w:gridCol w:w="1640"/>
            </w:tblGrid>
            <w:tr w14:paraId="38F03C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52" w:type="pct"/>
                  <w:gridSpan w:val="2"/>
                  <w:tcBorders>
                    <w:tl2br w:val="nil"/>
                    <w:tr2bl w:val="nil"/>
                  </w:tcBorders>
                  <w:noWrap w:val="0"/>
                  <w:vAlign w:val="center"/>
                </w:tcPr>
                <w:p w14:paraId="179D325A">
                  <w:pPr>
                    <w:pStyle w:val="52"/>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投入（t/a）</w:t>
                  </w:r>
                </w:p>
              </w:tc>
              <w:tc>
                <w:tcPr>
                  <w:tcW w:w="2747" w:type="pct"/>
                  <w:gridSpan w:val="2"/>
                  <w:tcBorders>
                    <w:tl2br w:val="nil"/>
                    <w:tr2bl w:val="nil"/>
                  </w:tcBorders>
                  <w:noWrap w:val="0"/>
                  <w:vAlign w:val="center"/>
                </w:tcPr>
                <w:p w14:paraId="78FE071F">
                  <w:pPr>
                    <w:pStyle w:val="52"/>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产出（t/a）</w:t>
                  </w:r>
                </w:p>
              </w:tc>
            </w:tr>
            <w:tr w14:paraId="5484E8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2" w:hRule="atLeast"/>
                <w:jc w:val="center"/>
              </w:trPr>
              <w:tc>
                <w:tcPr>
                  <w:tcW w:w="1124" w:type="pct"/>
                  <w:tcBorders>
                    <w:tl2br w:val="nil"/>
                    <w:tr2bl w:val="nil"/>
                  </w:tcBorders>
                  <w:shd w:val="clear" w:color="auto" w:fill="auto"/>
                  <w:noWrap w:val="0"/>
                  <w:vAlign w:val="center"/>
                </w:tcPr>
                <w:p w14:paraId="435485B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铜带</w:t>
                  </w:r>
                </w:p>
              </w:tc>
              <w:tc>
                <w:tcPr>
                  <w:tcW w:w="1128" w:type="pct"/>
                  <w:tcBorders>
                    <w:tl2br w:val="nil"/>
                    <w:tr2bl w:val="nil"/>
                  </w:tcBorders>
                  <w:shd w:val="clear" w:color="auto" w:fill="auto"/>
                  <w:noWrap w:val="0"/>
                  <w:vAlign w:val="center"/>
                </w:tcPr>
                <w:p w14:paraId="708D3571">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1540*99.3675%</w:t>
                  </w:r>
                </w:p>
              </w:tc>
              <w:tc>
                <w:tcPr>
                  <w:tcW w:w="1797" w:type="pct"/>
                  <w:tcBorders>
                    <w:tl2br w:val="nil"/>
                    <w:tr2bl w:val="nil"/>
                  </w:tcBorders>
                  <w:noWrap w:val="0"/>
                  <w:vAlign w:val="center"/>
                </w:tcPr>
                <w:p w14:paraId="5DD04D7A">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产品</w:t>
                  </w:r>
                </w:p>
              </w:tc>
              <w:tc>
                <w:tcPr>
                  <w:tcW w:w="950" w:type="pct"/>
                  <w:tcBorders>
                    <w:tl2br w:val="nil"/>
                    <w:tr2bl w:val="nil"/>
                  </w:tcBorders>
                  <w:shd w:val="clear" w:color="auto" w:fill="auto"/>
                  <w:noWrap w:val="0"/>
                  <w:vAlign w:val="center"/>
                </w:tcPr>
                <w:p w14:paraId="106156B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1508.968</w:t>
                  </w:r>
                </w:p>
              </w:tc>
            </w:tr>
            <w:tr w14:paraId="7C9878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2" w:hRule="atLeast"/>
                <w:jc w:val="center"/>
              </w:trPr>
              <w:tc>
                <w:tcPr>
                  <w:tcW w:w="1124" w:type="pct"/>
                  <w:tcBorders>
                    <w:tl2br w:val="nil"/>
                    <w:tr2bl w:val="nil"/>
                  </w:tcBorders>
                  <w:shd w:val="clear" w:color="auto" w:fill="auto"/>
                  <w:noWrap w:val="0"/>
                  <w:vAlign w:val="center"/>
                </w:tcPr>
                <w:p w14:paraId="5B5A95B2">
                  <w:pPr>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28" w:type="pct"/>
                  <w:tcBorders>
                    <w:tl2br w:val="nil"/>
                    <w:tr2bl w:val="nil"/>
                  </w:tcBorders>
                  <w:shd w:val="clear" w:color="auto" w:fill="auto"/>
                  <w:noWrap w:val="0"/>
                  <w:vAlign w:val="center"/>
                </w:tcPr>
                <w:p w14:paraId="4E1994BC">
                  <w:pPr>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97" w:type="pct"/>
                  <w:tcBorders>
                    <w:tl2br w:val="nil"/>
                    <w:tr2bl w:val="nil"/>
                  </w:tcBorders>
                  <w:noWrap w:val="0"/>
                  <w:vAlign w:val="center"/>
                </w:tcPr>
                <w:p w14:paraId="1DE3A65D">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进入废水</w:t>
                  </w:r>
                </w:p>
              </w:tc>
              <w:tc>
                <w:tcPr>
                  <w:tcW w:w="950" w:type="pct"/>
                  <w:tcBorders>
                    <w:tl2br w:val="nil"/>
                    <w:tr2bl w:val="nil"/>
                  </w:tcBorders>
                  <w:shd w:val="clear" w:color="auto" w:fill="auto"/>
                  <w:noWrap w:val="0"/>
                  <w:vAlign w:val="center"/>
                </w:tcPr>
                <w:p w14:paraId="638E7210">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0.002</w:t>
                  </w:r>
                </w:p>
              </w:tc>
            </w:tr>
            <w:tr w14:paraId="7F48F8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4" w:type="pct"/>
                  <w:tcBorders>
                    <w:tl2br w:val="nil"/>
                    <w:tr2bl w:val="nil"/>
                  </w:tcBorders>
                  <w:shd w:val="clear" w:color="auto" w:fill="auto"/>
                  <w:noWrap w:val="0"/>
                  <w:vAlign w:val="center"/>
                </w:tcPr>
                <w:p w14:paraId="7FB4E7E4">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28" w:type="pct"/>
                  <w:tcBorders>
                    <w:tl2br w:val="nil"/>
                    <w:tr2bl w:val="nil"/>
                  </w:tcBorders>
                  <w:noWrap w:val="0"/>
                  <w:vAlign w:val="center"/>
                </w:tcPr>
                <w:p w14:paraId="2D471910">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97" w:type="pct"/>
                  <w:tcBorders>
                    <w:tl2br w:val="nil"/>
                    <w:tr2bl w:val="nil"/>
                  </w:tcBorders>
                  <w:noWrap w:val="0"/>
                  <w:vAlign w:val="center"/>
                </w:tcPr>
                <w:p w14:paraId="4FE1292D">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进入固废</w:t>
                  </w:r>
                </w:p>
              </w:tc>
              <w:tc>
                <w:tcPr>
                  <w:tcW w:w="950" w:type="pct"/>
                  <w:tcBorders>
                    <w:tl2br w:val="nil"/>
                    <w:tr2bl w:val="nil"/>
                  </w:tcBorders>
                  <w:shd w:val="clear" w:color="auto" w:fill="auto"/>
                  <w:noWrap w:val="0"/>
                  <w:vAlign w:val="center"/>
                </w:tcPr>
                <w:p w14:paraId="4886FE03">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21.290</w:t>
                  </w:r>
                </w:p>
              </w:tc>
            </w:tr>
            <w:tr w14:paraId="227515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4" w:type="pct"/>
                  <w:tcBorders>
                    <w:tl2br w:val="nil"/>
                    <w:tr2bl w:val="nil"/>
                  </w:tcBorders>
                  <w:shd w:val="clear" w:color="auto" w:fill="auto"/>
                  <w:noWrap w:val="0"/>
                  <w:vAlign w:val="center"/>
                </w:tcPr>
                <w:p w14:paraId="10A4FBD8">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合计</w:t>
                  </w:r>
                </w:p>
              </w:tc>
              <w:tc>
                <w:tcPr>
                  <w:tcW w:w="1128" w:type="pct"/>
                  <w:tcBorders>
                    <w:tl2br w:val="nil"/>
                    <w:tr2bl w:val="nil"/>
                  </w:tcBorders>
                  <w:shd w:val="clear" w:color="auto" w:fill="auto"/>
                  <w:noWrap w:val="0"/>
                  <w:vAlign w:val="center"/>
                </w:tcPr>
                <w:p w14:paraId="4F7C0602">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260</w:t>
                  </w:r>
                </w:p>
              </w:tc>
              <w:tc>
                <w:tcPr>
                  <w:tcW w:w="1797" w:type="pct"/>
                  <w:tcBorders>
                    <w:tl2br w:val="nil"/>
                    <w:tr2bl w:val="nil"/>
                  </w:tcBorders>
                  <w:noWrap w:val="0"/>
                  <w:vAlign w:val="center"/>
                </w:tcPr>
                <w:p w14:paraId="1E5A97A8">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合计</w:t>
                  </w:r>
                </w:p>
              </w:tc>
              <w:tc>
                <w:tcPr>
                  <w:tcW w:w="950" w:type="pct"/>
                  <w:tcBorders>
                    <w:tl2br w:val="nil"/>
                    <w:tr2bl w:val="nil"/>
                  </w:tcBorders>
                  <w:noWrap w:val="0"/>
                  <w:vAlign w:val="center"/>
                </w:tcPr>
                <w:p w14:paraId="7F5CB4C0">
                  <w:pPr>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260</w:t>
                  </w:r>
                </w:p>
              </w:tc>
            </w:tr>
          </w:tbl>
          <w:p w14:paraId="021709A6">
            <w:pPr>
              <w:numPr>
                <w:ilvl w:val="0"/>
                <w:numId w:val="0"/>
              </w:num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注：本项目铜带铜含量为铜99.31%-99.425%，本项目取中间值99.3675%。</w:t>
            </w:r>
          </w:p>
          <w:p w14:paraId="6080DC15">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8</w:t>
            </w:r>
            <w:r>
              <w:rPr>
                <w:rFonts w:hint="default" w:ascii="Times New Roman" w:hAnsi="Times New Roman" w:eastAsia="宋体" w:cs="Times New Roman"/>
                <w:b/>
                <w:color w:val="000000" w:themeColor="text1"/>
                <w:sz w:val="24"/>
                <w14:textFill>
                  <w14:solidFill>
                    <w14:schemeClr w14:val="tx1"/>
                  </w14:solidFill>
                </w14:textFill>
              </w:rPr>
              <w:t>、项目周边概况及车间平面布置</w:t>
            </w:r>
          </w:p>
          <w:p w14:paraId="5F874DA8">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①项目周边概况</w:t>
            </w:r>
          </w:p>
          <w:p w14:paraId="24F033A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建设项目位于</w:t>
            </w:r>
            <w:r>
              <w:rPr>
                <w:rFonts w:hint="eastAsia" w:ascii="Times New Roman" w:hAnsi="Times New Roman" w:eastAsia="宋体" w:cs="Times New Roman"/>
                <w:color w:val="000000" w:themeColor="text1"/>
                <w:sz w:val="24"/>
                <w:lang w:eastAsia="zh-CN"/>
                <w14:textFill>
                  <w14:solidFill>
                    <w14:schemeClr w14:val="tx1"/>
                  </w14:solidFill>
                </w14:textFill>
              </w:rPr>
              <w:t>常州市江苏省金坛经济开发区晨风路900号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位于联东U谷金坛科技产业园内</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项目所在厂房</w:t>
            </w:r>
            <w:r>
              <w:rPr>
                <w:rFonts w:hint="default" w:ascii="Times New Roman" w:hAnsi="Times New Roman" w:eastAsia="宋体" w:cs="Times New Roman"/>
                <w:color w:val="000000" w:themeColor="text1"/>
                <w:sz w:val="24"/>
                <w:lang w:val="en-US" w:eastAsia="zh-CN"/>
                <w14:textFill>
                  <w14:solidFill>
                    <w14:schemeClr w14:val="tx1"/>
                  </w14:solidFill>
                </w14:textFill>
              </w:rPr>
              <w:t>东侧</w:t>
            </w:r>
            <w:r>
              <w:rPr>
                <w:rFonts w:hint="eastAsia" w:ascii="Times New Roman" w:hAnsi="Times New Roman" w:eastAsia="宋体" w:cs="Times New Roman"/>
                <w:color w:val="000000" w:themeColor="text1"/>
                <w:sz w:val="24"/>
                <w:lang w:val="en-US" w:eastAsia="zh-CN"/>
                <w14:textFill>
                  <w14:solidFill>
                    <w14:schemeClr w14:val="tx1"/>
                  </w14:solidFill>
                </w14:textFill>
              </w:rPr>
              <w:t>、西侧均</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园区内已建厂房</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南侧为</w:t>
            </w:r>
            <w:r>
              <w:rPr>
                <w:rFonts w:hint="default" w:ascii="Times New Roman" w:hAnsi="Times New Roman" w:eastAsia="宋体" w:cs="Times New Roman"/>
                <w:color w:val="000000" w:themeColor="text1"/>
                <w:sz w:val="24"/>
                <w:lang w:val="en-US" w:eastAsia="zh-CN"/>
                <w14:textFill>
                  <w14:solidFill>
                    <w14:schemeClr w14:val="tx1"/>
                  </w14:solidFill>
                </w14:textFill>
              </w:rPr>
              <w:t>德润斯合金科技（江苏）有限公司</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北侧为</w:t>
            </w:r>
            <w:r>
              <w:rPr>
                <w:rFonts w:hint="eastAsia" w:ascii="Times New Roman" w:hAnsi="Times New Roman" w:eastAsia="宋体" w:cs="Times New Roman"/>
                <w:color w:val="000000" w:themeColor="text1"/>
                <w:sz w:val="24"/>
                <w:lang w:val="en-US" w:eastAsia="zh-CN"/>
                <w14:textFill>
                  <w14:solidFill>
                    <w14:schemeClr w14:val="tx1"/>
                  </w14:solidFill>
                </w14:textFill>
              </w:rPr>
              <w:t>常州铭仁三维科技有限公司</w:t>
            </w:r>
            <w:r>
              <w:rPr>
                <w:rFonts w:hint="default" w:ascii="Times New Roman" w:hAnsi="Times New Roman" w:eastAsia="宋体" w:cs="Times New Roman"/>
                <w:color w:val="000000" w:themeColor="text1"/>
                <w:sz w:val="24"/>
                <w14:textFill>
                  <w14:solidFill>
                    <w14:schemeClr w14:val="tx1"/>
                  </w14:solidFill>
                </w14:textFill>
              </w:rPr>
              <w:t>。距离本项目最近的环境敏感保护目标为位于</w:t>
            </w:r>
            <w:r>
              <w:rPr>
                <w:rFonts w:hint="eastAsia" w:ascii="Times New Roman" w:hAnsi="Times New Roman" w:eastAsia="宋体" w:cs="Times New Roman"/>
                <w:color w:val="000000" w:themeColor="text1"/>
                <w:sz w:val="24"/>
                <w:lang w:val="en-US" w:eastAsia="zh-CN"/>
                <w14:textFill>
                  <w14:solidFill>
                    <w14:schemeClr w14:val="tx1"/>
                  </w14:solidFill>
                </w14:textFill>
              </w:rPr>
              <w:t>西北</w:t>
            </w:r>
            <w:r>
              <w:rPr>
                <w:rFonts w:hint="default" w:ascii="Times New Roman" w:hAnsi="Times New Roman" w:eastAsia="宋体" w:cs="Times New Roman"/>
                <w:color w:val="000000" w:themeColor="text1"/>
                <w:sz w:val="24"/>
                <w14:textFill>
                  <w14:solidFill>
                    <w14:schemeClr w14:val="tx1"/>
                  </w14:solidFill>
                </w14:textFill>
              </w:rPr>
              <w:t>侧</w:t>
            </w:r>
            <w:r>
              <w:rPr>
                <w:rFonts w:hint="eastAsia" w:ascii="Times New Roman" w:hAnsi="Times New Roman" w:eastAsia="宋体" w:cs="Times New Roman"/>
                <w:color w:val="000000" w:themeColor="text1"/>
                <w:sz w:val="24"/>
                <w:lang w:val="en-US" w:eastAsia="zh-CN"/>
                <w14:textFill>
                  <w14:solidFill>
                    <w14:schemeClr w14:val="tx1"/>
                  </w14:solidFill>
                </w14:textFill>
              </w:rPr>
              <w:t>226</w:t>
            </w:r>
            <w:r>
              <w:rPr>
                <w:rFonts w:hint="default" w:ascii="Times New Roman" w:hAnsi="Times New Roman" w:eastAsia="宋体" w:cs="Times New Roman"/>
                <w:color w:val="000000" w:themeColor="text1"/>
                <w:sz w:val="24"/>
                <w14:textFill>
                  <w14:solidFill>
                    <w14:schemeClr w14:val="tx1"/>
                  </w14:solidFill>
                </w14:textFill>
              </w:rPr>
              <w:t>m处的</w:t>
            </w:r>
            <w:r>
              <w:rPr>
                <w:rFonts w:hint="default" w:ascii="Times New Roman" w:hAnsi="Times New Roman" w:eastAsia="宋体" w:cs="Times New Roman"/>
                <w:color w:val="000000" w:themeColor="text1"/>
                <w:sz w:val="24"/>
                <w:lang w:val="en-US" w:eastAsia="zh-CN"/>
                <w14:textFill>
                  <w14:solidFill>
                    <w14:schemeClr w14:val="tx1"/>
                  </w14:solidFill>
                </w14:textFill>
              </w:rPr>
              <w:t>中塘村</w:t>
            </w:r>
            <w:r>
              <w:rPr>
                <w:rFonts w:hint="default" w:ascii="Times New Roman" w:hAnsi="Times New Roman" w:eastAsia="宋体" w:cs="Times New Roman"/>
                <w:color w:val="000000" w:themeColor="text1"/>
                <w:sz w:val="24"/>
                <w14:textFill>
                  <w14:solidFill>
                    <w14:schemeClr w14:val="tx1"/>
                  </w14:solidFill>
                </w14:textFill>
              </w:rPr>
              <w:t>。项目周边概况图详见附图2。</w:t>
            </w:r>
          </w:p>
          <w:p w14:paraId="2BF393EA">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②车间平面布置</w:t>
            </w:r>
          </w:p>
          <w:p w14:paraId="18E58AC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建设项目所在生产</w:t>
            </w:r>
            <w:r>
              <w:rPr>
                <w:rFonts w:hint="eastAsia" w:ascii="Times New Roman" w:hAnsi="Times New Roman" w:eastAsia="宋体" w:cs="Times New Roman"/>
                <w:color w:val="000000" w:themeColor="text1"/>
                <w:sz w:val="24"/>
                <w:lang w:val="en-US" w:eastAsia="zh-CN"/>
                <w14:textFill>
                  <w14:solidFill>
                    <w14:schemeClr w14:val="tx1"/>
                  </w14:solidFill>
                </w14:textFill>
              </w:rPr>
              <w:t>厂房共设置3层，</w:t>
            </w:r>
            <w:r>
              <w:rPr>
                <w:rFonts w:hint="default" w:ascii="Times New Roman" w:hAnsi="Times New Roman" w:eastAsia="宋体" w:cs="Times New Roman"/>
                <w:color w:val="000000" w:themeColor="text1"/>
                <w:sz w:val="24"/>
                <w14:textFill>
                  <w14:solidFill>
                    <w14:schemeClr w14:val="tx1"/>
                  </w14:solidFill>
                </w14:textFill>
              </w:rPr>
              <w:t>建筑面积</w:t>
            </w:r>
            <w:r>
              <w:rPr>
                <w:rFonts w:hint="default" w:ascii="Times New Roman" w:hAnsi="Times New Roman" w:eastAsia="宋体" w:cs="Times New Roman"/>
                <w:color w:val="000000" w:themeColor="text1"/>
                <w:sz w:val="24"/>
                <w:lang w:val="en-US" w:eastAsia="zh-CN"/>
                <w14:textFill>
                  <w14:solidFill>
                    <w14:schemeClr w14:val="tx1"/>
                  </w14:solidFill>
                </w14:textFill>
              </w:rPr>
              <w:t>约</w:t>
            </w:r>
            <w:r>
              <w:rPr>
                <w:rFonts w:hint="eastAsia" w:ascii="Times New Roman" w:hAnsi="Times New Roman" w:eastAsia="宋体" w:cs="Times New Roman"/>
                <w:color w:val="000000" w:themeColor="text1"/>
                <w:sz w:val="24"/>
                <w:lang w:val="en-US" w:eastAsia="zh-CN"/>
                <w14:textFill>
                  <w14:solidFill>
                    <w14:schemeClr w14:val="tx1"/>
                  </w14:solidFill>
                </w14:textFill>
              </w:rPr>
              <w:t>2000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，主要布置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一层主要为冲压区和原料仓库，二层主要为清洗区和包装材料区，三层主要为成品区</w:t>
            </w:r>
            <w:r>
              <w:rPr>
                <w:rFonts w:hint="default" w:ascii="Times New Roman" w:hAnsi="Times New Roman" w:eastAsia="宋体" w:cs="Times New Roman"/>
                <w:color w:val="000000" w:themeColor="text1"/>
                <w:sz w:val="24"/>
                <w14:textFill>
                  <w14:solidFill>
                    <w14:schemeClr w14:val="tx1"/>
                  </w14:solidFill>
                </w14:textFill>
              </w:rPr>
              <w:t>。项目平面布置图详见附图3</w:t>
            </w:r>
            <w:r>
              <w:rPr>
                <w:rFonts w:hint="default" w:ascii="Times New Roman" w:hAnsi="Times New Roman" w:eastAsia="宋体" w:cs="Times New Roman"/>
                <w:color w:val="000000" w:themeColor="text1"/>
                <w:sz w:val="24"/>
                <w:szCs w:val="24"/>
                <w14:textFill>
                  <w14:solidFill>
                    <w14:schemeClr w14:val="tx1"/>
                  </w14:solidFill>
                </w14:textFill>
              </w:rPr>
              <w:t>。</w:t>
            </w:r>
            <w:bookmarkEnd w:id="0"/>
            <w:bookmarkEnd w:id="1"/>
            <w:bookmarkEnd w:id="2"/>
            <w:bookmarkEnd w:id="3"/>
            <w:bookmarkEnd w:id="4"/>
          </w:p>
        </w:tc>
      </w:tr>
      <w:tr w14:paraId="29F7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237" w:type="pct"/>
            <w:vAlign w:val="center"/>
          </w:tcPr>
          <w:p w14:paraId="60970F45">
            <w:pPr>
              <w:jc w:val="center"/>
              <w:rPr>
                <w:rFonts w:hint="default" w:ascii="Times New Roman" w:hAnsi="Times New Roman" w:eastAsia="宋体" w:cs="Times New Roman"/>
                <w:b/>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工艺流程和产排污环节</w:t>
            </w:r>
          </w:p>
        </w:tc>
        <w:tc>
          <w:tcPr>
            <w:tcW w:w="4762" w:type="pct"/>
            <w:vAlign w:val="top"/>
          </w:tcPr>
          <w:p w14:paraId="1BBE702F">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一、工艺流程简述</w:t>
            </w:r>
          </w:p>
          <w:p w14:paraId="0BD1005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bookmarkStart w:id="5" w:name="_Toc23344"/>
            <w:bookmarkStart w:id="6" w:name="_Toc20544"/>
            <w:bookmarkStart w:id="7" w:name="_Toc18182"/>
            <w:bookmarkStart w:id="8" w:name="_Toc21734"/>
            <w:r>
              <w:rPr>
                <w:rFonts w:hint="default" w:ascii="Times New Roman" w:hAnsi="Times New Roman" w:eastAsia="宋体" w:cs="Times New Roman"/>
                <w:b/>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生产工艺</w:t>
            </w:r>
          </w:p>
          <w:p w14:paraId="14CDE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本项目产品为芯片框架组件，主要包括光伏系列产品、TO系列产品、框架系列产品、跳线系列产品等，工艺基本一致，具体</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生产工艺见图2-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p>
          <w:bookmarkEnd w:id="5"/>
          <w:bookmarkEnd w:id="6"/>
          <w:bookmarkEnd w:id="7"/>
          <w:bookmarkEnd w:id="8"/>
          <w:p w14:paraId="5699CB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496560" cy="3485515"/>
                  <wp:effectExtent l="0" t="0" r="889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496560" cy="3485515"/>
                          </a:xfrm>
                          <a:prstGeom prst="rect">
                            <a:avLst/>
                          </a:prstGeom>
                          <a:noFill/>
                          <a:ln>
                            <a:noFill/>
                          </a:ln>
                        </pic:spPr>
                      </pic:pic>
                    </a:graphicData>
                  </a:graphic>
                </wp:inline>
              </w:drawing>
            </w:r>
          </w:p>
          <w:p w14:paraId="37195448">
            <w:pPr>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图2-</w:t>
            </w:r>
            <w:r>
              <w:rPr>
                <w:rFonts w:hint="eastAsia"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 xml:space="preserve"> </w:t>
            </w:r>
            <w:r>
              <w:rPr>
                <w:rFonts w:hint="default" w:ascii="Times New Roman" w:hAnsi="Times New Roman" w:eastAsia="宋体" w:cs="Times New Roman"/>
                <w:b/>
                <w:bCs/>
                <w:color w:val="000000" w:themeColor="text1"/>
                <w:sz w:val="24"/>
                <w:lang w:val="en-US" w:eastAsia="zh-CN"/>
                <w14:textFill>
                  <w14:solidFill>
                    <w14:schemeClr w14:val="tx1"/>
                  </w14:solidFill>
                </w14:textFill>
              </w:rPr>
              <w:t>生产工</w:t>
            </w:r>
            <w:r>
              <w:rPr>
                <w:rFonts w:hint="default" w:ascii="Times New Roman" w:hAnsi="Times New Roman" w:eastAsia="宋体" w:cs="Times New Roman"/>
                <w:b/>
                <w:bCs/>
                <w:color w:val="000000" w:themeColor="text1"/>
                <w:sz w:val="24"/>
                <w14:textFill>
                  <w14:solidFill>
                    <w14:schemeClr w14:val="tx1"/>
                  </w14:solidFill>
                </w14:textFill>
              </w:rPr>
              <w:t>艺流程及产污环节示意图</w:t>
            </w:r>
          </w:p>
          <w:p w14:paraId="1CEF47A5">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生产工艺简述：</w:t>
            </w:r>
          </w:p>
          <w:p w14:paraId="309164D2">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放料</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根据产品要求，操作人员使用</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放料机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将外购</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铜带放置于产线上</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 </w:t>
            </w:r>
          </w:p>
          <w:p w14:paraId="32178557">
            <w:pPr>
              <w:spacing w:line="360" w:lineRule="auto"/>
              <w:ind w:firstLine="482"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整平：</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外购铜带初始为弯曲状态，不利于后续加工，</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操作人员使用</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整平机将铜带压平，方便后续加工，不涉及抛光、打磨、喷砂等工序，该工序不产生污染物；</w:t>
            </w:r>
          </w:p>
          <w:p w14:paraId="592FF97C">
            <w:pPr>
              <w:spacing w:line="360" w:lineRule="auto"/>
              <w:ind w:firstLine="482" w:firstLineChars="200"/>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冲压</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根据产品要求，操作人员使用冲床</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对工件进行冲压加工，该工序</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会产生噪声N、S</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废边角料</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11AFE27B">
            <w:pPr>
              <w:spacing w:line="360" w:lineRule="auto"/>
              <w:ind w:firstLine="482"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模具维护：</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冲压过程使用到模具，企业定期使用磨床对模具进行磨加工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使用磨削液进行湿法加工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。设备内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磨削</w:t>
            </w:r>
            <w:r>
              <w:rPr>
                <w:rFonts w:hint="eastAsia" w:ascii="Times New Roman" w:hAnsi="Times New Roman" w:eastAsia="宋体" w:cs="Times New Roman"/>
                <w:color w:val="000000" w:themeColor="text1"/>
                <w:sz w:val="24"/>
                <w:szCs w:val="24"/>
                <w:lang w:eastAsia="zh-CN"/>
                <w14:textFill>
                  <w14:solidFill>
                    <w14:schemeClr w14:val="tx1"/>
                  </w14:solidFill>
                </w14:textFill>
              </w:rPr>
              <w:t>液经过滤系统过滤后循环使用，定期对过滤槽内沉渣进行清理。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根据企业提供资料，约15天保养一次。</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此过程仅在模具发生破损或需要维护时进行，且本项目涉及模具较小，磨削液使用量较小，磨床加工过程基本不会产生颗粒物与有机废气，本次不进行定量分析，该工序会产生</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噪声N</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、废磨削液S2、含油废屑S3；</w:t>
            </w:r>
          </w:p>
          <w:p w14:paraId="1A5C3F40">
            <w:pPr>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分切</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根据产品要求，操作人员使用</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分切机将工件进行分切加工，工件为薄片原材料。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因项目产品较薄</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（厚度为0.12-0.8mm）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，分切产生的颗粒物极少，本次不进行定量分析</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，该工序</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会产生噪声N、S</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废边角料</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3B1BD923">
            <w:pPr>
              <w:spacing w:line="360" w:lineRule="auto"/>
              <w:ind w:firstLine="482" w:firstLineChars="200"/>
              <w:rPr>
                <w:color w:val="000000" w:themeColor="text1"/>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清洗线具体工序如下：</w:t>
            </w:r>
          </w:p>
          <w:p w14:paraId="4D56450B">
            <w:pPr>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本项目清洗线为自动连续线，三条清洗线同时运行，分切后的工件至于清洗线内的滚轮上依次进入各个槽体，1条清洗线可同时清洗15列工件，每分钟加工约25米。</w:t>
            </w:r>
          </w:p>
          <w:p w14:paraId="623A5F3E">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电解除油：</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将工件依次放入2个电解除油槽内，添加除油粉，电极为不锈钢，通过电解的作用，在引线框架表面产生大量的氢气、氧气，促使油污从引线框架分离，达到去除油污的目的；该工序温度条件为45-55℃，通过电加热。产生的氢气通过清洗线密闭收集后排放，不在清洗线内大量存留，不会产生安全隐患。该工序会产生S5电解除油废液。</w:t>
            </w:r>
          </w:p>
          <w:p w14:paraId="7F03AE37">
            <w:pPr>
              <w:spacing w:line="360" w:lineRule="auto"/>
              <w:ind w:firstLine="482" w:firstLineChars="200"/>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除油后喷淋：</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除油后，经2道喷淋水洗，清洗工件表面的残液，保证芯片框架表面的洁净，该工序会产生W1除油后喷淋废水。</w:t>
            </w:r>
          </w:p>
          <w:p w14:paraId="7B369D5E">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酸洗：</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将工件放入酸洗槽内，添加纯水与硫酸，酸洗槽内硫酸浓度为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9.83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，通过酸洗除去引线框架表面的氧化物等提高基体的品质，该工序温度条件为常温，该工序会产生S6酸洗废液、G1酸洗废气。</w:t>
            </w:r>
          </w:p>
          <w:p w14:paraId="5CB87845">
            <w:pPr>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参考《信维通信（江苏）有限公司新建年产3680亿件片式电子元器件项目（一期）》，电镀线中酸洗工序的硫酸浓度为10%~20%，硫酸雾的产生速率为1.293~1.462kg/h。本项目酸洗工序中硫酸浓度为9.83%，产生速率为0.05kg/h，污染物产生速率较低，无需使用酸雾抑制剂。</w:t>
            </w:r>
          </w:p>
          <w:p w14:paraId="6FA226D2">
            <w:pPr>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酸洗后喷淋：</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酸洗后，经3道喷淋水洗，清洗工件表面的废酸液，保证引线框架表面的洁净，该工序会产生W2酸洗后喷淋废水。</w:t>
            </w:r>
          </w:p>
          <w:p w14:paraId="270D867C">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铜保护：</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将工件放入铜保护槽内，添加纯水与铜保护剂，铜保护剂会与铜或其表面的氧化物发生反应，生成一层本身就很稳定、致密的金属化合物薄膜，隔绝与空气的直接接触，减少裸露铜面和空气中的氧气反应生成氧化膜。该工序温度条件为常温，该工序会产生S7铜保护废液、G2铜保护废气；</w:t>
            </w:r>
          </w:p>
          <w:p w14:paraId="4379CE92">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铜保护后喷淋：</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铜保护后，经2道喷淋水洗，清洗工件表面残留的药剂，该工序会产生W3铜保护后喷淋废水。</w:t>
            </w:r>
          </w:p>
          <w:p w14:paraId="7142585D">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干燥：</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工件喷淋清洗后，依次使用风干、烘干（电加热方式）等方式，对工件进行彻底干燥，干燥后通过风力冷却，该工序不产生污染物。</w:t>
            </w:r>
          </w:p>
          <w:p w14:paraId="6CE6190E">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检验：</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成品采用投影仪、卡尺、塞规、显微硬度计、外径千分尺、显微镜等进行物理检验，主要检验产品的外观、尺寸、材料硬度等，该工序会产生不合格品S7。</w:t>
            </w:r>
          </w:p>
          <w:p w14:paraId="15423B32">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成品入库：</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将工件放置于成品仓库待售。</w:t>
            </w:r>
          </w:p>
          <w:p w14:paraId="719DACE7">
            <w:pPr>
              <w:spacing w:line="360" w:lineRule="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二、</w:t>
            </w:r>
            <w:r>
              <w:rPr>
                <w:rFonts w:hint="eastAsia" w:ascii="Times New Roman" w:hAnsi="Times New Roman" w:eastAsia="宋体" w:cs="Times New Roman"/>
                <w:b/>
                <w:color w:val="000000" w:themeColor="text1"/>
                <w:sz w:val="24"/>
                <w:lang w:val="en-US" w:eastAsia="zh-CN"/>
                <w14:textFill>
                  <w14:solidFill>
                    <w14:schemeClr w14:val="tx1"/>
                  </w14:solidFill>
                </w14:textFill>
              </w:rPr>
              <w:t>其他产污分析</w:t>
            </w:r>
          </w:p>
          <w:p w14:paraId="0E3699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设备维护：项目设备使用润滑油进行维护，定期添加不更改，</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该工序</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会产生废含油抹布S9。</w:t>
            </w:r>
          </w:p>
          <w:p w14:paraId="30F7B2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废气设施：</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铜保护</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工序</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产生的废气经碱喷淋塔+除雾器+二级活性炭吸附装置收集处理，</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此过程会产生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废活性炭S10、喷淋塔废水W4</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p>
          <w:p w14:paraId="72216A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废水处理：项目污水处理站运行过程产生污泥S11、浓水S12、污水处理站耗材S13（包括废石英砂、废活性炭、废滤芯、废RO膜）。</w:t>
            </w:r>
          </w:p>
          <w:p w14:paraId="004422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纯水制备：项目纯水制备设备采用石英砂过滤、活性炭过滤、保安过滤器及RO膜，需要定期更换过滤材料，此过程产生纯水制备耗材S14（包括废石英砂、废活性炭、废滤芯、废RO膜）、反冲洗废水W5。</w:t>
            </w:r>
          </w:p>
          <w:p w14:paraId="335995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原辅料使用：本项目硫酸、铜保护剂等物料使用会产生废包装材料S15。</w:t>
            </w:r>
          </w:p>
          <w:p w14:paraId="1A520A2B">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三</w:t>
            </w:r>
            <w:r>
              <w:rPr>
                <w:rFonts w:hint="default" w:ascii="Times New Roman" w:hAnsi="Times New Roman" w:eastAsia="宋体" w:cs="Times New Roman"/>
                <w:b/>
                <w:color w:val="000000" w:themeColor="text1"/>
                <w:sz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产污环节分析</w:t>
            </w:r>
          </w:p>
          <w:p w14:paraId="0F822FA3">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13</w:t>
            </w:r>
            <w:r>
              <w:rPr>
                <w:rFonts w:hint="default" w:ascii="Times New Roman" w:hAnsi="Times New Roman" w:eastAsia="宋体" w:cs="Times New Roman"/>
                <w:b/>
                <w:color w:val="000000" w:themeColor="text1"/>
                <w:sz w:val="24"/>
                <w14:textFill>
                  <w14:solidFill>
                    <w14:schemeClr w14:val="tx1"/>
                  </w14:solidFill>
                </w14:textFill>
              </w:rPr>
              <w:t xml:space="preserve">  污染物产生情况分析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677"/>
              <w:gridCol w:w="2117"/>
              <w:gridCol w:w="1737"/>
              <w:gridCol w:w="2902"/>
            </w:tblGrid>
            <w:tr w14:paraId="4B407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tcBorders>
                    <w:tl2br w:val="nil"/>
                    <w:tr2bl w:val="nil"/>
                  </w:tcBorders>
                  <w:vAlign w:val="center"/>
                </w:tcPr>
                <w:p w14:paraId="6B35070F">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废物类别</w:t>
                  </w:r>
                </w:p>
              </w:tc>
              <w:tc>
                <w:tcPr>
                  <w:tcW w:w="392" w:type="pct"/>
                  <w:tcBorders>
                    <w:tl2br w:val="nil"/>
                    <w:tr2bl w:val="nil"/>
                  </w:tcBorders>
                  <w:vAlign w:val="center"/>
                </w:tcPr>
                <w:p w14:paraId="7AFFC2CF">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编号</w:t>
                  </w:r>
                </w:p>
              </w:tc>
              <w:tc>
                <w:tcPr>
                  <w:tcW w:w="1226" w:type="pct"/>
                  <w:tcBorders>
                    <w:tl2br w:val="nil"/>
                    <w:tr2bl w:val="nil"/>
                  </w:tcBorders>
                  <w:vAlign w:val="center"/>
                </w:tcPr>
                <w:p w14:paraId="6872F21E">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产生环节</w:t>
                  </w:r>
                </w:p>
              </w:tc>
              <w:tc>
                <w:tcPr>
                  <w:tcW w:w="1006" w:type="pct"/>
                  <w:tcBorders>
                    <w:tl2br w:val="nil"/>
                    <w:tr2bl w:val="nil"/>
                  </w:tcBorders>
                  <w:vAlign w:val="center"/>
                </w:tcPr>
                <w:p w14:paraId="58DA2646">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污染物名称</w:t>
                  </w:r>
                </w:p>
              </w:tc>
              <w:tc>
                <w:tcPr>
                  <w:tcW w:w="1681" w:type="pct"/>
                  <w:tcBorders>
                    <w:tl2br w:val="nil"/>
                    <w:tr2bl w:val="nil"/>
                  </w:tcBorders>
                  <w:shd w:val="clear" w:color="auto" w:fill="auto"/>
                  <w:vAlign w:val="center"/>
                </w:tcPr>
                <w:p w14:paraId="32912E56">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处置措施</w:t>
                  </w:r>
                </w:p>
              </w:tc>
            </w:tr>
            <w:tr w14:paraId="57E24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l2br w:val="nil"/>
                    <w:tr2bl w:val="nil"/>
                  </w:tcBorders>
                  <w:vAlign w:val="center"/>
                </w:tcPr>
                <w:p w14:paraId="752A492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392" w:type="pct"/>
                  <w:tcBorders>
                    <w:tl2br w:val="nil"/>
                    <w:tr2bl w:val="nil"/>
                  </w:tcBorders>
                  <w:vAlign w:val="center"/>
                </w:tcPr>
                <w:p w14:paraId="78F98B6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G1</w:t>
                  </w:r>
                </w:p>
              </w:tc>
              <w:tc>
                <w:tcPr>
                  <w:tcW w:w="1226" w:type="pct"/>
                  <w:tcBorders>
                    <w:tl2br w:val="nil"/>
                    <w:tr2bl w:val="nil"/>
                  </w:tcBorders>
                  <w:vAlign w:val="center"/>
                </w:tcPr>
                <w:p w14:paraId="124D4EB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酸洗</w:t>
                  </w:r>
                </w:p>
              </w:tc>
              <w:tc>
                <w:tcPr>
                  <w:tcW w:w="1006" w:type="pct"/>
                  <w:tcBorders>
                    <w:tl2br w:val="nil"/>
                    <w:tr2bl w:val="nil"/>
                  </w:tcBorders>
                  <w:vAlign w:val="center"/>
                </w:tcPr>
                <w:p w14:paraId="51FABEB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硫酸雾</w:t>
                  </w:r>
                </w:p>
              </w:tc>
              <w:tc>
                <w:tcPr>
                  <w:tcW w:w="1681" w:type="pct"/>
                  <w:vMerge w:val="restart"/>
                  <w:tcBorders>
                    <w:tl2br w:val="nil"/>
                    <w:tr2bl w:val="nil"/>
                  </w:tcBorders>
                  <w:shd w:val="clear" w:color="auto" w:fill="auto"/>
                  <w:vAlign w:val="center"/>
                </w:tcPr>
                <w:p w14:paraId="7DC9398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碱喷淋塔+除雾器+二级活性炭吸附装置</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color w:val="000000" w:themeColor="text1"/>
                      <w:szCs w:val="21"/>
                      <w14:textFill>
                        <w14:solidFill>
                          <w14:schemeClr w14:val="tx1"/>
                        </w14:solidFill>
                      </w14:textFill>
                    </w:rPr>
                    <w:t>m高排气筒</w:t>
                  </w:r>
                  <w:r>
                    <w:rPr>
                      <w:rFonts w:hint="default" w:ascii="Times New Roman" w:hAnsi="Times New Roman" w:eastAsia="宋体" w:cs="Times New Roman"/>
                      <w:color w:val="000000" w:themeColor="text1"/>
                      <w:szCs w:val="21"/>
                      <w:lang w:val="en-US" w:eastAsia="zh-CN"/>
                      <w14:textFill>
                        <w14:solidFill>
                          <w14:schemeClr w14:val="tx1"/>
                        </w14:solidFill>
                      </w14:textFill>
                    </w:rPr>
                    <w:t>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排放</w:t>
                  </w:r>
                </w:p>
              </w:tc>
            </w:tr>
            <w:tr w14:paraId="1E6E5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655CD115">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vAlign w:val="center"/>
                </w:tcPr>
                <w:p w14:paraId="2392CA9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G2</w:t>
                  </w:r>
                </w:p>
              </w:tc>
              <w:tc>
                <w:tcPr>
                  <w:tcW w:w="1226" w:type="pct"/>
                  <w:tcBorders>
                    <w:tl2br w:val="nil"/>
                    <w:tr2bl w:val="nil"/>
                  </w:tcBorders>
                  <w:vAlign w:val="center"/>
                </w:tcPr>
                <w:p w14:paraId="7CABF5A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铜保护</w:t>
                  </w:r>
                </w:p>
              </w:tc>
              <w:tc>
                <w:tcPr>
                  <w:tcW w:w="1006" w:type="pct"/>
                  <w:tcBorders>
                    <w:tl2br w:val="nil"/>
                    <w:tr2bl w:val="nil"/>
                  </w:tcBorders>
                  <w:vAlign w:val="center"/>
                </w:tcPr>
                <w:p w14:paraId="6F8A8C6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非甲烷总烃、甲醇</w:t>
                  </w:r>
                </w:p>
              </w:tc>
              <w:tc>
                <w:tcPr>
                  <w:tcW w:w="1681" w:type="pct"/>
                  <w:vMerge w:val="continue"/>
                  <w:tcBorders>
                    <w:tl2br w:val="nil"/>
                    <w:tr2bl w:val="nil"/>
                  </w:tcBorders>
                  <w:shd w:val="clear" w:color="auto" w:fill="auto"/>
                  <w:vAlign w:val="center"/>
                </w:tcPr>
                <w:p w14:paraId="2DA83B21">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4CC35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l2br w:val="nil"/>
                    <w:tr2bl w:val="nil"/>
                  </w:tcBorders>
                  <w:vAlign w:val="center"/>
                </w:tcPr>
                <w:p w14:paraId="546101A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392" w:type="pct"/>
                  <w:tcBorders>
                    <w:tl2br w:val="nil"/>
                    <w:tr2bl w:val="nil"/>
                  </w:tcBorders>
                  <w:vAlign w:val="center"/>
                </w:tcPr>
                <w:p w14:paraId="78ECA44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226" w:type="pct"/>
                  <w:tcBorders>
                    <w:tl2br w:val="nil"/>
                    <w:tr2bl w:val="nil"/>
                  </w:tcBorders>
                  <w:vAlign w:val="center"/>
                </w:tcPr>
                <w:p w14:paraId="1CA78CA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p>
              </w:tc>
              <w:tc>
                <w:tcPr>
                  <w:tcW w:w="1006" w:type="pct"/>
                  <w:tcBorders>
                    <w:tl2br w:val="nil"/>
                    <w:tr2bl w:val="nil"/>
                  </w:tcBorders>
                  <w:vAlign w:val="center"/>
                </w:tcPr>
                <w:p w14:paraId="4631600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pH、COD、SS、总氮、总磷、氨氮</w:t>
                  </w:r>
                </w:p>
              </w:tc>
              <w:tc>
                <w:tcPr>
                  <w:tcW w:w="1681" w:type="pct"/>
                  <w:tcBorders>
                    <w:tl2br w:val="nil"/>
                    <w:tr2bl w:val="nil"/>
                  </w:tcBorders>
                  <w:shd w:val="clear" w:color="auto" w:fill="auto"/>
                  <w:vAlign w:val="center"/>
                </w:tcPr>
                <w:p w14:paraId="04853BB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接管至常州市金坛区第二污水处理厂集中处理</w:t>
                  </w:r>
                </w:p>
              </w:tc>
            </w:tr>
            <w:tr w14:paraId="2365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47C01EC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vAlign w:val="center"/>
                </w:tcPr>
                <w:p w14:paraId="30E70D8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w:t>
                  </w:r>
                  <w:r>
                    <w:rPr>
                      <w:rFonts w:hint="default" w:ascii="Times New Roman" w:hAnsi="Times New Roman" w:cs="Times New Roman"/>
                      <w:color w:val="000000" w:themeColor="text1"/>
                      <w:lang w:val="en-US" w:eastAsia="zh-CN"/>
                      <w14:textFill>
                        <w14:solidFill>
                          <w14:schemeClr w14:val="tx1"/>
                        </w14:solidFill>
                      </w14:textFill>
                    </w:rPr>
                    <w:t>1</w:t>
                  </w:r>
                </w:p>
              </w:tc>
              <w:tc>
                <w:tcPr>
                  <w:tcW w:w="1226" w:type="pct"/>
                  <w:tcBorders>
                    <w:tl2br w:val="nil"/>
                    <w:tr2bl w:val="nil"/>
                  </w:tcBorders>
                  <w:vAlign w:val="center"/>
                </w:tcPr>
                <w:p w14:paraId="4B7297D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除油后喷淋废水</w:t>
                  </w:r>
                </w:p>
              </w:tc>
              <w:tc>
                <w:tcPr>
                  <w:tcW w:w="1006" w:type="pct"/>
                  <w:vMerge w:val="restart"/>
                  <w:tcBorders>
                    <w:tl2br w:val="nil"/>
                    <w:tr2bl w:val="nil"/>
                  </w:tcBorders>
                  <w:vAlign w:val="center"/>
                </w:tcPr>
                <w:p w14:paraId="11FA78B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pH、COD、SS、氨氮、TP、TN、石油类、硫酸根离子、总铜、全盐量、LAS</w:t>
                  </w:r>
                </w:p>
              </w:tc>
              <w:tc>
                <w:tcPr>
                  <w:tcW w:w="1681" w:type="pct"/>
                  <w:vMerge w:val="restart"/>
                  <w:tcBorders>
                    <w:tl2br w:val="nil"/>
                    <w:tr2bl w:val="nil"/>
                  </w:tcBorders>
                  <w:shd w:val="clear" w:color="auto" w:fill="auto"/>
                  <w:vAlign w:val="center"/>
                </w:tcPr>
                <w:p w14:paraId="595D267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经厂内污水处理设施处理后回用，不外排</w:t>
                  </w:r>
                </w:p>
              </w:tc>
            </w:tr>
            <w:tr w14:paraId="4930C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1752ECFB">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vAlign w:val="center"/>
                </w:tcPr>
                <w:p w14:paraId="1CF0470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W2</w:t>
                  </w:r>
                </w:p>
              </w:tc>
              <w:tc>
                <w:tcPr>
                  <w:tcW w:w="1226" w:type="pct"/>
                  <w:tcBorders>
                    <w:tl2br w:val="nil"/>
                    <w:tr2bl w:val="nil"/>
                  </w:tcBorders>
                  <w:vAlign w:val="center"/>
                </w:tcPr>
                <w:p w14:paraId="0057B7B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酸洗后喷淋废水</w:t>
                  </w:r>
                </w:p>
              </w:tc>
              <w:tc>
                <w:tcPr>
                  <w:tcW w:w="1006" w:type="pct"/>
                  <w:vMerge w:val="continue"/>
                  <w:tcBorders>
                    <w:tl2br w:val="nil"/>
                    <w:tr2bl w:val="nil"/>
                  </w:tcBorders>
                  <w:vAlign w:val="center"/>
                </w:tcPr>
                <w:p w14:paraId="69314DB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681" w:type="pct"/>
                  <w:vMerge w:val="continue"/>
                  <w:tcBorders>
                    <w:tl2br w:val="nil"/>
                    <w:tr2bl w:val="nil"/>
                  </w:tcBorders>
                  <w:shd w:val="clear" w:color="auto" w:fill="auto"/>
                  <w:vAlign w:val="center"/>
                </w:tcPr>
                <w:p w14:paraId="478FA2E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14:paraId="395AA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09403E5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vAlign w:val="center"/>
                </w:tcPr>
                <w:p w14:paraId="6E13117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W3</w:t>
                  </w:r>
                </w:p>
              </w:tc>
              <w:tc>
                <w:tcPr>
                  <w:tcW w:w="1226" w:type="pct"/>
                  <w:tcBorders>
                    <w:tl2br w:val="nil"/>
                    <w:tr2bl w:val="nil"/>
                  </w:tcBorders>
                  <w:vAlign w:val="center"/>
                </w:tcPr>
                <w:p w14:paraId="04F4FF5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铜保护后喷淋废水</w:t>
                  </w:r>
                </w:p>
              </w:tc>
              <w:tc>
                <w:tcPr>
                  <w:tcW w:w="1006" w:type="pct"/>
                  <w:vMerge w:val="continue"/>
                  <w:tcBorders>
                    <w:tl2br w:val="nil"/>
                    <w:tr2bl w:val="nil"/>
                  </w:tcBorders>
                  <w:vAlign w:val="center"/>
                </w:tcPr>
                <w:p w14:paraId="06077F1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681" w:type="pct"/>
                  <w:vMerge w:val="continue"/>
                  <w:tcBorders>
                    <w:tl2br w:val="nil"/>
                    <w:tr2bl w:val="nil"/>
                  </w:tcBorders>
                  <w:shd w:val="clear" w:color="auto" w:fill="auto"/>
                  <w:vAlign w:val="center"/>
                </w:tcPr>
                <w:p w14:paraId="1E13D2A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14:paraId="5F872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5FD9958E">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6235504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W4</w:t>
                  </w:r>
                </w:p>
              </w:tc>
              <w:tc>
                <w:tcPr>
                  <w:tcW w:w="1226" w:type="pct"/>
                  <w:tcBorders>
                    <w:tl2br w:val="nil"/>
                    <w:tr2bl w:val="nil"/>
                  </w:tcBorders>
                  <w:shd w:val="clear" w:color="auto" w:fill="auto"/>
                  <w:vAlign w:val="center"/>
                </w:tcPr>
                <w:p w14:paraId="56C9351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喷淋塔废水</w:t>
                  </w:r>
                </w:p>
              </w:tc>
              <w:tc>
                <w:tcPr>
                  <w:tcW w:w="1006" w:type="pct"/>
                  <w:vMerge w:val="continue"/>
                  <w:tcBorders>
                    <w:tl2br w:val="nil"/>
                    <w:tr2bl w:val="nil"/>
                  </w:tcBorders>
                  <w:vAlign w:val="center"/>
                </w:tcPr>
                <w:p w14:paraId="65ED425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681" w:type="pct"/>
                  <w:vMerge w:val="continue"/>
                  <w:tcBorders>
                    <w:tl2br w:val="nil"/>
                    <w:tr2bl w:val="nil"/>
                  </w:tcBorders>
                  <w:shd w:val="clear" w:color="auto" w:fill="auto"/>
                  <w:vAlign w:val="center"/>
                </w:tcPr>
                <w:p w14:paraId="18CB5D6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14:paraId="7A81F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581A9ED7">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vAlign w:val="center"/>
                </w:tcPr>
                <w:p w14:paraId="1753385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W5</w:t>
                  </w:r>
                </w:p>
              </w:tc>
              <w:tc>
                <w:tcPr>
                  <w:tcW w:w="1226" w:type="pct"/>
                  <w:tcBorders>
                    <w:tl2br w:val="nil"/>
                    <w:tr2bl w:val="nil"/>
                  </w:tcBorders>
                  <w:vAlign w:val="center"/>
                </w:tcPr>
                <w:p w14:paraId="5071B0D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反冲洗废水</w:t>
                  </w:r>
                </w:p>
              </w:tc>
              <w:tc>
                <w:tcPr>
                  <w:tcW w:w="1006" w:type="pct"/>
                  <w:vMerge w:val="continue"/>
                  <w:tcBorders>
                    <w:tl2br w:val="nil"/>
                    <w:tr2bl w:val="nil"/>
                  </w:tcBorders>
                  <w:vAlign w:val="center"/>
                </w:tcPr>
                <w:p w14:paraId="5F47788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681" w:type="pct"/>
                  <w:vMerge w:val="continue"/>
                  <w:tcBorders>
                    <w:tl2br w:val="nil"/>
                    <w:tr2bl w:val="nil"/>
                  </w:tcBorders>
                  <w:shd w:val="clear" w:color="auto" w:fill="auto"/>
                  <w:vAlign w:val="center"/>
                </w:tcPr>
                <w:p w14:paraId="0858D43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14:paraId="3BBBD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tcBorders>
                    <w:tl2br w:val="nil"/>
                    <w:tr2bl w:val="nil"/>
                  </w:tcBorders>
                  <w:vAlign w:val="center"/>
                </w:tcPr>
                <w:p w14:paraId="058301A9">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噪声</w:t>
                  </w:r>
                </w:p>
              </w:tc>
              <w:tc>
                <w:tcPr>
                  <w:tcW w:w="392" w:type="pct"/>
                  <w:tcBorders>
                    <w:tl2br w:val="nil"/>
                    <w:tr2bl w:val="nil"/>
                  </w:tcBorders>
                  <w:vAlign w:val="center"/>
                </w:tcPr>
                <w:p w14:paraId="0D1A020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N</w:t>
                  </w:r>
                </w:p>
              </w:tc>
              <w:tc>
                <w:tcPr>
                  <w:tcW w:w="1226" w:type="pct"/>
                  <w:tcBorders>
                    <w:tl2br w:val="nil"/>
                    <w:tr2bl w:val="nil"/>
                  </w:tcBorders>
                  <w:vAlign w:val="center"/>
                </w:tcPr>
                <w:p w14:paraId="782DD29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设备运行噪声</w:t>
                  </w:r>
                </w:p>
              </w:tc>
              <w:tc>
                <w:tcPr>
                  <w:tcW w:w="1006" w:type="pct"/>
                  <w:tcBorders>
                    <w:tl2br w:val="nil"/>
                    <w:tr2bl w:val="nil"/>
                  </w:tcBorders>
                  <w:vAlign w:val="center"/>
                </w:tcPr>
                <w:p w14:paraId="4375A243">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噪声</w:t>
                  </w:r>
                </w:p>
              </w:tc>
              <w:tc>
                <w:tcPr>
                  <w:tcW w:w="1681" w:type="pct"/>
                  <w:tcBorders>
                    <w:tl2br w:val="nil"/>
                    <w:tr2bl w:val="nil"/>
                  </w:tcBorders>
                  <w:shd w:val="clear" w:color="auto" w:fill="auto"/>
                  <w:vAlign w:val="center"/>
                </w:tcPr>
                <w:p w14:paraId="0D5EB81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厂房隔声、距离衰减</w:t>
                  </w:r>
                </w:p>
              </w:tc>
            </w:tr>
            <w:tr w14:paraId="188D8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l2br w:val="nil"/>
                    <w:tr2bl w:val="nil"/>
                  </w:tcBorders>
                  <w:vAlign w:val="center"/>
                </w:tcPr>
                <w:p w14:paraId="7A415B4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392" w:type="pct"/>
                  <w:tcBorders>
                    <w:tl2br w:val="nil"/>
                    <w:tr2bl w:val="nil"/>
                  </w:tcBorders>
                  <w:vAlign w:val="center"/>
                </w:tcPr>
                <w:p w14:paraId="02BBF41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S1</w:t>
                  </w:r>
                </w:p>
              </w:tc>
              <w:tc>
                <w:tcPr>
                  <w:tcW w:w="1226" w:type="pct"/>
                  <w:tcBorders>
                    <w:tl2br w:val="nil"/>
                    <w:tr2bl w:val="nil"/>
                  </w:tcBorders>
                  <w:vAlign w:val="center"/>
                </w:tcPr>
                <w:p w14:paraId="2007B40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冲压</w:t>
                  </w:r>
                </w:p>
              </w:tc>
              <w:tc>
                <w:tcPr>
                  <w:tcW w:w="1006" w:type="pct"/>
                  <w:tcBorders>
                    <w:tl2br w:val="nil"/>
                    <w:tr2bl w:val="nil"/>
                  </w:tcBorders>
                  <w:vAlign w:val="center"/>
                </w:tcPr>
                <w:p w14:paraId="3C875FF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废边角料</w:t>
                  </w:r>
                </w:p>
              </w:tc>
              <w:tc>
                <w:tcPr>
                  <w:tcW w:w="1681" w:type="pct"/>
                  <w:tcBorders>
                    <w:tl2br w:val="nil"/>
                    <w:tr2bl w:val="nil"/>
                  </w:tcBorders>
                  <w:shd w:val="clear" w:color="auto" w:fill="auto"/>
                  <w:vAlign w:val="center"/>
                </w:tcPr>
                <w:p w14:paraId="38862D0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收集后外售</w:t>
                  </w:r>
                </w:p>
              </w:tc>
            </w:tr>
            <w:tr w14:paraId="056E9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6BCF2AB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12E443E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S2</w:t>
                  </w:r>
                </w:p>
              </w:tc>
              <w:tc>
                <w:tcPr>
                  <w:tcW w:w="1226" w:type="pct"/>
                  <w:tcBorders>
                    <w:tl2br w:val="nil"/>
                    <w:tr2bl w:val="nil"/>
                  </w:tcBorders>
                  <w:vAlign w:val="center"/>
                </w:tcPr>
                <w:p w14:paraId="7EBB5A42">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冲压模具维护</w:t>
                  </w:r>
                </w:p>
              </w:tc>
              <w:tc>
                <w:tcPr>
                  <w:tcW w:w="1006" w:type="pct"/>
                  <w:tcBorders>
                    <w:tl2br w:val="nil"/>
                    <w:tr2bl w:val="nil"/>
                  </w:tcBorders>
                  <w:vAlign w:val="center"/>
                </w:tcPr>
                <w:p w14:paraId="6BCBAA9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废磨削液</w:t>
                  </w:r>
                </w:p>
              </w:tc>
              <w:tc>
                <w:tcPr>
                  <w:tcW w:w="1681" w:type="pct"/>
                  <w:tcBorders>
                    <w:tl2br w:val="nil"/>
                    <w:tr2bl w:val="nil"/>
                  </w:tcBorders>
                  <w:shd w:val="clear" w:color="auto" w:fill="auto"/>
                  <w:vAlign w:val="center"/>
                </w:tcPr>
                <w:p w14:paraId="30F66C7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32077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0D57BA1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3FB6CE1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S3</w:t>
                  </w:r>
                </w:p>
              </w:tc>
              <w:tc>
                <w:tcPr>
                  <w:tcW w:w="1226" w:type="pct"/>
                  <w:tcBorders>
                    <w:tl2br w:val="nil"/>
                    <w:tr2bl w:val="nil"/>
                  </w:tcBorders>
                  <w:vAlign w:val="center"/>
                </w:tcPr>
                <w:p w14:paraId="3C1775B6">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冲压模具维护</w:t>
                  </w:r>
                </w:p>
              </w:tc>
              <w:tc>
                <w:tcPr>
                  <w:tcW w:w="1006" w:type="pct"/>
                  <w:tcBorders>
                    <w:tl2br w:val="nil"/>
                    <w:tr2bl w:val="nil"/>
                  </w:tcBorders>
                  <w:vAlign w:val="center"/>
                </w:tcPr>
                <w:p w14:paraId="02A08C8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含油废屑</w:t>
                  </w:r>
                </w:p>
              </w:tc>
              <w:tc>
                <w:tcPr>
                  <w:tcW w:w="1681" w:type="pct"/>
                  <w:tcBorders>
                    <w:tl2br w:val="nil"/>
                    <w:tr2bl w:val="nil"/>
                  </w:tcBorders>
                  <w:shd w:val="clear" w:color="auto" w:fill="auto"/>
                  <w:vAlign w:val="center"/>
                </w:tcPr>
                <w:p w14:paraId="601D51F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13CE7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78AE2C71">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3DD5BED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S4</w:t>
                  </w:r>
                </w:p>
              </w:tc>
              <w:tc>
                <w:tcPr>
                  <w:tcW w:w="1226" w:type="pct"/>
                  <w:tcBorders>
                    <w:tl2br w:val="nil"/>
                    <w:tr2bl w:val="nil"/>
                  </w:tcBorders>
                  <w:shd w:val="clear" w:color="auto" w:fill="auto"/>
                  <w:vAlign w:val="center"/>
                </w:tcPr>
                <w:p w14:paraId="68C6653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分切</w:t>
                  </w:r>
                </w:p>
              </w:tc>
              <w:tc>
                <w:tcPr>
                  <w:tcW w:w="1006" w:type="pct"/>
                  <w:tcBorders>
                    <w:tl2br w:val="nil"/>
                    <w:tr2bl w:val="nil"/>
                  </w:tcBorders>
                  <w:shd w:val="clear" w:color="auto" w:fill="auto"/>
                  <w:vAlign w:val="center"/>
                </w:tcPr>
                <w:p w14:paraId="5E3B426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废边角料</w:t>
                  </w:r>
                </w:p>
              </w:tc>
              <w:tc>
                <w:tcPr>
                  <w:tcW w:w="1681" w:type="pct"/>
                  <w:tcBorders>
                    <w:tl2br w:val="nil"/>
                    <w:tr2bl w:val="nil"/>
                  </w:tcBorders>
                  <w:shd w:val="clear" w:color="auto" w:fill="auto"/>
                  <w:vAlign w:val="center"/>
                </w:tcPr>
                <w:p w14:paraId="59DBBCE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收集后外售</w:t>
                  </w:r>
                </w:p>
              </w:tc>
            </w:tr>
            <w:tr w14:paraId="0DD45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36864D5A">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57C10D6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S5</w:t>
                  </w:r>
                </w:p>
              </w:tc>
              <w:tc>
                <w:tcPr>
                  <w:tcW w:w="1226" w:type="pct"/>
                  <w:tcBorders>
                    <w:tl2br w:val="nil"/>
                    <w:tr2bl w:val="nil"/>
                  </w:tcBorders>
                  <w:vAlign w:val="center"/>
                </w:tcPr>
                <w:p w14:paraId="089EC42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清洗</w:t>
                  </w:r>
                </w:p>
              </w:tc>
              <w:tc>
                <w:tcPr>
                  <w:tcW w:w="1006" w:type="pct"/>
                  <w:tcBorders>
                    <w:tl2br w:val="nil"/>
                    <w:tr2bl w:val="nil"/>
                  </w:tcBorders>
                  <w:shd w:val="clear" w:color="auto" w:fill="auto"/>
                  <w:vAlign w:val="center"/>
                </w:tcPr>
                <w:p w14:paraId="11E1D9A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电解除油废液</w:t>
                  </w:r>
                </w:p>
              </w:tc>
              <w:tc>
                <w:tcPr>
                  <w:tcW w:w="1681" w:type="pct"/>
                  <w:tcBorders>
                    <w:tl2br w:val="nil"/>
                    <w:tr2bl w:val="nil"/>
                  </w:tcBorders>
                  <w:shd w:val="clear" w:color="auto" w:fill="auto"/>
                  <w:vAlign w:val="center"/>
                </w:tcPr>
                <w:p w14:paraId="35ABF97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3238E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04CE0F4B">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3DE4554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S6</w:t>
                  </w:r>
                </w:p>
              </w:tc>
              <w:tc>
                <w:tcPr>
                  <w:tcW w:w="1226" w:type="pct"/>
                  <w:tcBorders>
                    <w:tl2br w:val="nil"/>
                    <w:tr2bl w:val="nil"/>
                  </w:tcBorders>
                  <w:vAlign w:val="center"/>
                </w:tcPr>
                <w:p w14:paraId="38B143D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清洗</w:t>
                  </w:r>
                </w:p>
              </w:tc>
              <w:tc>
                <w:tcPr>
                  <w:tcW w:w="1006" w:type="pct"/>
                  <w:tcBorders>
                    <w:tl2br w:val="nil"/>
                    <w:tr2bl w:val="nil"/>
                  </w:tcBorders>
                  <w:shd w:val="clear" w:color="auto" w:fill="auto"/>
                  <w:vAlign w:val="center"/>
                </w:tcPr>
                <w:p w14:paraId="6346F9B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酸洗废液</w:t>
                  </w:r>
                </w:p>
              </w:tc>
              <w:tc>
                <w:tcPr>
                  <w:tcW w:w="1681" w:type="pct"/>
                  <w:tcBorders>
                    <w:tl2br w:val="nil"/>
                    <w:tr2bl w:val="nil"/>
                  </w:tcBorders>
                  <w:shd w:val="clear" w:color="auto" w:fill="auto"/>
                  <w:vAlign w:val="center"/>
                </w:tcPr>
                <w:p w14:paraId="3ECFF62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5823D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5C98F492">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5A5AD95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S7</w:t>
                  </w:r>
                </w:p>
              </w:tc>
              <w:tc>
                <w:tcPr>
                  <w:tcW w:w="1226" w:type="pct"/>
                  <w:tcBorders>
                    <w:tl2br w:val="nil"/>
                    <w:tr2bl w:val="nil"/>
                  </w:tcBorders>
                  <w:vAlign w:val="center"/>
                </w:tcPr>
                <w:p w14:paraId="736C216B">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清洗</w:t>
                  </w:r>
                </w:p>
              </w:tc>
              <w:tc>
                <w:tcPr>
                  <w:tcW w:w="1006" w:type="pct"/>
                  <w:tcBorders>
                    <w:tl2br w:val="nil"/>
                    <w:tr2bl w:val="nil"/>
                  </w:tcBorders>
                  <w:shd w:val="clear" w:color="auto" w:fill="auto"/>
                  <w:vAlign w:val="center"/>
                </w:tcPr>
                <w:p w14:paraId="66C7865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铜保护废液</w:t>
                  </w:r>
                </w:p>
              </w:tc>
              <w:tc>
                <w:tcPr>
                  <w:tcW w:w="1681" w:type="pct"/>
                  <w:tcBorders>
                    <w:tl2br w:val="nil"/>
                    <w:tr2bl w:val="nil"/>
                  </w:tcBorders>
                  <w:shd w:val="clear" w:color="auto" w:fill="auto"/>
                  <w:vAlign w:val="center"/>
                </w:tcPr>
                <w:p w14:paraId="677B524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15EE7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7618E26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10F5C179">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S8</w:t>
                  </w:r>
                </w:p>
              </w:tc>
              <w:tc>
                <w:tcPr>
                  <w:tcW w:w="1226" w:type="pct"/>
                  <w:tcBorders>
                    <w:tl2br w:val="nil"/>
                    <w:tr2bl w:val="nil"/>
                  </w:tcBorders>
                  <w:shd w:val="clear" w:color="auto" w:fill="auto"/>
                  <w:vAlign w:val="center"/>
                </w:tcPr>
                <w:p w14:paraId="1C3C42B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检验</w:t>
                  </w:r>
                </w:p>
              </w:tc>
              <w:tc>
                <w:tcPr>
                  <w:tcW w:w="1006" w:type="pct"/>
                  <w:tcBorders>
                    <w:tl2br w:val="nil"/>
                    <w:tr2bl w:val="nil"/>
                  </w:tcBorders>
                  <w:shd w:val="clear" w:color="auto" w:fill="auto"/>
                  <w:vAlign w:val="center"/>
                </w:tcPr>
                <w:p w14:paraId="5EF63B4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不合格品</w:t>
                  </w:r>
                </w:p>
              </w:tc>
              <w:tc>
                <w:tcPr>
                  <w:tcW w:w="1681" w:type="pct"/>
                  <w:tcBorders>
                    <w:tl2br w:val="nil"/>
                    <w:tr2bl w:val="nil"/>
                  </w:tcBorders>
                  <w:shd w:val="clear" w:color="auto" w:fill="auto"/>
                  <w:vAlign w:val="center"/>
                </w:tcPr>
                <w:p w14:paraId="3C99CAD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收集后外售</w:t>
                  </w:r>
                </w:p>
              </w:tc>
            </w:tr>
            <w:tr w14:paraId="2564C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601B7EC3">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7968DEF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S9</w:t>
                  </w:r>
                </w:p>
              </w:tc>
              <w:tc>
                <w:tcPr>
                  <w:tcW w:w="1226" w:type="pct"/>
                  <w:tcBorders>
                    <w:tl2br w:val="nil"/>
                    <w:tr2bl w:val="nil"/>
                  </w:tcBorders>
                  <w:vAlign w:val="center"/>
                </w:tcPr>
                <w:p w14:paraId="3095824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w:t>
                  </w:r>
                  <w:r>
                    <w:rPr>
                      <w:rFonts w:hint="eastAsia" w:ascii="Times New Roman" w:hAnsi="Times New Roman" w:eastAsia="宋体" w:cs="Times New Roman"/>
                      <w:color w:val="000000" w:themeColor="text1"/>
                      <w:szCs w:val="21"/>
                      <w:lang w:val="en-US" w:eastAsia="zh-CN"/>
                      <w14:textFill>
                        <w14:solidFill>
                          <w14:schemeClr w14:val="tx1"/>
                        </w14:solidFill>
                      </w14:textFill>
                    </w:rPr>
                    <w:t>维护</w:t>
                  </w:r>
                </w:p>
              </w:tc>
              <w:tc>
                <w:tcPr>
                  <w:tcW w:w="1006" w:type="pct"/>
                  <w:tcBorders>
                    <w:tl2br w:val="nil"/>
                    <w:tr2bl w:val="nil"/>
                  </w:tcBorders>
                  <w:shd w:val="clear" w:color="auto" w:fill="auto"/>
                  <w:vAlign w:val="center"/>
                </w:tcPr>
                <w:p w14:paraId="7E66359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Cs w:val="21"/>
                      <w:lang w:val="en-US" w:eastAsia="zh-CN"/>
                      <w14:textFill>
                        <w14:solidFill>
                          <w14:schemeClr w14:val="tx1"/>
                        </w14:solidFill>
                      </w14:textFill>
                    </w:rPr>
                    <w:t>抹布</w:t>
                  </w:r>
                </w:p>
              </w:tc>
              <w:tc>
                <w:tcPr>
                  <w:tcW w:w="1681" w:type="pct"/>
                  <w:tcBorders>
                    <w:tl2br w:val="nil"/>
                    <w:tr2bl w:val="nil"/>
                  </w:tcBorders>
                  <w:shd w:val="clear" w:color="auto" w:fill="auto"/>
                  <w:vAlign w:val="center"/>
                </w:tcPr>
                <w:p w14:paraId="7CFDF6E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582AB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49306F35">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1DA3C33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S10</w:t>
                  </w:r>
                </w:p>
              </w:tc>
              <w:tc>
                <w:tcPr>
                  <w:tcW w:w="1226" w:type="pct"/>
                  <w:tcBorders>
                    <w:tl2br w:val="nil"/>
                    <w:tr2bl w:val="nil"/>
                  </w:tcBorders>
                  <w:vAlign w:val="center"/>
                </w:tcPr>
                <w:p w14:paraId="57AE82C8">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废气处理</w:t>
                  </w:r>
                </w:p>
              </w:tc>
              <w:tc>
                <w:tcPr>
                  <w:tcW w:w="1006" w:type="pct"/>
                  <w:tcBorders>
                    <w:tl2br w:val="nil"/>
                    <w:tr2bl w:val="nil"/>
                  </w:tcBorders>
                  <w:shd w:val="clear" w:color="auto" w:fill="auto"/>
                  <w:vAlign w:val="center"/>
                </w:tcPr>
                <w:p w14:paraId="0DFBE5A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废活性炭</w:t>
                  </w:r>
                </w:p>
              </w:tc>
              <w:tc>
                <w:tcPr>
                  <w:tcW w:w="1681" w:type="pct"/>
                  <w:tcBorders>
                    <w:tl2br w:val="nil"/>
                    <w:tr2bl w:val="nil"/>
                  </w:tcBorders>
                  <w:shd w:val="clear" w:color="auto" w:fill="auto"/>
                  <w:vAlign w:val="center"/>
                </w:tcPr>
                <w:p w14:paraId="4C992BA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3FD7D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0CB6B43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240F29C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S11</w:t>
                  </w:r>
                </w:p>
              </w:tc>
              <w:tc>
                <w:tcPr>
                  <w:tcW w:w="1226" w:type="pct"/>
                  <w:tcBorders>
                    <w:tl2br w:val="nil"/>
                    <w:tr2bl w:val="nil"/>
                  </w:tcBorders>
                  <w:shd w:val="clear" w:color="auto" w:fill="auto"/>
                  <w:vAlign w:val="center"/>
                </w:tcPr>
                <w:p w14:paraId="5648B0D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废水处理</w:t>
                  </w:r>
                </w:p>
              </w:tc>
              <w:tc>
                <w:tcPr>
                  <w:tcW w:w="1006" w:type="pct"/>
                  <w:tcBorders>
                    <w:tl2br w:val="nil"/>
                    <w:tr2bl w:val="nil"/>
                  </w:tcBorders>
                  <w:shd w:val="clear" w:color="auto" w:fill="auto"/>
                  <w:vAlign w:val="center"/>
                </w:tcPr>
                <w:p w14:paraId="17B69DD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污泥</w:t>
                  </w:r>
                </w:p>
              </w:tc>
              <w:tc>
                <w:tcPr>
                  <w:tcW w:w="1681" w:type="pct"/>
                  <w:tcBorders>
                    <w:tl2br w:val="nil"/>
                    <w:tr2bl w:val="nil"/>
                  </w:tcBorders>
                  <w:shd w:val="clear" w:color="auto" w:fill="auto"/>
                  <w:vAlign w:val="center"/>
                </w:tcPr>
                <w:p w14:paraId="1893CD5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4FE4D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630C032B">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771E2DE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S12</w:t>
                  </w:r>
                </w:p>
              </w:tc>
              <w:tc>
                <w:tcPr>
                  <w:tcW w:w="1226" w:type="pct"/>
                  <w:tcBorders>
                    <w:tl2br w:val="nil"/>
                    <w:tr2bl w:val="nil"/>
                  </w:tcBorders>
                  <w:shd w:val="clear" w:color="auto" w:fill="auto"/>
                  <w:vAlign w:val="center"/>
                </w:tcPr>
                <w:p w14:paraId="0AEE64E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废水处理</w:t>
                  </w:r>
                </w:p>
              </w:tc>
              <w:tc>
                <w:tcPr>
                  <w:tcW w:w="1006" w:type="pct"/>
                  <w:tcBorders>
                    <w:tl2br w:val="nil"/>
                    <w:tr2bl w:val="nil"/>
                  </w:tcBorders>
                  <w:shd w:val="clear" w:color="auto" w:fill="auto"/>
                  <w:vAlign w:val="center"/>
                </w:tcPr>
                <w:p w14:paraId="12B2935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浓水</w:t>
                  </w:r>
                </w:p>
              </w:tc>
              <w:tc>
                <w:tcPr>
                  <w:tcW w:w="1681" w:type="pct"/>
                  <w:tcBorders>
                    <w:tl2br w:val="nil"/>
                    <w:tr2bl w:val="nil"/>
                  </w:tcBorders>
                  <w:shd w:val="clear" w:color="auto" w:fill="auto"/>
                  <w:vAlign w:val="center"/>
                </w:tcPr>
                <w:p w14:paraId="0102F63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20094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55AD6A74">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05F7EB9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S13</w:t>
                  </w:r>
                </w:p>
              </w:tc>
              <w:tc>
                <w:tcPr>
                  <w:tcW w:w="1226" w:type="pct"/>
                  <w:tcBorders>
                    <w:tl2br w:val="nil"/>
                    <w:tr2bl w:val="nil"/>
                  </w:tcBorders>
                  <w:shd w:val="clear" w:color="auto" w:fill="auto"/>
                  <w:vAlign w:val="center"/>
                </w:tcPr>
                <w:p w14:paraId="08F55F1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废水处理</w:t>
                  </w:r>
                </w:p>
              </w:tc>
              <w:tc>
                <w:tcPr>
                  <w:tcW w:w="1006" w:type="pct"/>
                  <w:tcBorders>
                    <w:tl2br w:val="nil"/>
                    <w:tr2bl w:val="nil"/>
                  </w:tcBorders>
                  <w:shd w:val="clear" w:color="auto" w:fill="auto"/>
                  <w:vAlign w:val="center"/>
                </w:tcPr>
                <w:p w14:paraId="096FC2F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污水处理站耗材</w:t>
                  </w:r>
                </w:p>
              </w:tc>
              <w:tc>
                <w:tcPr>
                  <w:tcW w:w="1681" w:type="pct"/>
                  <w:tcBorders>
                    <w:tl2br w:val="nil"/>
                    <w:tr2bl w:val="nil"/>
                  </w:tcBorders>
                  <w:shd w:val="clear" w:color="auto" w:fill="auto"/>
                  <w:vAlign w:val="center"/>
                </w:tcPr>
                <w:p w14:paraId="3E76788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19646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4DDF87D2">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7176C7FE">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S14</w:t>
                  </w:r>
                </w:p>
              </w:tc>
              <w:tc>
                <w:tcPr>
                  <w:tcW w:w="1226" w:type="pct"/>
                  <w:tcBorders>
                    <w:tl2br w:val="nil"/>
                    <w:tr2bl w:val="nil"/>
                  </w:tcBorders>
                  <w:shd w:val="clear" w:color="auto" w:fill="auto"/>
                  <w:vAlign w:val="center"/>
                </w:tcPr>
                <w:p w14:paraId="03978BF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纯水制备</w:t>
                  </w:r>
                </w:p>
              </w:tc>
              <w:tc>
                <w:tcPr>
                  <w:tcW w:w="1006" w:type="pct"/>
                  <w:tcBorders>
                    <w:tl2br w:val="nil"/>
                    <w:tr2bl w:val="nil"/>
                  </w:tcBorders>
                  <w:shd w:val="clear" w:color="auto" w:fill="auto"/>
                  <w:vAlign w:val="center"/>
                </w:tcPr>
                <w:p w14:paraId="0A14743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纯水制备耗材</w:t>
                  </w:r>
                </w:p>
              </w:tc>
              <w:tc>
                <w:tcPr>
                  <w:tcW w:w="1681" w:type="pct"/>
                  <w:tcBorders>
                    <w:tl2br w:val="nil"/>
                    <w:tr2bl w:val="nil"/>
                  </w:tcBorders>
                  <w:shd w:val="clear" w:color="auto" w:fill="auto"/>
                  <w:vAlign w:val="center"/>
                </w:tcPr>
                <w:p w14:paraId="2D7D5E7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收集后外售</w:t>
                  </w:r>
                </w:p>
              </w:tc>
            </w:tr>
            <w:tr w14:paraId="5B55D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continue"/>
                  <w:tcBorders>
                    <w:tl2br w:val="nil"/>
                    <w:tr2bl w:val="nil"/>
                  </w:tcBorders>
                  <w:vAlign w:val="center"/>
                </w:tcPr>
                <w:p w14:paraId="56981B21">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92" w:type="pct"/>
                  <w:tcBorders>
                    <w:tl2br w:val="nil"/>
                    <w:tr2bl w:val="nil"/>
                  </w:tcBorders>
                  <w:shd w:val="clear" w:color="auto" w:fill="auto"/>
                  <w:vAlign w:val="center"/>
                </w:tcPr>
                <w:p w14:paraId="3E9FAD6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S15</w:t>
                  </w:r>
                </w:p>
              </w:tc>
              <w:tc>
                <w:tcPr>
                  <w:tcW w:w="1226" w:type="pct"/>
                  <w:tcBorders>
                    <w:tl2br w:val="nil"/>
                    <w:tr2bl w:val="nil"/>
                  </w:tcBorders>
                  <w:shd w:val="clear" w:color="auto" w:fill="auto"/>
                  <w:vAlign w:val="center"/>
                </w:tcPr>
                <w:p w14:paraId="075D0F3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包装拆解</w:t>
                  </w:r>
                </w:p>
              </w:tc>
              <w:tc>
                <w:tcPr>
                  <w:tcW w:w="1006" w:type="pct"/>
                  <w:tcBorders>
                    <w:tl2br w:val="nil"/>
                    <w:tr2bl w:val="nil"/>
                  </w:tcBorders>
                  <w:shd w:val="clear" w:color="auto" w:fill="auto"/>
                  <w:vAlign w:val="center"/>
                </w:tcPr>
                <w:p w14:paraId="336BB55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废包装材料</w:t>
                  </w:r>
                </w:p>
              </w:tc>
              <w:tc>
                <w:tcPr>
                  <w:tcW w:w="1681" w:type="pct"/>
                  <w:tcBorders>
                    <w:tl2br w:val="nil"/>
                    <w:tr2bl w:val="nil"/>
                  </w:tcBorders>
                  <w:shd w:val="clear" w:color="auto" w:fill="auto"/>
                  <w:vAlign w:val="center"/>
                </w:tcPr>
                <w:p w14:paraId="1A8D473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bl>
          <w:p w14:paraId="61736867">
            <w:pPr>
              <w:spacing w:line="360" w:lineRule="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p>
          <w:p w14:paraId="75B3B913">
            <w:pPr>
              <w:pStyle w:val="33"/>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p>
          <w:p w14:paraId="108FD9C5">
            <w:pPr>
              <w:pStyle w:val="33"/>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p>
        </w:tc>
      </w:tr>
      <w:tr w14:paraId="7A27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4" w:hRule="atLeast"/>
        </w:trPr>
        <w:tc>
          <w:tcPr>
            <w:tcW w:w="237" w:type="pct"/>
            <w:vAlign w:val="center"/>
          </w:tcPr>
          <w:p w14:paraId="214EB514">
            <w:pPr>
              <w:jc w:val="center"/>
              <w:rPr>
                <w:rFonts w:hint="default" w:ascii="Times New Roman" w:hAnsi="Times New Roman" w:eastAsia="宋体" w:cs="Times New Roman"/>
                <w:b/>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与项目有关的原有环境污染问题</w:t>
            </w:r>
          </w:p>
        </w:tc>
        <w:tc>
          <w:tcPr>
            <w:tcW w:w="4762" w:type="pct"/>
            <w:vAlign w:val="top"/>
          </w:tcPr>
          <w:p w14:paraId="1657B667">
            <w:pPr>
              <w:spacing w:line="360" w:lineRule="auto"/>
              <w:ind w:firstLine="482" w:firstLineChars="20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一、</w:t>
            </w:r>
            <w:r>
              <w:rPr>
                <w:rFonts w:hint="default" w:ascii="Times New Roman" w:hAnsi="Times New Roman" w:eastAsia="宋体" w:cs="Times New Roman"/>
                <w:b/>
                <w:color w:val="000000" w:themeColor="text1"/>
                <w:sz w:val="24"/>
                <w14:textFill>
                  <w14:solidFill>
                    <w14:schemeClr w14:val="tx1"/>
                  </w14:solidFill>
                </w14:textFill>
              </w:rPr>
              <w:t>现有项目</w:t>
            </w:r>
            <w:r>
              <w:rPr>
                <w:rFonts w:hint="eastAsia" w:ascii="Times New Roman" w:hAnsi="Times New Roman" w:eastAsia="宋体" w:cs="Times New Roman"/>
                <w:b/>
                <w:color w:val="000000" w:themeColor="text1"/>
                <w:sz w:val="24"/>
                <w:lang w:val="en-US" w:eastAsia="zh-CN"/>
                <w14:textFill>
                  <w14:solidFill>
                    <w14:schemeClr w14:val="tx1"/>
                  </w14:solidFill>
                </w14:textFill>
              </w:rPr>
              <w:t>环保手续</w:t>
            </w:r>
          </w:p>
          <w:p w14:paraId="2A6887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常州市鼎一电子有限公司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于2021年购置联东U谷金坛科技产业园内的现有标准厂房2000m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，现有放料机、整平机、冲床、磨床、分切机等设备，具备年产6亿套</w:t>
            </w:r>
            <w:r>
              <w:rPr>
                <w:rFonts w:hint="default" w:ascii="Times New Roman" w:hAnsi="Times New Roman" w:eastAsia="宋体" w:cs="Times New Roman"/>
                <w:color w:val="000000" w:themeColor="text1"/>
                <w:sz w:val="24"/>
                <w:lang w:eastAsia="zh-CN"/>
                <w14:textFill>
                  <w14:solidFill>
                    <w14:schemeClr w14:val="tx1"/>
                  </w14:solidFill>
                </w14:textFill>
              </w:rPr>
              <w:t>芯片框架组件的生产能力</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清洗委外</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所属行业为C3989其他电子元件制造，无需编制环评。已申领排污许可登记，编号为：913204133019106739001Z。</w:t>
            </w:r>
          </w:p>
          <w:p w14:paraId="639EE93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二、现有项目产品方案</w:t>
            </w:r>
            <w:r>
              <w:rPr>
                <w:rFonts w:hint="eastAsia" w:ascii="Times New Roman" w:hAnsi="Times New Roman" w:eastAsia="宋体" w:cs="Times New Roman"/>
                <w:b/>
                <w:color w:val="000000" w:themeColor="text1"/>
                <w:sz w:val="24"/>
                <w:lang w:val="en-US" w:eastAsia="zh-CN"/>
                <w14:textFill>
                  <w14:solidFill>
                    <w14:schemeClr w14:val="tx1"/>
                  </w14:solidFill>
                </w14:textFill>
              </w:rPr>
              <w:t>及基本情况</w:t>
            </w:r>
          </w:p>
          <w:p w14:paraId="7B9C1C5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1、现有项目产品方案</w:t>
            </w:r>
          </w:p>
          <w:p w14:paraId="6559D9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sz w:val="21"/>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14:textFill>
                  <w14:solidFill>
                    <w14:schemeClr w14:val="tx1"/>
                  </w14:solidFill>
                </w14:textFill>
              </w:rPr>
              <w:t>表 2-</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14</w:t>
            </w:r>
            <w:r>
              <w:rPr>
                <w:rFonts w:hint="default" w:ascii="Times New Roman" w:hAnsi="Times New Roman" w:eastAsia="宋体" w:cs="Times New Roman"/>
                <w:b/>
                <w:bCs/>
                <w:color w:val="000000" w:themeColor="text1"/>
                <w:spacing w:val="0"/>
                <w:kern w:val="0"/>
                <w:sz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现有项目产品方案</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33"/>
              <w:gridCol w:w="2068"/>
              <w:gridCol w:w="2482"/>
              <w:gridCol w:w="2144"/>
            </w:tblGrid>
            <w:tr w14:paraId="675BCA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0" w:type="pct"/>
                  <w:vAlign w:val="center"/>
                </w:tcPr>
                <w:p w14:paraId="6A555131">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产品名称</w:t>
                  </w:r>
                </w:p>
              </w:tc>
              <w:tc>
                <w:tcPr>
                  <w:tcW w:w="1198" w:type="pct"/>
                  <w:vAlign w:val="center"/>
                </w:tcPr>
                <w:p w14:paraId="43C63ED5">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具体产品</w:t>
                  </w:r>
                </w:p>
              </w:tc>
              <w:tc>
                <w:tcPr>
                  <w:tcW w:w="1438" w:type="pct"/>
                  <w:vAlign w:val="center"/>
                </w:tcPr>
                <w:p w14:paraId="5E3E8920">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原项目生产规模</w:t>
                  </w:r>
                </w:p>
              </w:tc>
              <w:tc>
                <w:tcPr>
                  <w:tcW w:w="1242" w:type="pct"/>
                  <w:vAlign w:val="center"/>
                </w:tcPr>
                <w:p w14:paraId="0B1BF82A">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年运行时数</w:t>
                  </w:r>
                </w:p>
              </w:tc>
            </w:tr>
            <w:tr w14:paraId="4B78CD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restart"/>
                  <w:vAlign w:val="center"/>
                </w:tcPr>
                <w:p w14:paraId="65B0817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芯片框架组件</w:t>
                  </w:r>
                </w:p>
              </w:tc>
              <w:tc>
                <w:tcPr>
                  <w:tcW w:w="1198" w:type="pct"/>
                  <w:vAlign w:val="center"/>
                </w:tcPr>
                <w:p w14:paraId="7E351C7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光伏系列产品</w:t>
                  </w:r>
                </w:p>
              </w:tc>
              <w:tc>
                <w:tcPr>
                  <w:tcW w:w="1438" w:type="pct"/>
                  <w:vAlign w:val="center"/>
                </w:tcPr>
                <w:p w14:paraId="2AF3801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242" w:type="pct"/>
                  <w:vMerge w:val="restart"/>
                  <w:vAlign w:val="center"/>
                </w:tcPr>
                <w:p w14:paraId="09A6DB0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00h</w:t>
                  </w:r>
                </w:p>
              </w:tc>
            </w:tr>
            <w:tr w14:paraId="6E557C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vAlign w:val="center"/>
                </w:tcPr>
                <w:p w14:paraId="3CBC480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98" w:type="pct"/>
                  <w:vAlign w:val="center"/>
                </w:tcPr>
                <w:p w14:paraId="5AB6E43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TO系列产品</w:t>
                  </w:r>
                </w:p>
              </w:tc>
              <w:tc>
                <w:tcPr>
                  <w:tcW w:w="1438" w:type="pct"/>
                  <w:vAlign w:val="center"/>
                </w:tcPr>
                <w:p w14:paraId="4EBCA3F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242" w:type="pct"/>
                  <w:vMerge w:val="continue"/>
                  <w:vAlign w:val="center"/>
                </w:tcPr>
                <w:p w14:paraId="730A16A3">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6C70F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vAlign w:val="center"/>
                </w:tcPr>
                <w:p w14:paraId="057CF09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98" w:type="pct"/>
                  <w:vAlign w:val="center"/>
                </w:tcPr>
                <w:p w14:paraId="660FF701">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框架系列产品</w:t>
                  </w:r>
                </w:p>
              </w:tc>
              <w:tc>
                <w:tcPr>
                  <w:tcW w:w="1438" w:type="pct"/>
                  <w:vAlign w:val="center"/>
                </w:tcPr>
                <w:p w14:paraId="65A7BBD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242" w:type="pct"/>
                  <w:vMerge w:val="continue"/>
                  <w:vAlign w:val="center"/>
                </w:tcPr>
                <w:p w14:paraId="1BD130A2">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A156E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vAlign w:val="center"/>
                </w:tcPr>
                <w:p w14:paraId="3F3C4B4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98" w:type="pct"/>
                  <w:vAlign w:val="center"/>
                </w:tcPr>
                <w:p w14:paraId="1D4E2BF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跳线系列产品</w:t>
                  </w:r>
                </w:p>
              </w:tc>
              <w:tc>
                <w:tcPr>
                  <w:tcW w:w="1438" w:type="pct"/>
                  <w:vAlign w:val="center"/>
                </w:tcPr>
                <w:p w14:paraId="12566E9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亿套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242" w:type="pct"/>
                  <w:vMerge w:val="continue"/>
                  <w:vAlign w:val="center"/>
                </w:tcPr>
                <w:p w14:paraId="0CEFD6D8">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2220268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2、现有项目原辅料使用情况</w:t>
            </w:r>
          </w:p>
          <w:p w14:paraId="7D4E34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sz w:val="21"/>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14:textFill>
                  <w14:solidFill>
                    <w14:schemeClr w14:val="tx1"/>
                  </w14:solidFill>
                </w14:textFill>
              </w:rPr>
              <w:t>表 2-</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15</w:t>
            </w:r>
            <w:r>
              <w:rPr>
                <w:rFonts w:hint="default" w:ascii="Times New Roman" w:hAnsi="Times New Roman" w:eastAsia="宋体" w:cs="Times New Roman"/>
                <w:b/>
                <w:bCs/>
                <w:color w:val="000000" w:themeColor="text1"/>
                <w:spacing w:val="0"/>
                <w:kern w:val="0"/>
                <w:sz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现有项目原辅料使用情况</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957"/>
              <w:gridCol w:w="3294"/>
              <w:gridCol w:w="871"/>
              <w:gridCol w:w="825"/>
              <w:gridCol w:w="749"/>
              <w:gridCol w:w="765"/>
              <w:gridCol w:w="685"/>
            </w:tblGrid>
            <w:tr w14:paraId="6962D6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3" w:type="dxa"/>
                  <w:shd w:val="clear" w:color="auto" w:fill="auto"/>
                  <w:vAlign w:val="center"/>
                </w:tcPr>
                <w:p w14:paraId="34561C99">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957" w:type="dxa"/>
                  <w:vAlign w:val="center"/>
                </w:tcPr>
                <w:p w14:paraId="17D3FA01">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3294" w:type="dxa"/>
                  <w:vAlign w:val="center"/>
                </w:tcPr>
                <w:p w14:paraId="67646E96">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重要组分、规格及指标</w:t>
                  </w:r>
                </w:p>
              </w:tc>
              <w:tc>
                <w:tcPr>
                  <w:tcW w:w="871" w:type="dxa"/>
                  <w:vAlign w:val="center"/>
                </w:tcPr>
                <w:p w14:paraId="124DD23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年耗量</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p>
              </w:tc>
              <w:tc>
                <w:tcPr>
                  <w:tcW w:w="825" w:type="dxa"/>
                  <w:vAlign w:val="center"/>
                </w:tcPr>
                <w:p w14:paraId="2B724908">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最大储存量</w:t>
                  </w:r>
                </w:p>
              </w:tc>
              <w:tc>
                <w:tcPr>
                  <w:tcW w:w="749" w:type="dxa"/>
                  <w:vAlign w:val="center"/>
                </w:tcPr>
                <w:p w14:paraId="6324CCBC">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存放位置</w:t>
                  </w:r>
                </w:p>
              </w:tc>
              <w:tc>
                <w:tcPr>
                  <w:tcW w:w="765" w:type="dxa"/>
                  <w:vAlign w:val="center"/>
                </w:tcPr>
                <w:p w14:paraId="7C9519B7">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包装方式</w:t>
                  </w:r>
                </w:p>
              </w:tc>
              <w:tc>
                <w:tcPr>
                  <w:tcW w:w="685" w:type="dxa"/>
                  <w:vAlign w:val="center"/>
                </w:tcPr>
                <w:p w14:paraId="1BD3FCB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来源及</w:t>
                  </w:r>
                </w:p>
                <w:p w14:paraId="3B8707C7">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运输</w:t>
                  </w:r>
                </w:p>
              </w:tc>
            </w:tr>
            <w:tr w14:paraId="02D8ED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3" w:type="dxa"/>
                  <w:shd w:val="clear" w:color="auto" w:fill="auto"/>
                  <w:vAlign w:val="center"/>
                </w:tcPr>
                <w:p w14:paraId="66A03A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957" w:type="dxa"/>
                  <w:shd w:val="clear" w:color="auto" w:fill="auto"/>
                  <w:vAlign w:val="center"/>
                </w:tcPr>
                <w:p w14:paraId="31BAE5F4">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铜带</w:t>
                  </w:r>
                </w:p>
              </w:tc>
              <w:tc>
                <w:tcPr>
                  <w:tcW w:w="3294" w:type="dxa"/>
                  <w:vAlign w:val="center"/>
                </w:tcPr>
                <w:p w14:paraId="4337D3D2">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片（0.12-0.8mm），铜99.31%-99.425%、铁0.05%-0.15%，磷0.025-0.04%，上述元素综合</w:t>
                  </w:r>
                  <w:r>
                    <w:rPr>
                      <w:rFonts w:hint="eastAsia" w:ascii="宋体" w:hAnsi="宋体" w:eastAsia="宋体" w:cs="宋体"/>
                      <w:color w:val="000000" w:themeColor="text1"/>
                      <w:kern w:val="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99.5%（不含其他重金属）</w:t>
                  </w:r>
                </w:p>
              </w:tc>
              <w:tc>
                <w:tcPr>
                  <w:tcW w:w="871" w:type="dxa"/>
                  <w:shd w:val="clear" w:color="auto" w:fill="auto"/>
                  <w:vAlign w:val="center"/>
                </w:tcPr>
                <w:p w14:paraId="40B94661">
                  <w:pPr>
                    <w:jc w:val="center"/>
                    <w:rPr>
                      <w:rFonts w:hint="default" w:ascii="Times New Roman" w:hAnsi="Times New Roman" w:eastAsia="宋体" w:cs="Times New Roman"/>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770</w:t>
                  </w:r>
                </w:p>
              </w:tc>
              <w:tc>
                <w:tcPr>
                  <w:tcW w:w="825" w:type="dxa"/>
                  <w:shd w:val="clear" w:color="auto" w:fill="auto"/>
                  <w:vAlign w:val="center"/>
                </w:tcPr>
                <w:p w14:paraId="5DBF04F4">
                  <w:pPr>
                    <w:jc w:val="center"/>
                    <w:rPr>
                      <w:rFonts w:hint="default" w:ascii="Times New Roman" w:hAnsi="Times New Roman" w:cs="Times New Roman" w:eastAsiaTheme="minorEastAsia"/>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120</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49" w:type="dxa"/>
                  <w:vAlign w:val="center"/>
                </w:tcPr>
                <w:p w14:paraId="2CA55E73">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65" w:type="dxa"/>
                  <w:vAlign w:val="center"/>
                </w:tcPr>
                <w:p w14:paraId="3EFFD98C">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堆放</w:t>
                  </w:r>
                </w:p>
              </w:tc>
              <w:tc>
                <w:tcPr>
                  <w:tcW w:w="685" w:type="dxa"/>
                  <w:vMerge w:val="restart"/>
                  <w:vAlign w:val="center"/>
                </w:tcPr>
                <w:p w14:paraId="01C493E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国内</w:t>
                  </w:r>
                </w:p>
                <w:p w14:paraId="770BEF6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车运</w:t>
                  </w:r>
                </w:p>
              </w:tc>
            </w:tr>
            <w:tr w14:paraId="21234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3" w:type="dxa"/>
                  <w:shd w:val="clear" w:color="auto" w:fill="auto"/>
                  <w:vAlign w:val="center"/>
                </w:tcPr>
                <w:p w14:paraId="79F6B7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57" w:type="dxa"/>
                  <w:shd w:val="clear" w:color="auto" w:fill="auto"/>
                  <w:vAlign w:val="center"/>
                </w:tcPr>
                <w:p w14:paraId="4F7FC395">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润滑油</w:t>
                  </w:r>
                </w:p>
              </w:tc>
              <w:tc>
                <w:tcPr>
                  <w:tcW w:w="3294" w:type="dxa"/>
                  <w:shd w:val="clear" w:color="auto" w:fill="auto"/>
                  <w:vAlign w:val="center"/>
                </w:tcPr>
                <w:p w14:paraId="7744F282">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润滑油</w:t>
                  </w:r>
                </w:p>
              </w:tc>
              <w:tc>
                <w:tcPr>
                  <w:tcW w:w="871" w:type="dxa"/>
                  <w:shd w:val="clear" w:color="auto" w:fill="auto"/>
                  <w:vAlign w:val="center"/>
                </w:tcPr>
                <w:p w14:paraId="45CB12E2">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0.3</w:t>
                  </w:r>
                </w:p>
              </w:tc>
              <w:tc>
                <w:tcPr>
                  <w:tcW w:w="825" w:type="dxa"/>
                  <w:shd w:val="clear" w:color="auto" w:fill="auto"/>
                  <w:vAlign w:val="center"/>
                </w:tcPr>
                <w:p w14:paraId="63EAA9A4">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0.05</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49" w:type="dxa"/>
                  <w:vAlign w:val="center"/>
                </w:tcPr>
                <w:p w14:paraId="62E7DC4F">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65" w:type="dxa"/>
                  <w:vAlign w:val="center"/>
                </w:tcPr>
                <w:p w14:paraId="5B52B863">
                  <w:pPr>
                    <w:pStyle w:val="5"/>
                    <w:bidi w:val="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685" w:type="dxa"/>
                  <w:vMerge w:val="continue"/>
                  <w:vAlign w:val="center"/>
                </w:tcPr>
                <w:p w14:paraId="42B1DF80">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F6B7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3" w:type="dxa"/>
                  <w:shd w:val="clear" w:color="auto" w:fill="auto"/>
                  <w:vAlign w:val="center"/>
                </w:tcPr>
                <w:p w14:paraId="3781E62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957" w:type="dxa"/>
                  <w:shd w:val="clear" w:color="auto" w:fill="auto"/>
                  <w:vAlign w:val="center"/>
                </w:tcPr>
                <w:p w14:paraId="0AF845E5">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磨削液</w:t>
                  </w:r>
                </w:p>
              </w:tc>
              <w:tc>
                <w:tcPr>
                  <w:tcW w:w="3294" w:type="dxa"/>
                  <w:shd w:val="clear" w:color="auto" w:fill="auto"/>
                  <w:vAlign w:val="center"/>
                </w:tcPr>
                <w:p w14:paraId="132E2C9E">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基础油、表面活性剂、防锈剂、合成添加剂</w:t>
                  </w:r>
                </w:p>
              </w:tc>
              <w:tc>
                <w:tcPr>
                  <w:tcW w:w="871" w:type="dxa"/>
                  <w:shd w:val="clear" w:color="auto" w:fill="auto"/>
                  <w:vAlign w:val="center"/>
                </w:tcPr>
                <w:p w14:paraId="6F97E58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0.025</w:t>
                  </w:r>
                </w:p>
              </w:tc>
              <w:tc>
                <w:tcPr>
                  <w:tcW w:w="825" w:type="dxa"/>
                  <w:shd w:val="clear" w:color="auto" w:fill="auto"/>
                  <w:vAlign w:val="center"/>
                </w:tcPr>
                <w:p w14:paraId="6A27AC99">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0.05</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t</w:t>
                  </w:r>
                </w:p>
              </w:tc>
              <w:tc>
                <w:tcPr>
                  <w:tcW w:w="749" w:type="dxa"/>
                  <w:vAlign w:val="center"/>
                </w:tcPr>
                <w:p w14:paraId="2F3890DC">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65" w:type="dxa"/>
                  <w:vAlign w:val="center"/>
                </w:tcPr>
                <w:p w14:paraId="296E05E5">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685" w:type="dxa"/>
                  <w:vMerge w:val="continue"/>
                  <w:vAlign w:val="center"/>
                </w:tcPr>
                <w:p w14:paraId="26938CD2">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8AF2D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3" w:type="dxa"/>
                  <w:shd w:val="clear" w:color="auto" w:fill="auto"/>
                  <w:vAlign w:val="center"/>
                </w:tcPr>
                <w:p w14:paraId="3FDCD0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57" w:type="dxa"/>
                  <w:shd w:val="clear" w:color="auto" w:fill="auto"/>
                  <w:vAlign w:val="center"/>
                </w:tcPr>
                <w:p w14:paraId="1B790B8E">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模具</w:t>
                  </w:r>
                </w:p>
              </w:tc>
              <w:tc>
                <w:tcPr>
                  <w:tcW w:w="3294" w:type="dxa"/>
                  <w:shd w:val="clear" w:color="auto" w:fill="auto"/>
                  <w:vAlign w:val="center"/>
                </w:tcPr>
                <w:p w14:paraId="0DB8F2C2">
                  <w:pPr>
                    <w:pStyle w:val="5"/>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模具钢</w:t>
                  </w:r>
                </w:p>
              </w:tc>
              <w:tc>
                <w:tcPr>
                  <w:tcW w:w="871" w:type="dxa"/>
                  <w:shd w:val="clear" w:color="auto" w:fill="auto"/>
                  <w:vAlign w:val="center"/>
                </w:tcPr>
                <w:p w14:paraId="3D6E103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 w:val="21"/>
                      <w:szCs w:val="21"/>
                      <w:lang w:val="en-US" w:eastAsia="zh-CN" w:bidi="ar-SA"/>
                      <w14:textFill>
                        <w14:solidFill>
                          <w14:schemeClr w14:val="tx1"/>
                        </w14:solidFill>
                      </w14:textFill>
                    </w:rPr>
                    <w:t>20套</w:t>
                  </w:r>
                </w:p>
              </w:tc>
              <w:tc>
                <w:tcPr>
                  <w:tcW w:w="825" w:type="dxa"/>
                  <w:shd w:val="clear" w:color="auto" w:fill="auto"/>
                  <w:vAlign w:val="center"/>
                </w:tcPr>
                <w:p w14:paraId="68227808">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20套</w:t>
                  </w:r>
                </w:p>
              </w:tc>
              <w:tc>
                <w:tcPr>
                  <w:tcW w:w="749" w:type="dxa"/>
                  <w:vAlign w:val="center"/>
                </w:tcPr>
                <w:p w14:paraId="31129D9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原料仓库</w:t>
                  </w:r>
                </w:p>
              </w:tc>
              <w:tc>
                <w:tcPr>
                  <w:tcW w:w="765" w:type="dxa"/>
                  <w:vAlign w:val="center"/>
                </w:tcPr>
                <w:p w14:paraId="0EDAF1BD">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685" w:type="dxa"/>
                  <w:vMerge w:val="continue"/>
                  <w:vAlign w:val="center"/>
                </w:tcPr>
                <w:p w14:paraId="61BB8F7E">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2C3312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3、现有项目设备情况</w:t>
            </w:r>
          </w:p>
          <w:p w14:paraId="2AEA09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sz w:val="21"/>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14:textFill>
                  <w14:solidFill>
                    <w14:schemeClr w14:val="tx1"/>
                  </w14:solidFill>
                </w14:textFill>
              </w:rPr>
              <w:t>表 2-</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16</w:t>
            </w:r>
            <w:r>
              <w:rPr>
                <w:rFonts w:hint="default" w:ascii="Times New Roman" w:hAnsi="Times New Roman" w:eastAsia="宋体" w:cs="Times New Roman"/>
                <w:b/>
                <w:bCs/>
                <w:color w:val="000000" w:themeColor="text1"/>
                <w:spacing w:val="0"/>
                <w:kern w:val="0"/>
                <w:sz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现有项目设备情况</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3"/>
              <w:gridCol w:w="1507"/>
              <w:gridCol w:w="3228"/>
              <w:gridCol w:w="1473"/>
              <w:gridCol w:w="1656"/>
            </w:tblGrid>
            <w:tr w14:paraId="0CA885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442" w:type="pct"/>
                  <w:vMerge w:val="restart"/>
                  <w:vAlign w:val="center"/>
                </w:tcPr>
                <w:p w14:paraId="5C1B3B3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873" w:type="pct"/>
                  <w:vMerge w:val="restart"/>
                  <w:vAlign w:val="center"/>
                </w:tcPr>
                <w:p w14:paraId="6829E4C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设备名称</w:t>
                  </w:r>
                </w:p>
              </w:tc>
              <w:tc>
                <w:tcPr>
                  <w:tcW w:w="1870" w:type="pct"/>
                  <w:vMerge w:val="restart"/>
                  <w:vAlign w:val="center"/>
                </w:tcPr>
                <w:p w14:paraId="4C4A5C8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型号</w:t>
                  </w:r>
                </w:p>
              </w:tc>
              <w:tc>
                <w:tcPr>
                  <w:tcW w:w="853" w:type="pct"/>
                  <w:vAlign w:val="center"/>
                </w:tcPr>
                <w:p w14:paraId="53567EDC">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台/套</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p>
              </w:tc>
              <w:tc>
                <w:tcPr>
                  <w:tcW w:w="959" w:type="pct"/>
                  <w:vMerge w:val="restart"/>
                  <w:vAlign w:val="center"/>
                </w:tcPr>
                <w:p w14:paraId="4FACA3F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14:paraId="4BF153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 w:hRule="atLeast"/>
                <w:jc w:val="center"/>
              </w:trPr>
              <w:tc>
                <w:tcPr>
                  <w:tcW w:w="442" w:type="pct"/>
                  <w:vMerge w:val="continue"/>
                  <w:vAlign w:val="center"/>
                </w:tcPr>
                <w:p w14:paraId="3D424EC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873" w:type="pct"/>
                  <w:vMerge w:val="continue"/>
                  <w:vAlign w:val="center"/>
                </w:tcPr>
                <w:p w14:paraId="13A6F65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870" w:type="pct"/>
                  <w:vMerge w:val="continue"/>
                  <w:vAlign w:val="center"/>
                </w:tcPr>
                <w:p w14:paraId="5BDBC18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853" w:type="pct"/>
                  <w:vAlign w:val="center"/>
                </w:tcPr>
                <w:p w14:paraId="158D31F5">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原项目</w:t>
                  </w:r>
                </w:p>
              </w:tc>
              <w:tc>
                <w:tcPr>
                  <w:tcW w:w="959" w:type="pct"/>
                  <w:vMerge w:val="continue"/>
                  <w:vAlign w:val="center"/>
                </w:tcPr>
                <w:p w14:paraId="2EBC9B0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1BFA27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63F1B8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873" w:type="pct"/>
                  <w:shd w:val="clear" w:color="auto" w:fill="auto"/>
                  <w:vAlign w:val="center"/>
                </w:tcPr>
                <w:p w14:paraId="74D762C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放料机</w:t>
                  </w:r>
                </w:p>
              </w:tc>
              <w:tc>
                <w:tcPr>
                  <w:tcW w:w="1870" w:type="pct"/>
                  <w:shd w:val="clear" w:color="auto" w:fill="auto"/>
                  <w:vAlign w:val="center"/>
                </w:tcPr>
                <w:p w14:paraId="61BECB38">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HTE-1220</w:t>
                  </w:r>
                </w:p>
              </w:tc>
              <w:tc>
                <w:tcPr>
                  <w:tcW w:w="853" w:type="pct"/>
                  <w:shd w:val="clear" w:color="auto" w:fill="auto"/>
                  <w:vAlign w:val="center"/>
                </w:tcPr>
                <w:p w14:paraId="63AEBCD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959" w:type="pct"/>
                  <w:shd w:val="clear" w:color="auto" w:fill="auto"/>
                  <w:vAlign w:val="center"/>
                </w:tcPr>
                <w:p w14:paraId="48082C9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放料</w:t>
                  </w:r>
                </w:p>
              </w:tc>
            </w:tr>
            <w:tr w14:paraId="3423C2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4A8574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873" w:type="pct"/>
                  <w:shd w:val="clear" w:color="auto" w:fill="auto"/>
                  <w:vAlign w:val="center"/>
                </w:tcPr>
                <w:p w14:paraId="3BB5BF2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整平机</w:t>
                  </w:r>
                </w:p>
              </w:tc>
              <w:tc>
                <w:tcPr>
                  <w:tcW w:w="1870" w:type="pct"/>
                  <w:shd w:val="clear" w:color="auto" w:fill="auto"/>
                  <w:vAlign w:val="center"/>
                </w:tcPr>
                <w:p w14:paraId="16A9985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SHL-150</w:t>
                  </w:r>
                </w:p>
              </w:tc>
              <w:tc>
                <w:tcPr>
                  <w:tcW w:w="853" w:type="pct"/>
                  <w:shd w:val="clear" w:color="auto" w:fill="auto"/>
                  <w:vAlign w:val="center"/>
                </w:tcPr>
                <w:p w14:paraId="5C7B5D0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959" w:type="pct"/>
                  <w:shd w:val="clear" w:color="auto" w:fill="auto"/>
                  <w:vAlign w:val="center"/>
                </w:tcPr>
                <w:p w14:paraId="7A7B5928">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平整</w:t>
                  </w:r>
                </w:p>
              </w:tc>
            </w:tr>
            <w:tr w14:paraId="2FD2E0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6EB31D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873" w:type="pct"/>
                  <w:shd w:val="clear" w:color="auto" w:fill="auto"/>
                  <w:vAlign w:val="center"/>
                </w:tcPr>
                <w:p w14:paraId="16F60C5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冲床</w:t>
                  </w:r>
                </w:p>
              </w:tc>
              <w:tc>
                <w:tcPr>
                  <w:tcW w:w="1870" w:type="pct"/>
                  <w:shd w:val="clear" w:color="auto" w:fill="auto"/>
                  <w:vAlign w:val="center"/>
                </w:tcPr>
                <w:p w14:paraId="57038820">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53" w:type="pct"/>
                  <w:shd w:val="clear" w:color="auto" w:fill="auto"/>
                  <w:vAlign w:val="center"/>
                </w:tcPr>
                <w:p w14:paraId="3F21342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959" w:type="pct"/>
                  <w:vAlign w:val="center"/>
                </w:tcPr>
                <w:p w14:paraId="48BCF3B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w:t>
                  </w:r>
                </w:p>
              </w:tc>
            </w:tr>
            <w:tr w14:paraId="21E790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6C8638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873" w:type="pct"/>
                  <w:shd w:val="clear" w:color="auto" w:fill="auto"/>
                  <w:vAlign w:val="center"/>
                </w:tcPr>
                <w:p w14:paraId="7580803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磨床</w:t>
                  </w:r>
                </w:p>
              </w:tc>
              <w:tc>
                <w:tcPr>
                  <w:tcW w:w="1870" w:type="pct"/>
                  <w:shd w:val="clear" w:color="auto" w:fill="auto"/>
                  <w:vAlign w:val="center"/>
                </w:tcPr>
                <w:p w14:paraId="3FAAFCA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GY-618S</w:t>
                  </w:r>
                </w:p>
              </w:tc>
              <w:tc>
                <w:tcPr>
                  <w:tcW w:w="853" w:type="pct"/>
                  <w:shd w:val="clear" w:color="auto" w:fill="auto"/>
                  <w:vAlign w:val="center"/>
                </w:tcPr>
                <w:p w14:paraId="6170F96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59" w:type="pct"/>
                  <w:shd w:val="clear" w:color="auto" w:fill="auto"/>
                  <w:vAlign w:val="center"/>
                </w:tcPr>
                <w:p w14:paraId="63C8E38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冲压模具维护</w:t>
                  </w:r>
                </w:p>
              </w:tc>
            </w:tr>
            <w:tr w14:paraId="65727A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4CB85F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873" w:type="pct"/>
                  <w:shd w:val="clear" w:color="auto" w:fill="auto"/>
                  <w:vAlign w:val="center"/>
                </w:tcPr>
                <w:p w14:paraId="71F2AD5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分切机</w:t>
                  </w:r>
                </w:p>
              </w:tc>
              <w:tc>
                <w:tcPr>
                  <w:tcW w:w="1870" w:type="pct"/>
                  <w:shd w:val="clear" w:color="auto" w:fill="auto"/>
                  <w:vAlign w:val="center"/>
                </w:tcPr>
                <w:p w14:paraId="7A4DF9A0">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TO-220</w:t>
                  </w:r>
                </w:p>
              </w:tc>
              <w:tc>
                <w:tcPr>
                  <w:tcW w:w="853" w:type="pct"/>
                  <w:shd w:val="clear" w:color="auto" w:fill="auto"/>
                  <w:vAlign w:val="center"/>
                </w:tcPr>
                <w:p w14:paraId="75F6726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646F66A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分切</w:t>
                  </w:r>
                </w:p>
              </w:tc>
            </w:tr>
            <w:tr w14:paraId="0E8F17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7D7A27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873" w:type="pct"/>
                  <w:shd w:val="clear" w:color="auto" w:fill="auto"/>
                  <w:vAlign w:val="center"/>
                </w:tcPr>
                <w:p w14:paraId="315565D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投影仪</w:t>
                  </w:r>
                </w:p>
              </w:tc>
              <w:tc>
                <w:tcPr>
                  <w:tcW w:w="1870" w:type="pct"/>
                  <w:shd w:val="clear" w:color="auto" w:fill="auto"/>
                  <w:vAlign w:val="center"/>
                </w:tcPr>
                <w:p w14:paraId="49079503">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VMS-3020G</w:t>
                  </w:r>
                </w:p>
              </w:tc>
              <w:tc>
                <w:tcPr>
                  <w:tcW w:w="853" w:type="pct"/>
                  <w:shd w:val="clear" w:color="auto" w:fill="auto"/>
                  <w:vAlign w:val="center"/>
                </w:tcPr>
                <w:p w14:paraId="5DEAB225">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959" w:type="pct"/>
                  <w:shd w:val="clear" w:color="auto" w:fill="auto"/>
                  <w:vAlign w:val="center"/>
                </w:tcPr>
                <w:p w14:paraId="573F789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2FC14A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55083B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873" w:type="pct"/>
                  <w:shd w:val="clear" w:color="auto" w:fill="auto"/>
                  <w:vAlign w:val="center"/>
                </w:tcPr>
                <w:p w14:paraId="2607DA4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卡尺</w:t>
                  </w:r>
                </w:p>
              </w:tc>
              <w:tc>
                <w:tcPr>
                  <w:tcW w:w="1870" w:type="pct"/>
                  <w:shd w:val="clear" w:color="auto" w:fill="auto"/>
                  <w:vAlign w:val="center"/>
                </w:tcPr>
                <w:p w14:paraId="6651516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53" w:type="pct"/>
                  <w:shd w:val="clear" w:color="auto" w:fill="auto"/>
                  <w:vAlign w:val="center"/>
                </w:tcPr>
                <w:p w14:paraId="2F7186D1">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34E55408">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167A6B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5010BA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873" w:type="pct"/>
                  <w:shd w:val="clear" w:color="auto" w:fill="auto"/>
                  <w:vAlign w:val="center"/>
                </w:tcPr>
                <w:p w14:paraId="6267C87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塞规</w:t>
                  </w:r>
                </w:p>
              </w:tc>
              <w:tc>
                <w:tcPr>
                  <w:tcW w:w="1870" w:type="pct"/>
                  <w:shd w:val="clear" w:color="auto" w:fill="auto"/>
                  <w:vAlign w:val="center"/>
                </w:tcPr>
                <w:p w14:paraId="61921D33">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53" w:type="pct"/>
                  <w:shd w:val="clear" w:color="auto" w:fill="auto"/>
                  <w:vAlign w:val="center"/>
                </w:tcPr>
                <w:p w14:paraId="2680A827">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492D1E3B">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367B75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50BD49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873" w:type="pct"/>
                  <w:shd w:val="clear" w:color="auto" w:fill="auto"/>
                  <w:vAlign w:val="center"/>
                </w:tcPr>
                <w:p w14:paraId="4105377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显微硬度计</w:t>
                  </w:r>
                </w:p>
              </w:tc>
              <w:tc>
                <w:tcPr>
                  <w:tcW w:w="1870" w:type="pct"/>
                  <w:shd w:val="clear" w:color="auto" w:fill="auto"/>
                  <w:vAlign w:val="center"/>
                </w:tcPr>
                <w:p w14:paraId="61FAABCD">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53" w:type="pct"/>
                  <w:shd w:val="clear" w:color="auto" w:fill="auto"/>
                  <w:vAlign w:val="center"/>
                </w:tcPr>
                <w:p w14:paraId="65EAA742">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5F9E49BF">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4AD52A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38B55F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873" w:type="pct"/>
                  <w:shd w:val="clear" w:color="auto" w:fill="auto"/>
                  <w:vAlign w:val="center"/>
                </w:tcPr>
                <w:p w14:paraId="6B33B87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外径千分尺</w:t>
                  </w:r>
                </w:p>
              </w:tc>
              <w:tc>
                <w:tcPr>
                  <w:tcW w:w="1870" w:type="pct"/>
                  <w:shd w:val="clear" w:color="auto" w:fill="auto"/>
                  <w:vAlign w:val="center"/>
                </w:tcPr>
                <w:p w14:paraId="008CD35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（25-50）mm</w:t>
                  </w:r>
                </w:p>
              </w:tc>
              <w:tc>
                <w:tcPr>
                  <w:tcW w:w="853" w:type="pct"/>
                  <w:shd w:val="clear" w:color="auto" w:fill="auto"/>
                  <w:vAlign w:val="center"/>
                </w:tcPr>
                <w:p w14:paraId="027164D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25AC63C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52FE69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0EC8B1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873" w:type="pct"/>
                  <w:shd w:val="clear" w:color="auto" w:fill="auto"/>
                  <w:vAlign w:val="center"/>
                </w:tcPr>
                <w:p w14:paraId="497C0E88">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显微镜</w:t>
                  </w:r>
                </w:p>
              </w:tc>
              <w:tc>
                <w:tcPr>
                  <w:tcW w:w="1870" w:type="pct"/>
                  <w:shd w:val="clear" w:color="auto" w:fill="auto"/>
                  <w:vAlign w:val="center"/>
                </w:tcPr>
                <w:p w14:paraId="1D58AB7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53" w:type="pct"/>
                  <w:shd w:val="clear" w:color="auto" w:fill="auto"/>
                  <w:vAlign w:val="center"/>
                </w:tcPr>
                <w:p w14:paraId="293B936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2772793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r>
            <w:tr w14:paraId="207F4A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14:paraId="6639C1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873" w:type="pct"/>
                  <w:shd w:val="clear" w:color="auto" w:fill="auto"/>
                  <w:vAlign w:val="center"/>
                </w:tcPr>
                <w:p w14:paraId="16169D6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1870" w:type="pct"/>
                  <w:shd w:val="clear" w:color="auto" w:fill="auto"/>
                  <w:vAlign w:val="center"/>
                </w:tcPr>
                <w:p w14:paraId="576467B2">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6.2m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/min</w:t>
                  </w:r>
                </w:p>
              </w:tc>
              <w:tc>
                <w:tcPr>
                  <w:tcW w:w="853" w:type="pct"/>
                  <w:shd w:val="clear" w:color="auto" w:fill="auto"/>
                  <w:vAlign w:val="center"/>
                </w:tcPr>
                <w:p w14:paraId="2CF29865">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59" w:type="pct"/>
                  <w:shd w:val="clear" w:color="auto" w:fill="auto"/>
                  <w:vAlign w:val="center"/>
                </w:tcPr>
                <w:p w14:paraId="18EA8F0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压缩空气</w:t>
                  </w:r>
                </w:p>
              </w:tc>
            </w:tr>
          </w:tbl>
          <w:p w14:paraId="63DF0C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4、现有项目车间布局</w:t>
            </w:r>
          </w:p>
          <w:p w14:paraId="1C72E1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现有项目所在生产厂房共设置3层，建筑面积约2000m</w:t>
            </w:r>
            <w:r>
              <w:rPr>
                <w:rFonts w:hint="eastAsia" w:ascii="Times New Roman" w:hAnsi="Times New Roman" w:eastAsia="宋体" w:cs="Times New Roman"/>
                <w:b w:val="0"/>
                <w:bCs/>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，主要布置：一层主要为冲压区和原料仓库，二层主要为包装材料区，三层主要为成品区。</w:t>
            </w:r>
          </w:p>
          <w:p w14:paraId="166944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三</w:t>
            </w:r>
            <w:r>
              <w:rPr>
                <w:rFonts w:hint="default" w:ascii="Times New Roman" w:hAnsi="Times New Roman" w:eastAsia="宋体" w:cs="Times New Roman"/>
                <w:b/>
                <w:color w:val="000000" w:themeColor="text1"/>
                <w:sz w:val="24"/>
                <w14:textFill>
                  <w14:solidFill>
                    <w14:schemeClr w14:val="tx1"/>
                  </w14:solidFill>
                </w14:textFill>
              </w:rPr>
              <w:t>、现有项目工艺流程</w:t>
            </w:r>
          </w:p>
          <w:p w14:paraId="3521FF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原有项目主要产品为芯片框架组件</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产品，与本项目一致</w:t>
            </w: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生产工艺与本项目基本一致，仅不设置清洗工段</w:t>
            </w:r>
            <w:r>
              <w:rPr>
                <w:rFonts w:hint="default" w:ascii="Times New Roman" w:hAnsi="Times New Roman" w:eastAsia="宋体" w:cs="Times New Roman"/>
                <w:b w:val="0"/>
                <w:bCs/>
                <w:color w:val="000000" w:themeColor="text1"/>
                <w:sz w:val="24"/>
                <w14:textFill>
                  <w14:solidFill>
                    <w14:schemeClr w14:val="tx1"/>
                  </w14:solidFill>
                </w14:textFill>
              </w:rPr>
              <w:t>，此处不</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再</w:t>
            </w:r>
            <w:r>
              <w:rPr>
                <w:rFonts w:hint="default" w:ascii="Times New Roman" w:hAnsi="Times New Roman" w:eastAsia="宋体" w:cs="Times New Roman"/>
                <w:b w:val="0"/>
                <w:bCs/>
                <w:color w:val="000000" w:themeColor="text1"/>
                <w:sz w:val="24"/>
                <w14:textFill>
                  <w14:solidFill>
                    <w14:schemeClr w14:val="tx1"/>
                  </w14:solidFill>
                </w14:textFill>
              </w:rPr>
              <w:t>详细介绍。</w:t>
            </w:r>
          </w:p>
          <w:p w14:paraId="3F5A01E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四、现有项目污染物排放情况</w:t>
            </w:r>
          </w:p>
          <w:p w14:paraId="6FE222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1、废水</w:t>
            </w:r>
          </w:p>
          <w:p w14:paraId="36CD46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原有项目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无生产废水产生及排放，生活污水接管至金坛第二污水处理厂集中处理。</w:t>
            </w:r>
          </w:p>
          <w:p w14:paraId="062C76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2、废气</w:t>
            </w:r>
          </w:p>
          <w:p w14:paraId="738813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原有项目无废气产生。</w:t>
            </w:r>
          </w:p>
          <w:p w14:paraId="58CB1D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3、噪声</w:t>
            </w:r>
          </w:p>
          <w:p w14:paraId="1F5855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原有项目的主要噪声源为生产设备</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冲压机、分切机等设备。采取合理布局、隔声、减振、消声措施综合措施降噪。</w:t>
            </w:r>
          </w:p>
          <w:p w14:paraId="7F3BCCE0">
            <w:pPr>
              <w:numPr>
                <w:ilvl w:val="0"/>
                <w:numId w:val="0"/>
              </w:numPr>
              <w:spacing w:line="360" w:lineRule="auto"/>
              <w:ind w:firstLine="482" w:firstLineChars="20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4、固废</w:t>
            </w:r>
          </w:p>
          <w:p w14:paraId="29D407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sz w:val="21"/>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14:textFill>
                  <w14:solidFill>
                    <w14:schemeClr w14:val="tx1"/>
                  </w14:solidFill>
                </w14:textFill>
              </w:rPr>
              <w:t>表 2-</w:t>
            </w:r>
            <w:r>
              <w:rPr>
                <w:rFonts w:hint="eastAsia" w:ascii="Times New Roman" w:hAnsi="Times New Roman" w:eastAsia="宋体" w:cs="Times New Roman"/>
                <w:b/>
                <w:bCs/>
                <w:color w:val="000000" w:themeColor="text1"/>
                <w:spacing w:val="0"/>
                <w:kern w:val="0"/>
                <w:sz w:val="24"/>
                <w:lang w:val="en-US" w:eastAsia="zh-CN"/>
                <w14:textFill>
                  <w14:solidFill>
                    <w14:schemeClr w14:val="tx1"/>
                  </w14:solidFill>
                </w14:textFill>
              </w:rPr>
              <w:t>17</w:t>
            </w:r>
            <w:r>
              <w:rPr>
                <w:rFonts w:hint="default" w:ascii="Times New Roman" w:hAnsi="Times New Roman" w:eastAsia="宋体" w:cs="Times New Roman"/>
                <w:b/>
                <w:bCs/>
                <w:color w:val="000000" w:themeColor="text1"/>
                <w:spacing w:val="0"/>
                <w:kern w:val="0"/>
                <w:sz w:val="24"/>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4"/>
                <w:lang w:val="en-US" w:eastAsia="zh-CN"/>
                <w14:textFill>
                  <w14:solidFill>
                    <w14:schemeClr w14:val="tx1"/>
                  </w14:solidFill>
                </w14:textFill>
              </w:rPr>
              <w:t>固废产生及处置情况</w:t>
            </w:r>
          </w:p>
          <w:tbl>
            <w:tblPr>
              <w:tblStyle w:val="27"/>
              <w:tblW w:w="4998"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Layout w:type="fixed"/>
              <w:tblCellMar>
                <w:top w:w="0" w:type="dxa"/>
                <w:left w:w="108" w:type="dxa"/>
                <w:bottom w:w="0" w:type="dxa"/>
                <w:right w:w="108" w:type="dxa"/>
              </w:tblCellMar>
            </w:tblPr>
            <w:tblGrid>
              <w:gridCol w:w="2233"/>
              <w:gridCol w:w="1659"/>
              <w:gridCol w:w="1945"/>
              <w:gridCol w:w="1136"/>
              <w:gridCol w:w="1644"/>
            </w:tblGrid>
            <w:tr w14:paraId="0A86A5DD">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noWrap w:val="0"/>
                  <w:vAlign w:val="center"/>
                </w:tcPr>
                <w:p w14:paraId="1E54B1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smallCaps w:val="0"/>
                      <w:color w:val="000000" w:themeColor="text1"/>
                      <w:spacing w:val="0"/>
                      <w:sz w:val="21"/>
                      <w:szCs w:val="21"/>
                      <w:lang w:val="en-US" w:eastAsia="zh-CN"/>
                      <w14:textFill>
                        <w14:solidFill>
                          <w14:schemeClr w14:val="tx1"/>
                        </w14:solidFill>
                      </w14:textFill>
                    </w:rPr>
                    <w:t>固废名称</w:t>
                  </w:r>
                </w:p>
              </w:tc>
              <w:tc>
                <w:tcPr>
                  <w:tcW w:w="1656" w:type="dxa"/>
                  <w:tcBorders>
                    <w:tl2br w:val="nil"/>
                    <w:tr2bl w:val="nil"/>
                  </w:tcBorders>
                  <w:noWrap w:val="0"/>
                  <w:vAlign w:val="center"/>
                </w:tcPr>
                <w:p w14:paraId="1D75F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smallCaps w:val="0"/>
                      <w:color w:val="000000" w:themeColor="text1"/>
                      <w:spacing w:val="0"/>
                      <w:sz w:val="21"/>
                      <w:szCs w:val="21"/>
                      <w:lang w:val="en-US" w:eastAsia="zh-CN"/>
                      <w14:textFill>
                        <w14:solidFill>
                          <w14:schemeClr w14:val="tx1"/>
                        </w14:solidFill>
                      </w14:textFill>
                    </w:rPr>
                    <w:t>属性</w:t>
                  </w:r>
                </w:p>
              </w:tc>
              <w:tc>
                <w:tcPr>
                  <w:tcW w:w="1941" w:type="dxa"/>
                  <w:tcBorders>
                    <w:tl2br w:val="nil"/>
                    <w:tr2bl w:val="nil"/>
                  </w:tcBorders>
                  <w:noWrap w:val="0"/>
                  <w:vAlign w:val="center"/>
                </w:tcPr>
                <w:p w14:paraId="7A5F19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smallCaps w:val="0"/>
                      <w:color w:val="000000" w:themeColor="text1"/>
                      <w:spacing w:val="0"/>
                      <w:sz w:val="21"/>
                      <w:szCs w:val="21"/>
                      <w:lang w:val="en-US" w:eastAsia="zh-CN"/>
                      <w14:textFill>
                        <w14:solidFill>
                          <w14:schemeClr w14:val="tx1"/>
                        </w14:solidFill>
                      </w14:textFill>
                    </w:rPr>
                    <w:t>产生工序</w:t>
                  </w:r>
                </w:p>
              </w:tc>
              <w:tc>
                <w:tcPr>
                  <w:tcW w:w="1134" w:type="dxa"/>
                  <w:tcBorders>
                    <w:tl2br w:val="nil"/>
                    <w:tr2bl w:val="nil"/>
                  </w:tcBorders>
                  <w:noWrap w:val="0"/>
                  <w:vAlign w:val="center"/>
                </w:tcPr>
                <w:p w14:paraId="0019E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smallCaps w:val="0"/>
                      <w:color w:val="000000" w:themeColor="text1"/>
                      <w:spacing w:val="0"/>
                      <w:kern w:val="2"/>
                      <w:sz w:val="21"/>
                      <w:szCs w:val="21"/>
                      <w:lang w:val="en-US" w:eastAsia="zh-CN" w:bidi="ar-SA"/>
                      <w14:textFill>
                        <w14:solidFill>
                          <w14:schemeClr w14:val="tx1"/>
                        </w14:solidFill>
                      </w14:textFill>
                    </w:rPr>
                    <w:t>产生量</w:t>
                  </w:r>
                </w:p>
              </w:tc>
              <w:tc>
                <w:tcPr>
                  <w:tcW w:w="1640" w:type="dxa"/>
                  <w:tcBorders>
                    <w:tl2br w:val="nil"/>
                    <w:tr2bl w:val="nil"/>
                  </w:tcBorders>
                  <w:noWrap w:val="0"/>
                  <w:vAlign w:val="center"/>
                </w:tcPr>
                <w:p w14:paraId="6B86B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smallCaps w:val="0"/>
                      <w:color w:val="000000" w:themeColor="text1"/>
                      <w:spacing w:val="0"/>
                      <w:kern w:val="2"/>
                      <w:sz w:val="21"/>
                      <w:szCs w:val="21"/>
                      <w:lang w:val="en-US" w:eastAsia="zh-CN" w:bidi="ar-SA"/>
                      <w14:textFill>
                        <w14:solidFill>
                          <w14:schemeClr w14:val="tx1"/>
                        </w14:solidFill>
                      </w14:textFill>
                    </w:rPr>
                    <w:t>治理措施</w:t>
                  </w:r>
                </w:p>
              </w:tc>
            </w:tr>
            <w:tr w14:paraId="4061A2FB">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noWrap w:val="0"/>
                  <w:vAlign w:val="center"/>
                </w:tcPr>
                <w:p w14:paraId="65308C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t>生活垃圾</w:t>
                  </w:r>
                </w:p>
              </w:tc>
              <w:tc>
                <w:tcPr>
                  <w:tcW w:w="1656" w:type="dxa"/>
                  <w:tcBorders>
                    <w:tl2br w:val="nil"/>
                    <w:tr2bl w:val="nil"/>
                  </w:tcBorders>
                  <w:noWrap w:val="0"/>
                  <w:vAlign w:val="center"/>
                </w:tcPr>
                <w:p w14:paraId="778C5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t>生活垃圾</w:t>
                  </w:r>
                </w:p>
              </w:tc>
              <w:tc>
                <w:tcPr>
                  <w:tcW w:w="1941" w:type="dxa"/>
                  <w:tcBorders>
                    <w:tl2br w:val="nil"/>
                    <w:tr2bl w:val="nil"/>
                  </w:tcBorders>
                  <w:noWrap w:val="0"/>
                  <w:vAlign w:val="center"/>
                </w:tcPr>
                <w:p w14:paraId="13BE07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t>办公、生活</w:t>
                  </w:r>
                </w:p>
              </w:tc>
              <w:tc>
                <w:tcPr>
                  <w:tcW w:w="1134" w:type="dxa"/>
                  <w:tcBorders>
                    <w:tl2br w:val="nil"/>
                    <w:tr2bl w:val="nil"/>
                  </w:tcBorders>
                  <w:noWrap w:val="0"/>
                  <w:vAlign w:val="center"/>
                </w:tcPr>
                <w:p w14:paraId="2806C8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1.5</w:t>
                  </w:r>
                </w:p>
              </w:tc>
              <w:tc>
                <w:tcPr>
                  <w:tcW w:w="1640" w:type="dxa"/>
                  <w:tcBorders>
                    <w:tl2br w:val="nil"/>
                    <w:tr2bl w:val="nil"/>
                  </w:tcBorders>
                  <w:noWrap w:val="0"/>
                  <w:vAlign w:val="center"/>
                </w:tcPr>
                <w:p w14:paraId="2FF3B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环卫清运</w:t>
                  </w:r>
                </w:p>
              </w:tc>
            </w:tr>
            <w:tr w14:paraId="4EB471DE">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shd w:val="clear" w:color="auto" w:fill="auto"/>
                  <w:noWrap w:val="0"/>
                  <w:vAlign w:val="center"/>
                </w:tcPr>
                <w:p w14:paraId="79F50D5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废边角料</w:t>
                  </w:r>
                </w:p>
              </w:tc>
              <w:tc>
                <w:tcPr>
                  <w:tcW w:w="1656" w:type="dxa"/>
                  <w:vMerge w:val="restart"/>
                  <w:tcBorders>
                    <w:tl2br w:val="nil"/>
                    <w:tr2bl w:val="nil"/>
                  </w:tcBorders>
                  <w:noWrap w:val="0"/>
                  <w:vAlign w:val="center"/>
                </w:tcPr>
                <w:p w14:paraId="235D6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t>一般工业固废</w:t>
                  </w:r>
                </w:p>
              </w:tc>
              <w:tc>
                <w:tcPr>
                  <w:tcW w:w="1941" w:type="dxa"/>
                  <w:tcBorders>
                    <w:tl2br w:val="nil"/>
                    <w:tr2bl w:val="nil"/>
                  </w:tcBorders>
                  <w:shd w:val="clear" w:color="auto" w:fill="auto"/>
                  <w:noWrap w:val="0"/>
                  <w:vAlign w:val="center"/>
                </w:tcPr>
                <w:p w14:paraId="64D0AB9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冲压、分切</w:t>
                  </w:r>
                </w:p>
              </w:tc>
              <w:tc>
                <w:tcPr>
                  <w:tcW w:w="1134" w:type="dxa"/>
                  <w:tcBorders>
                    <w:tl2br w:val="nil"/>
                    <w:tr2bl w:val="nil"/>
                  </w:tcBorders>
                  <w:noWrap w:val="0"/>
                  <w:vAlign w:val="center"/>
                </w:tcPr>
                <w:p w14:paraId="36225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1</w:t>
                  </w:r>
                </w:p>
              </w:tc>
              <w:tc>
                <w:tcPr>
                  <w:tcW w:w="1640" w:type="dxa"/>
                  <w:vMerge w:val="restart"/>
                  <w:tcBorders>
                    <w:tl2br w:val="nil"/>
                    <w:tr2bl w:val="nil"/>
                  </w:tcBorders>
                  <w:noWrap w:val="0"/>
                  <w:vAlign w:val="center"/>
                </w:tcPr>
                <w:p w14:paraId="2E592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收集后</w:t>
                  </w:r>
                  <w:r>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外售综合利用</w:t>
                  </w:r>
                </w:p>
              </w:tc>
            </w:tr>
            <w:tr w14:paraId="2209BD95">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shd w:val="clear" w:color="auto" w:fill="auto"/>
                  <w:noWrap w:val="0"/>
                  <w:vAlign w:val="center"/>
                </w:tcPr>
                <w:p w14:paraId="7E1A19E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不合格品</w:t>
                  </w:r>
                </w:p>
              </w:tc>
              <w:tc>
                <w:tcPr>
                  <w:tcW w:w="1656" w:type="dxa"/>
                  <w:vMerge w:val="continue"/>
                  <w:tcBorders>
                    <w:tl2br w:val="nil"/>
                    <w:tr2bl w:val="nil"/>
                  </w:tcBorders>
                  <w:noWrap w:val="0"/>
                  <w:vAlign w:val="center"/>
                </w:tcPr>
                <w:p w14:paraId="50CEB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sz w:val="21"/>
                      <w:szCs w:val="21"/>
                      <w:lang w:val="en-US" w:eastAsia="zh-CN"/>
                      <w14:textFill>
                        <w14:solidFill>
                          <w14:schemeClr w14:val="tx1"/>
                        </w14:solidFill>
                      </w14:textFill>
                    </w:rPr>
                  </w:pPr>
                </w:p>
              </w:tc>
              <w:tc>
                <w:tcPr>
                  <w:tcW w:w="1941" w:type="dxa"/>
                  <w:tcBorders>
                    <w:tl2br w:val="nil"/>
                    <w:tr2bl w:val="nil"/>
                  </w:tcBorders>
                  <w:shd w:val="clear" w:color="auto" w:fill="auto"/>
                  <w:noWrap w:val="0"/>
                  <w:vAlign w:val="center"/>
                </w:tcPr>
                <w:p w14:paraId="0FB4542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检验</w:t>
                  </w:r>
                </w:p>
              </w:tc>
              <w:tc>
                <w:tcPr>
                  <w:tcW w:w="1134" w:type="dxa"/>
                  <w:tcBorders>
                    <w:tl2br w:val="nil"/>
                    <w:tr2bl w:val="nil"/>
                  </w:tcBorders>
                  <w:noWrap w:val="0"/>
                  <w:vAlign w:val="center"/>
                </w:tcPr>
                <w:p w14:paraId="5802C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9</w:t>
                  </w:r>
                </w:p>
              </w:tc>
              <w:tc>
                <w:tcPr>
                  <w:tcW w:w="1640" w:type="dxa"/>
                  <w:vMerge w:val="continue"/>
                  <w:tcBorders>
                    <w:tl2br w:val="nil"/>
                    <w:tr2bl w:val="nil"/>
                  </w:tcBorders>
                  <w:noWrap w:val="0"/>
                  <w:vAlign w:val="center"/>
                </w:tcPr>
                <w:p w14:paraId="617DC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p>
              </w:tc>
            </w:tr>
            <w:tr w14:paraId="34164D87">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shd w:val="clear" w:color="auto" w:fill="auto"/>
                  <w:noWrap w:val="0"/>
                  <w:vAlign w:val="center"/>
                </w:tcPr>
                <w:p w14:paraId="0E75F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废磨削液</w:t>
                  </w:r>
                </w:p>
              </w:tc>
              <w:tc>
                <w:tcPr>
                  <w:tcW w:w="1656" w:type="dxa"/>
                  <w:vMerge w:val="restart"/>
                  <w:tcBorders>
                    <w:tl2br w:val="nil"/>
                    <w:tr2bl w:val="nil"/>
                  </w:tcBorders>
                  <w:shd w:val="clear" w:color="auto" w:fill="auto"/>
                  <w:noWrap w:val="0"/>
                  <w:vAlign w:val="center"/>
                </w:tcPr>
                <w:p w14:paraId="520A2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危险废物</w:t>
                  </w:r>
                </w:p>
              </w:tc>
              <w:tc>
                <w:tcPr>
                  <w:tcW w:w="1941" w:type="dxa"/>
                  <w:tcBorders>
                    <w:tl2br w:val="nil"/>
                    <w:tr2bl w:val="nil"/>
                  </w:tcBorders>
                  <w:shd w:val="clear" w:color="auto" w:fill="auto"/>
                  <w:noWrap w:val="0"/>
                  <w:vAlign w:val="center"/>
                </w:tcPr>
                <w:p w14:paraId="17EFBD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冲压模具维护</w:t>
                  </w:r>
                </w:p>
              </w:tc>
              <w:tc>
                <w:tcPr>
                  <w:tcW w:w="1134" w:type="dxa"/>
                  <w:tcBorders>
                    <w:tl2br w:val="nil"/>
                    <w:tr2bl w:val="nil"/>
                  </w:tcBorders>
                  <w:noWrap w:val="0"/>
                  <w:vAlign w:val="center"/>
                </w:tcPr>
                <w:p w14:paraId="3BBCC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0.22</w:t>
                  </w:r>
                </w:p>
              </w:tc>
              <w:tc>
                <w:tcPr>
                  <w:tcW w:w="1640" w:type="dxa"/>
                  <w:vMerge w:val="restart"/>
                  <w:tcBorders>
                    <w:tl2br w:val="nil"/>
                    <w:tr2bl w:val="nil"/>
                  </w:tcBorders>
                  <w:noWrap w:val="0"/>
                  <w:vAlign w:val="center"/>
                </w:tcPr>
                <w:p w14:paraId="5C85E2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收集后委托有资质单位处置</w:t>
                  </w:r>
                </w:p>
              </w:tc>
            </w:tr>
            <w:tr w14:paraId="7C5A65C0">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shd w:val="clear" w:color="auto" w:fill="auto"/>
                  <w:noWrap w:val="0"/>
                  <w:vAlign w:val="center"/>
                </w:tcPr>
                <w:p w14:paraId="5243F6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含油废屑</w:t>
                  </w:r>
                </w:p>
              </w:tc>
              <w:tc>
                <w:tcPr>
                  <w:tcW w:w="1656" w:type="dxa"/>
                  <w:vMerge w:val="continue"/>
                  <w:tcBorders>
                    <w:tl2br w:val="nil"/>
                    <w:tr2bl w:val="nil"/>
                  </w:tcBorders>
                  <w:shd w:val="clear" w:color="auto" w:fill="auto"/>
                  <w:noWrap w:val="0"/>
                  <w:vAlign w:val="center"/>
                </w:tcPr>
                <w:p w14:paraId="58958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p>
              </w:tc>
              <w:tc>
                <w:tcPr>
                  <w:tcW w:w="1941" w:type="dxa"/>
                  <w:tcBorders>
                    <w:tl2br w:val="nil"/>
                    <w:tr2bl w:val="nil"/>
                  </w:tcBorders>
                  <w:shd w:val="clear" w:color="auto" w:fill="auto"/>
                  <w:noWrap w:val="0"/>
                  <w:vAlign w:val="center"/>
                </w:tcPr>
                <w:p w14:paraId="38009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冲压模具维护</w:t>
                  </w:r>
                </w:p>
              </w:tc>
              <w:tc>
                <w:tcPr>
                  <w:tcW w:w="1134" w:type="dxa"/>
                  <w:tcBorders>
                    <w:tl2br w:val="nil"/>
                    <w:tr2bl w:val="nil"/>
                  </w:tcBorders>
                  <w:noWrap w:val="0"/>
                  <w:vAlign w:val="center"/>
                </w:tcPr>
                <w:p w14:paraId="18A608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0.01</w:t>
                  </w:r>
                </w:p>
              </w:tc>
              <w:tc>
                <w:tcPr>
                  <w:tcW w:w="1640" w:type="dxa"/>
                  <w:vMerge w:val="continue"/>
                  <w:tcBorders>
                    <w:tl2br w:val="nil"/>
                    <w:tr2bl w:val="nil"/>
                  </w:tcBorders>
                  <w:noWrap w:val="0"/>
                  <w:vAlign w:val="center"/>
                </w:tcPr>
                <w:p w14:paraId="7E55A2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7002F31B">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shd w:val="clear" w:color="auto" w:fill="auto"/>
                  <w:noWrap w:val="0"/>
                  <w:vAlign w:val="center"/>
                </w:tcPr>
                <w:p w14:paraId="7C6F0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废含油抹布</w:t>
                  </w:r>
                </w:p>
              </w:tc>
              <w:tc>
                <w:tcPr>
                  <w:tcW w:w="1656" w:type="dxa"/>
                  <w:vMerge w:val="continue"/>
                  <w:tcBorders>
                    <w:tl2br w:val="nil"/>
                    <w:tr2bl w:val="nil"/>
                  </w:tcBorders>
                  <w:shd w:val="clear" w:color="auto" w:fill="auto"/>
                  <w:noWrap w:val="0"/>
                  <w:vAlign w:val="center"/>
                </w:tcPr>
                <w:p w14:paraId="7B7A8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p>
              </w:tc>
              <w:tc>
                <w:tcPr>
                  <w:tcW w:w="1941" w:type="dxa"/>
                  <w:tcBorders>
                    <w:tl2br w:val="nil"/>
                    <w:tr2bl w:val="nil"/>
                  </w:tcBorders>
                  <w:shd w:val="clear" w:color="auto" w:fill="auto"/>
                  <w:noWrap w:val="0"/>
                  <w:vAlign w:val="center"/>
                </w:tcPr>
                <w:p w14:paraId="2841E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1134" w:type="dxa"/>
                  <w:tcBorders>
                    <w:tl2br w:val="nil"/>
                    <w:tr2bl w:val="nil"/>
                  </w:tcBorders>
                  <w:noWrap w:val="0"/>
                  <w:vAlign w:val="center"/>
                </w:tcPr>
                <w:p w14:paraId="0B7BF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0.01</w:t>
                  </w:r>
                </w:p>
              </w:tc>
              <w:tc>
                <w:tcPr>
                  <w:tcW w:w="1640" w:type="dxa"/>
                  <w:vMerge w:val="continue"/>
                  <w:tcBorders>
                    <w:tl2br w:val="nil"/>
                    <w:tr2bl w:val="nil"/>
                  </w:tcBorders>
                  <w:noWrap w:val="0"/>
                  <w:vAlign w:val="center"/>
                </w:tcPr>
                <w:p w14:paraId="5A4B29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4A8DD139">
              <w:tblPrEx>
                <w:tblBorders>
                  <w:top w:val="single" w:color="auto" w:sz="12" w:space="0"/>
                  <w:left w:val="dotted" w:color="auto" w:sz="4" w:space="0"/>
                  <w:bottom w:val="single" w:color="auto" w:sz="12" w:space="0"/>
                  <w:right w:val="dotted" w:color="auto" w:sz="4"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29" w:type="dxa"/>
                  <w:tcBorders>
                    <w:tl2br w:val="nil"/>
                    <w:tr2bl w:val="nil"/>
                  </w:tcBorders>
                  <w:shd w:val="clear" w:color="auto" w:fill="auto"/>
                  <w:noWrap w:val="0"/>
                  <w:vAlign w:val="center"/>
                </w:tcPr>
                <w:p w14:paraId="0D47C7C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废包装材料</w:t>
                  </w:r>
                </w:p>
              </w:tc>
              <w:tc>
                <w:tcPr>
                  <w:tcW w:w="1656" w:type="dxa"/>
                  <w:vMerge w:val="continue"/>
                  <w:tcBorders>
                    <w:tl2br w:val="nil"/>
                    <w:tr2bl w:val="nil"/>
                  </w:tcBorders>
                  <w:noWrap w:val="0"/>
                  <w:vAlign w:val="center"/>
                </w:tcPr>
                <w:p w14:paraId="1D7B1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p>
              </w:tc>
              <w:tc>
                <w:tcPr>
                  <w:tcW w:w="1941" w:type="dxa"/>
                  <w:tcBorders>
                    <w:tl2br w:val="nil"/>
                    <w:tr2bl w:val="nil"/>
                  </w:tcBorders>
                  <w:noWrap w:val="0"/>
                  <w:vAlign w:val="center"/>
                </w:tcPr>
                <w:p w14:paraId="6AA6E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包装拆解</w:t>
                  </w:r>
                </w:p>
              </w:tc>
              <w:tc>
                <w:tcPr>
                  <w:tcW w:w="1134" w:type="dxa"/>
                  <w:tcBorders>
                    <w:tl2br w:val="nil"/>
                    <w:tr2bl w:val="nil"/>
                  </w:tcBorders>
                  <w:noWrap w:val="0"/>
                  <w:vAlign w:val="center"/>
                </w:tcPr>
                <w:p w14:paraId="39AAD1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t>0.01</w:t>
                  </w:r>
                </w:p>
              </w:tc>
              <w:tc>
                <w:tcPr>
                  <w:tcW w:w="1640" w:type="dxa"/>
                  <w:vMerge w:val="continue"/>
                  <w:tcBorders>
                    <w:tl2br w:val="nil"/>
                    <w:tr2bl w:val="nil"/>
                  </w:tcBorders>
                  <w:noWrap w:val="0"/>
                  <w:vAlign w:val="center"/>
                </w:tcPr>
                <w:p w14:paraId="4CD568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2"/>
                      <w:sz w:val="21"/>
                      <w:szCs w:val="21"/>
                      <w:lang w:val="en-US" w:eastAsia="zh-CN" w:bidi="ar-SA"/>
                      <w14:textFill>
                        <w14:solidFill>
                          <w14:schemeClr w14:val="tx1"/>
                        </w14:solidFill>
                      </w14:textFill>
                    </w:rPr>
                  </w:pPr>
                </w:p>
              </w:tc>
            </w:tr>
          </w:tbl>
          <w:p w14:paraId="013C67A9">
            <w:pPr>
              <w:numPr>
                <w:ilvl w:val="0"/>
                <w:numId w:val="0"/>
              </w:num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厂区已设置1处一般固废堆场，占地面积</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；1处危废贮存点，占地面积</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，仓库已做好防渗漏、防扬散、防流失措施。</w:t>
            </w:r>
          </w:p>
          <w:p w14:paraId="5FC9A3A0">
            <w:pPr>
              <w:numPr>
                <w:ilvl w:val="0"/>
                <w:numId w:val="0"/>
              </w:numPr>
              <w:spacing w:line="360" w:lineRule="auto"/>
              <w:ind w:firstLine="482" w:firstLineChars="20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14:textFill>
                  <w14:solidFill>
                    <w14:schemeClr w14:val="tx1"/>
                  </w14:solidFill>
                </w14:textFill>
              </w:rPr>
              <w:t>现有项目</w:t>
            </w:r>
            <w:r>
              <w:rPr>
                <w:rFonts w:hint="eastAsia" w:ascii="Times New Roman" w:hAnsi="Times New Roman" w:eastAsia="宋体" w:cs="Times New Roman"/>
                <w:b/>
                <w:color w:val="000000" w:themeColor="text1"/>
                <w:sz w:val="24"/>
                <w:lang w:val="en-US" w:eastAsia="zh-CN"/>
                <w14:textFill>
                  <w14:solidFill>
                    <w14:schemeClr w14:val="tx1"/>
                  </w14:solidFill>
                </w14:textFill>
              </w:rPr>
              <w:t>总量</w:t>
            </w:r>
          </w:p>
          <w:p w14:paraId="3A28A5F6">
            <w:pPr>
              <w:numPr>
                <w:ilvl w:val="0"/>
                <w:numId w:val="0"/>
              </w:num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现有项目污染物排放情况见下表。</w:t>
            </w:r>
          </w:p>
          <w:p w14:paraId="408230BE">
            <w:pPr>
              <w:keepNext w:val="0"/>
              <w:keepLines w:val="0"/>
              <w:pageBreakBefore w:val="0"/>
              <w:widowControl w:val="0"/>
              <w:kinsoku/>
              <w:wordWrap/>
              <w:overflowPunct/>
              <w:topLinePunct w:val="0"/>
              <w:autoSpaceDE w:val="0"/>
              <w:autoSpaceDN w:val="0"/>
              <w:bidi w:val="0"/>
              <w:adjustRightInd w:val="0"/>
              <w:snapToGrid w:val="0"/>
              <w:spacing w:line="500" w:lineRule="exact"/>
              <w:ind w:firstLine="0" w:firstLineChars="0"/>
              <w:jc w:val="center"/>
              <w:textAlignment w:val="auto"/>
              <w:rPr>
                <w:rFonts w:hint="default" w:ascii="Times New Roman" w:hAnsi="Times New Roman" w:eastAsia="宋体" w:cs="Times New Roman"/>
                <w:b/>
                <w:bCs/>
                <w:snapToGrid w:val="0"/>
                <w:color w:val="000000" w:themeColor="text1"/>
                <w:spacing w:val="0"/>
                <w:kern w:val="0"/>
                <w:sz w:val="24"/>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14:textFill>
                  <w14:solidFill>
                    <w14:schemeClr w14:val="tx1"/>
                  </w14:solidFill>
                </w14:textFill>
              </w:rPr>
              <w:t>表 2-</w:t>
            </w:r>
            <w:r>
              <w:rPr>
                <w:rFonts w:hint="default" w:ascii="Times New Roman" w:hAnsi="Times New Roman" w:eastAsia="宋体" w:cs="Times New Roman"/>
                <w:b/>
                <w:bCs/>
                <w:snapToGrid w:val="0"/>
                <w:color w:val="000000" w:themeColor="text1"/>
                <w:spacing w:val="0"/>
                <w:kern w:val="0"/>
                <w:sz w:val="24"/>
                <w:lang w:val="en-US" w:eastAsia="zh-CN"/>
                <w14:textFill>
                  <w14:solidFill>
                    <w14:schemeClr w14:val="tx1"/>
                  </w14:solidFill>
                </w14:textFill>
              </w:rPr>
              <w:t>1</w:t>
            </w:r>
            <w:r>
              <w:rPr>
                <w:rFonts w:hint="eastAsia" w:ascii="Times New Roman" w:hAnsi="Times New Roman" w:eastAsia="宋体" w:cs="Times New Roman"/>
                <w:b/>
                <w:bCs/>
                <w:snapToGrid w:val="0"/>
                <w:color w:val="000000" w:themeColor="text1"/>
                <w:spacing w:val="0"/>
                <w:kern w:val="0"/>
                <w:sz w:val="24"/>
                <w:lang w:val="en-US" w:eastAsia="zh-CN"/>
                <w14:textFill>
                  <w14:solidFill>
                    <w14:schemeClr w14:val="tx1"/>
                  </w14:solidFill>
                </w14:textFill>
              </w:rPr>
              <w:t>8</w:t>
            </w:r>
            <w:r>
              <w:rPr>
                <w:rFonts w:hint="default" w:ascii="Times New Roman" w:hAnsi="Times New Roman" w:eastAsia="宋体" w:cs="Times New Roman"/>
                <w:b/>
                <w:bCs/>
                <w:snapToGrid w:val="0"/>
                <w:color w:val="000000" w:themeColor="text1"/>
                <w:spacing w:val="0"/>
                <w:kern w:val="0"/>
                <w:sz w:val="24"/>
                <w:lang w:val="en-US" w:eastAsia="zh-CN"/>
                <w14:textFill>
                  <w14:solidFill>
                    <w14:schemeClr w14:val="tx1"/>
                  </w14:solidFill>
                </w14:textFill>
              </w:rPr>
              <w:t xml:space="preserve"> 现有项目</w:t>
            </w:r>
            <w:r>
              <w:rPr>
                <w:rFonts w:hint="default" w:ascii="Times New Roman" w:hAnsi="Times New Roman" w:eastAsia="宋体" w:cs="Times New Roman"/>
                <w:b/>
                <w:bCs/>
                <w:snapToGrid w:val="0"/>
                <w:color w:val="000000" w:themeColor="text1"/>
                <w:spacing w:val="0"/>
                <w:kern w:val="0"/>
                <w:sz w:val="24"/>
                <w14:textFill>
                  <w14:solidFill>
                    <w14:schemeClr w14:val="tx1"/>
                  </w14:solidFill>
                </w14:textFill>
              </w:rPr>
              <w:t>污染物排放情况汇总 单位：t/a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3409"/>
              <w:gridCol w:w="1824"/>
              <w:gridCol w:w="1972"/>
            </w:tblGrid>
            <w:tr w14:paraId="0D91F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tcBorders>
                    <w:top w:val="single" w:color="auto" w:sz="12" w:space="0"/>
                    <w:left w:val="nil"/>
                    <w:bottom w:val="single" w:color="auto" w:sz="4" w:space="0"/>
                    <w:right w:val="single" w:color="auto" w:sz="4" w:space="0"/>
                  </w:tcBorders>
                  <w:noWrap w:val="0"/>
                  <w:vAlign w:val="center"/>
                </w:tcPr>
                <w:p w14:paraId="4D569A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smallCaps w:val="0"/>
                      <w:snapToGrid w:val="0"/>
                      <w:color w:val="000000" w:themeColor="text1"/>
                      <w:spacing w:val="0"/>
                      <w:kern w:val="0"/>
                      <w:sz w:val="21"/>
                      <w:szCs w:val="21"/>
                      <w14:textFill>
                        <w14:solidFill>
                          <w14:schemeClr w14:val="tx1"/>
                        </w14:solidFill>
                      </w14:textFill>
                    </w:rPr>
                    <w:t>污染物类别</w:t>
                  </w:r>
                </w:p>
              </w:tc>
              <w:tc>
                <w:tcPr>
                  <w:tcW w:w="1975" w:type="pct"/>
                  <w:tcBorders>
                    <w:top w:val="single" w:color="auto" w:sz="12" w:space="0"/>
                    <w:left w:val="single" w:color="auto" w:sz="4" w:space="0"/>
                    <w:bottom w:val="single" w:color="auto" w:sz="4" w:space="0"/>
                    <w:right w:val="single" w:color="auto" w:sz="4" w:space="0"/>
                  </w:tcBorders>
                  <w:noWrap w:val="0"/>
                  <w:vAlign w:val="center"/>
                </w:tcPr>
                <w:p w14:paraId="2CE298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smallCaps w:val="0"/>
                      <w:snapToGrid w:val="0"/>
                      <w:color w:val="000000" w:themeColor="text1"/>
                      <w:spacing w:val="0"/>
                      <w:kern w:val="0"/>
                      <w:sz w:val="21"/>
                      <w:szCs w:val="21"/>
                      <w14:textFill>
                        <w14:solidFill>
                          <w14:schemeClr w14:val="tx1"/>
                        </w14:solidFill>
                      </w14:textFill>
                    </w:rPr>
                    <w:t>污染物名称</w:t>
                  </w:r>
                </w:p>
              </w:tc>
              <w:tc>
                <w:tcPr>
                  <w:tcW w:w="1057" w:type="pct"/>
                  <w:tcBorders>
                    <w:top w:val="single" w:color="auto" w:sz="12" w:space="0"/>
                    <w:left w:val="single" w:color="auto" w:sz="4" w:space="0"/>
                    <w:bottom w:val="single" w:color="auto" w:sz="4" w:space="0"/>
                    <w:right w:val="single" w:color="auto" w:sz="4" w:space="0"/>
                  </w:tcBorders>
                  <w:noWrap w:val="0"/>
                  <w:vAlign w:val="center"/>
                </w:tcPr>
                <w:p w14:paraId="747125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smallCaps w:val="0"/>
                      <w:snapToGrid w:val="0"/>
                      <w:color w:val="000000" w:themeColor="text1"/>
                      <w:spacing w:val="0"/>
                      <w:kern w:val="0"/>
                      <w:sz w:val="21"/>
                      <w:szCs w:val="21"/>
                      <w14:textFill>
                        <w14:solidFill>
                          <w14:schemeClr w14:val="tx1"/>
                        </w14:solidFill>
                      </w14:textFill>
                    </w:rPr>
                    <w:t>环评批复量</w:t>
                  </w:r>
                </w:p>
              </w:tc>
              <w:tc>
                <w:tcPr>
                  <w:tcW w:w="1142" w:type="pct"/>
                  <w:tcBorders>
                    <w:top w:val="single" w:color="auto" w:sz="12" w:space="0"/>
                    <w:left w:val="single" w:color="auto" w:sz="4" w:space="0"/>
                    <w:bottom w:val="single" w:color="auto" w:sz="4" w:space="0"/>
                    <w:right w:val="nil"/>
                  </w:tcBorders>
                  <w:noWrap w:val="0"/>
                  <w:vAlign w:val="center"/>
                </w:tcPr>
                <w:p w14:paraId="14B802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b/>
                      <w:smallCaps w:val="0"/>
                      <w:snapToGrid w:val="0"/>
                      <w:color w:val="000000" w:themeColor="text1"/>
                      <w:spacing w:val="0"/>
                      <w:kern w:val="0"/>
                      <w:sz w:val="21"/>
                      <w:szCs w:val="21"/>
                      <w:lang w:val="en-US" w:eastAsia="zh-CN"/>
                      <w14:textFill>
                        <w14:solidFill>
                          <w14:schemeClr w14:val="tx1"/>
                        </w14:solidFill>
                      </w14:textFill>
                    </w:rPr>
                    <w:t>实际排放量</w:t>
                  </w:r>
                </w:p>
              </w:tc>
            </w:tr>
            <w:tr w14:paraId="37831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restart"/>
                  <w:tcBorders>
                    <w:top w:val="single" w:color="auto" w:sz="4" w:space="0"/>
                    <w:left w:val="nil"/>
                    <w:right w:val="single" w:color="auto" w:sz="4" w:space="0"/>
                  </w:tcBorders>
                  <w:noWrap w:val="0"/>
                  <w:vAlign w:val="center"/>
                </w:tcPr>
                <w:p w14:paraId="11F42F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废水</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36A3AE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废水量</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08AE5B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c>
                <w:tcPr>
                  <w:tcW w:w="1142" w:type="pct"/>
                  <w:tcBorders>
                    <w:top w:val="single" w:color="auto" w:sz="4" w:space="0"/>
                    <w:left w:val="single" w:color="auto" w:sz="4" w:space="0"/>
                    <w:bottom w:val="single" w:color="auto" w:sz="4" w:space="0"/>
                    <w:right w:val="nil"/>
                  </w:tcBorders>
                  <w:noWrap w:val="0"/>
                  <w:vAlign w:val="center"/>
                </w:tcPr>
                <w:p w14:paraId="6A6B25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r>
            <w:tr w14:paraId="656C7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left w:val="nil"/>
                    <w:right w:val="single" w:color="auto" w:sz="4" w:space="0"/>
                  </w:tcBorders>
                  <w:noWrap w:val="0"/>
                  <w:vAlign w:val="center"/>
                </w:tcPr>
                <w:p w14:paraId="620B76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4" w:space="0"/>
                    <w:right w:val="single" w:color="auto" w:sz="4" w:space="0"/>
                  </w:tcBorders>
                  <w:noWrap w:val="0"/>
                  <w:vAlign w:val="center"/>
                </w:tcPr>
                <w:p w14:paraId="5DA2FA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COD</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1D6812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c>
                <w:tcPr>
                  <w:tcW w:w="1142" w:type="pct"/>
                  <w:tcBorders>
                    <w:top w:val="single" w:color="auto" w:sz="4" w:space="0"/>
                    <w:left w:val="single" w:color="auto" w:sz="4" w:space="0"/>
                    <w:bottom w:val="single" w:color="auto" w:sz="4" w:space="0"/>
                    <w:right w:val="nil"/>
                  </w:tcBorders>
                  <w:noWrap w:val="0"/>
                  <w:vAlign w:val="center"/>
                </w:tcPr>
                <w:p w14:paraId="05F852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r>
            <w:tr w14:paraId="41486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left w:val="nil"/>
                    <w:right w:val="single" w:color="auto" w:sz="4" w:space="0"/>
                  </w:tcBorders>
                  <w:noWrap w:val="0"/>
                  <w:vAlign w:val="center"/>
                </w:tcPr>
                <w:p w14:paraId="5E14DF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4" w:space="0"/>
                    <w:right w:val="single" w:color="auto" w:sz="4" w:space="0"/>
                  </w:tcBorders>
                  <w:noWrap w:val="0"/>
                  <w:vAlign w:val="center"/>
                </w:tcPr>
                <w:p w14:paraId="77B263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SS</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7C1562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c>
                <w:tcPr>
                  <w:tcW w:w="1142" w:type="pct"/>
                  <w:tcBorders>
                    <w:top w:val="single" w:color="auto" w:sz="4" w:space="0"/>
                    <w:left w:val="single" w:color="auto" w:sz="4" w:space="0"/>
                    <w:bottom w:val="single" w:color="auto" w:sz="4" w:space="0"/>
                    <w:right w:val="nil"/>
                  </w:tcBorders>
                  <w:noWrap w:val="0"/>
                  <w:vAlign w:val="center"/>
                </w:tcPr>
                <w:p w14:paraId="4A1BE8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r>
            <w:tr w14:paraId="2BA34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left w:val="nil"/>
                    <w:right w:val="single" w:color="auto" w:sz="4" w:space="0"/>
                  </w:tcBorders>
                  <w:noWrap w:val="0"/>
                  <w:vAlign w:val="center"/>
                </w:tcPr>
                <w:p w14:paraId="15408A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4" w:space="0"/>
                    <w:right w:val="single" w:color="auto" w:sz="4" w:space="0"/>
                  </w:tcBorders>
                  <w:noWrap w:val="0"/>
                  <w:vAlign w:val="center"/>
                </w:tcPr>
                <w:p w14:paraId="199CC0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NH</w:t>
                  </w:r>
                  <w:r>
                    <w:rPr>
                      <w:rFonts w:hint="default" w:ascii="Times New Roman" w:hAnsi="Times New Roman" w:eastAsia="宋体" w:cs="Times New Roman"/>
                      <w:smallCaps w:val="0"/>
                      <w:snapToGrid w:val="0"/>
                      <w:color w:val="000000" w:themeColor="text1"/>
                      <w:spacing w:val="0"/>
                      <w:kern w:val="0"/>
                      <w:sz w:val="21"/>
                      <w:szCs w:val="21"/>
                      <w:vertAlign w:val="subscript"/>
                      <w14:textFill>
                        <w14:solidFill>
                          <w14:schemeClr w14:val="tx1"/>
                        </w14:solidFill>
                      </w14:textFill>
                    </w:rPr>
                    <w:t>3</w:t>
                  </w: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-N</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5B4A44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c>
                <w:tcPr>
                  <w:tcW w:w="1142" w:type="pct"/>
                  <w:tcBorders>
                    <w:top w:val="single" w:color="auto" w:sz="4" w:space="0"/>
                    <w:left w:val="single" w:color="auto" w:sz="4" w:space="0"/>
                    <w:bottom w:val="single" w:color="auto" w:sz="4" w:space="0"/>
                    <w:right w:val="nil"/>
                  </w:tcBorders>
                  <w:noWrap w:val="0"/>
                  <w:vAlign w:val="center"/>
                </w:tcPr>
                <w:p w14:paraId="6DA5F6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r>
            <w:tr w14:paraId="69F55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left w:val="nil"/>
                    <w:right w:val="single" w:color="auto" w:sz="4" w:space="0"/>
                  </w:tcBorders>
                  <w:noWrap w:val="0"/>
                  <w:vAlign w:val="center"/>
                </w:tcPr>
                <w:p w14:paraId="11F310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4" w:space="0"/>
                    <w:right w:val="single" w:color="auto" w:sz="4" w:space="0"/>
                  </w:tcBorders>
                  <w:noWrap w:val="0"/>
                  <w:vAlign w:val="center"/>
                </w:tcPr>
                <w:p w14:paraId="34645A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TP</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41947F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c>
                <w:tcPr>
                  <w:tcW w:w="1142" w:type="pct"/>
                  <w:tcBorders>
                    <w:top w:val="single" w:color="auto" w:sz="4" w:space="0"/>
                    <w:left w:val="single" w:color="auto" w:sz="4" w:space="0"/>
                    <w:bottom w:val="single" w:color="auto" w:sz="4" w:space="0"/>
                    <w:right w:val="nil"/>
                  </w:tcBorders>
                  <w:noWrap w:val="0"/>
                  <w:vAlign w:val="center"/>
                </w:tcPr>
                <w:p w14:paraId="72CB34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r>
            <w:tr w14:paraId="5A83B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left w:val="nil"/>
                    <w:right w:val="single" w:color="auto" w:sz="4" w:space="0"/>
                  </w:tcBorders>
                  <w:noWrap w:val="0"/>
                  <w:vAlign w:val="center"/>
                </w:tcPr>
                <w:p w14:paraId="0CDB14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4" w:space="0"/>
                    <w:right w:val="single" w:color="auto" w:sz="4" w:space="0"/>
                  </w:tcBorders>
                  <w:noWrap w:val="0"/>
                  <w:vAlign w:val="center"/>
                </w:tcPr>
                <w:p w14:paraId="621C77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TN</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0CE3FC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w:t>
                  </w:r>
                </w:p>
              </w:tc>
              <w:tc>
                <w:tcPr>
                  <w:tcW w:w="1142" w:type="pct"/>
                  <w:tcBorders>
                    <w:top w:val="single" w:color="auto" w:sz="4" w:space="0"/>
                    <w:left w:val="single" w:color="auto" w:sz="4" w:space="0"/>
                    <w:bottom w:val="single" w:color="auto" w:sz="4" w:space="0"/>
                    <w:right w:val="nil"/>
                  </w:tcBorders>
                  <w:noWrap w:val="0"/>
                  <w:vAlign w:val="center"/>
                </w:tcPr>
                <w:p w14:paraId="441B1F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t>/</w:t>
                  </w:r>
                </w:p>
              </w:tc>
            </w:tr>
            <w:tr w14:paraId="06365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tcBorders>
                    <w:top w:val="single" w:color="auto" w:sz="4" w:space="0"/>
                    <w:left w:val="nil"/>
                    <w:right w:val="single" w:color="auto" w:sz="4" w:space="0"/>
                  </w:tcBorders>
                  <w:noWrap w:val="0"/>
                  <w:vAlign w:val="center"/>
                </w:tcPr>
                <w:p w14:paraId="2E6FA7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废气</w:t>
                  </w:r>
                </w:p>
              </w:tc>
              <w:tc>
                <w:tcPr>
                  <w:tcW w:w="1975" w:type="pct"/>
                  <w:tcBorders>
                    <w:top w:val="single" w:color="auto" w:sz="4" w:space="0"/>
                    <w:left w:val="single" w:color="auto" w:sz="4" w:space="0"/>
                    <w:right w:val="single" w:color="auto" w:sz="4" w:space="0"/>
                  </w:tcBorders>
                  <w:noWrap w:val="0"/>
                  <w:vAlign w:val="center"/>
                </w:tcPr>
                <w:p w14:paraId="103650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t>0</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736A46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t>0</w:t>
                  </w:r>
                </w:p>
              </w:tc>
              <w:tc>
                <w:tcPr>
                  <w:tcW w:w="1142" w:type="pct"/>
                  <w:tcBorders>
                    <w:top w:val="single" w:color="auto" w:sz="4" w:space="0"/>
                    <w:left w:val="single" w:color="auto" w:sz="4" w:space="0"/>
                    <w:bottom w:val="single" w:color="auto" w:sz="4" w:space="0"/>
                    <w:right w:val="nil"/>
                  </w:tcBorders>
                  <w:noWrap w:val="0"/>
                  <w:vAlign w:val="center"/>
                </w:tcPr>
                <w:p w14:paraId="77C79F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bidi="ar-SA"/>
                      <w14:textFill>
                        <w14:solidFill>
                          <w14:schemeClr w14:val="tx1"/>
                        </w14:solidFill>
                      </w14:textFill>
                    </w:rPr>
                    <w:t>0</w:t>
                  </w:r>
                </w:p>
              </w:tc>
            </w:tr>
            <w:tr w14:paraId="5414B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restart"/>
                  <w:tcBorders>
                    <w:top w:val="single" w:color="auto" w:sz="4" w:space="0"/>
                    <w:left w:val="nil"/>
                    <w:bottom w:val="single" w:color="auto" w:sz="12" w:space="0"/>
                    <w:right w:val="single" w:color="auto" w:sz="4" w:space="0"/>
                  </w:tcBorders>
                  <w:noWrap w:val="0"/>
                  <w:vAlign w:val="center"/>
                </w:tcPr>
                <w:p w14:paraId="761E07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固废</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343271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一般固废</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4D751F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0</w:t>
                  </w:r>
                </w:p>
              </w:tc>
              <w:tc>
                <w:tcPr>
                  <w:tcW w:w="1142" w:type="pct"/>
                  <w:tcBorders>
                    <w:top w:val="single" w:color="auto" w:sz="4" w:space="0"/>
                    <w:left w:val="single" w:color="auto" w:sz="4" w:space="0"/>
                    <w:bottom w:val="single" w:color="auto" w:sz="4" w:space="0"/>
                    <w:right w:val="nil"/>
                  </w:tcBorders>
                  <w:noWrap w:val="0"/>
                  <w:vAlign w:val="center"/>
                </w:tcPr>
                <w:p w14:paraId="7BD7BB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0</w:t>
                  </w:r>
                </w:p>
              </w:tc>
            </w:tr>
            <w:tr w14:paraId="30AD2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top w:val="single" w:color="auto" w:sz="4" w:space="0"/>
                    <w:left w:val="nil"/>
                    <w:bottom w:val="single" w:color="auto" w:sz="12" w:space="0"/>
                    <w:right w:val="single" w:color="auto" w:sz="4" w:space="0"/>
                  </w:tcBorders>
                  <w:noWrap w:val="0"/>
                  <w:vAlign w:val="center"/>
                </w:tcPr>
                <w:p w14:paraId="725933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4" w:space="0"/>
                    <w:right w:val="single" w:color="auto" w:sz="4" w:space="0"/>
                  </w:tcBorders>
                  <w:noWrap w:val="0"/>
                  <w:vAlign w:val="center"/>
                </w:tcPr>
                <w:p w14:paraId="1E4A87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危险固废</w:t>
                  </w:r>
                </w:p>
              </w:tc>
              <w:tc>
                <w:tcPr>
                  <w:tcW w:w="1057" w:type="pct"/>
                  <w:tcBorders>
                    <w:top w:val="single" w:color="auto" w:sz="4" w:space="0"/>
                    <w:left w:val="single" w:color="auto" w:sz="4" w:space="0"/>
                    <w:bottom w:val="single" w:color="auto" w:sz="4" w:space="0"/>
                    <w:right w:val="single" w:color="auto" w:sz="4" w:space="0"/>
                  </w:tcBorders>
                  <w:noWrap w:val="0"/>
                  <w:vAlign w:val="center"/>
                </w:tcPr>
                <w:p w14:paraId="79CC8B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0</w:t>
                  </w:r>
                </w:p>
              </w:tc>
              <w:tc>
                <w:tcPr>
                  <w:tcW w:w="1142" w:type="pct"/>
                  <w:tcBorders>
                    <w:top w:val="single" w:color="auto" w:sz="4" w:space="0"/>
                    <w:left w:val="single" w:color="auto" w:sz="4" w:space="0"/>
                    <w:bottom w:val="single" w:color="auto" w:sz="4" w:space="0"/>
                    <w:right w:val="nil"/>
                  </w:tcBorders>
                  <w:noWrap w:val="0"/>
                  <w:vAlign w:val="center"/>
                </w:tcPr>
                <w:p w14:paraId="511FFB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0</w:t>
                  </w:r>
                </w:p>
              </w:tc>
            </w:tr>
            <w:tr w14:paraId="732DD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vMerge w:val="continue"/>
                  <w:tcBorders>
                    <w:top w:val="single" w:color="auto" w:sz="4" w:space="0"/>
                    <w:left w:val="nil"/>
                    <w:bottom w:val="single" w:color="auto" w:sz="12" w:space="0"/>
                    <w:right w:val="single" w:color="auto" w:sz="4" w:space="0"/>
                  </w:tcBorders>
                  <w:noWrap w:val="0"/>
                  <w:vAlign w:val="center"/>
                </w:tcPr>
                <w:p w14:paraId="410D51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p>
              </w:tc>
              <w:tc>
                <w:tcPr>
                  <w:tcW w:w="1975" w:type="pct"/>
                  <w:tcBorders>
                    <w:top w:val="single" w:color="auto" w:sz="4" w:space="0"/>
                    <w:left w:val="single" w:color="auto" w:sz="4" w:space="0"/>
                    <w:bottom w:val="single" w:color="auto" w:sz="12" w:space="0"/>
                    <w:right w:val="single" w:color="auto" w:sz="4" w:space="0"/>
                  </w:tcBorders>
                  <w:noWrap w:val="0"/>
                  <w:vAlign w:val="center"/>
                </w:tcPr>
                <w:p w14:paraId="083C35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t>生活垃圾</w:t>
                  </w:r>
                </w:p>
              </w:tc>
              <w:tc>
                <w:tcPr>
                  <w:tcW w:w="1057" w:type="pct"/>
                  <w:tcBorders>
                    <w:top w:val="single" w:color="auto" w:sz="4" w:space="0"/>
                    <w:left w:val="single" w:color="auto" w:sz="4" w:space="0"/>
                    <w:bottom w:val="single" w:color="auto" w:sz="12" w:space="0"/>
                    <w:right w:val="single" w:color="auto" w:sz="4" w:space="0"/>
                  </w:tcBorders>
                  <w:noWrap w:val="0"/>
                  <w:vAlign w:val="center"/>
                </w:tcPr>
                <w:p w14:paraId="50136F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0</w:t>
                  </w:r>
                </w:p>
              </w:tc>
              <w:tc>
                <w:tcPr>
                  <w:tcW w:w="1142" w:type="pct"/>
                  <w:tcBorders>
                    <w:top w:val="single" w:color="auto" w:sz="4" w:space="0"/>
                    <w:left w:val="single" w:color="auto" w:sz="4" w:space="0"/>
                    <w:bottom w:val="single" w:color="auto" w:sz="12" w:space="0"/>
                    <w:right w:val="nil"/>
                  </w:tcBorders>
                  <w:noWrap w:val="0"/>
                  <w:vAlign w:val="center"/>
                </w:tcPr>
                <w:p w14:paraId="72557C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0</w:t>
                  </w:r>
                </w:p>
              </w:tc>
            </w:tr>
          </w:tbl>
          <w:p w14:paraId="1B4A96D1">
            <w:pPr>
              <w:spacing w:line="360" w:lineRule="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mallCaps w:val="0"/>
                <w:snapToGrid w:val="0"/>
                <w:color w:val="000000" w:themeColor="text1"/>
                <w:spacing w:val="0"/>
                <w:kern w:val="0"/>
                <w:sz w:val="21"/>
                <w:szCs w:val="21"/>
                <w:lang w:val="en-US" w:eastAsia="zh-CN"/>
                <w14:textFill>
                  <w14:solidFill>
                    <w14:schemeClr w14:val="tx1"/>
                  </w14:solidFill>
                </w14:textFill>
              </w:rPr>
              <w:t>注：原有项目未进行监测，不计算实际排放量。</w:t>
            </w:r>
          </w:p>
          <w:p w14:paraId="2767AE90">
            <w:pPr>
              <w:pStyle w:val="33"/>
              <w:ind w:firstLine="482" w:firstLineChars="200"/>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五、与本项目有关的原有污染情况及主要环境问题</w:t>
            </w:r>
          </w:p>
          <w:p w14:paraId="723B6C45">
            <w:pPr>
              <w:pStyle w:val="33"/>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1、主要环境问题</w:t>
            </w:r>
          </w:p>
          <w:p w14:paraId="408DC51D">
            <w:pPr>
              <w:pStyle w:val="33"/>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①原有项目未定期进行日常监测；</w:t>
            </w:r>
          </w:p>
          <w:p w14:paraId="02C3EB50">
            <w:pPr>
              <w:pStyle w:val="33"/>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②企业暂未编制环境应急预案。</w:t>
            </w:r>
          </w:p>
          <w:p w14:paraId="60FE16CB">
            <w:pPr>
              <w:pStyle w:val="33"/>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③原项目未核定污染物排放量。</w:t>
            </w:r>
          </w:p>
          <w:p w14:paraId="62FEE97C">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2、以新带老措施</w:t>
            </w:r>
          </w:p>
          <w:p w14:paraId="123DF141">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①企业根据《排污单位自行监测技术指南 总则》（HJ 819-2017）、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《排污许可证申请与核发技术规范 电子工业》（HJ1031—2019）等文件，及时进行日常监测；</w:t>
            </w:r>
          </w:p>
          <w:p w14:paraId="6A39534E">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②企业按照要求及时编制环境应急预案并备案。</w:t>
            </w:r>
          </w:p>
          <w:p w14:paraId="61A833B2">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③本项目核定原项目污染物排放量，主要为生活污水，原项目定员10人，年工作日约300天，办公生活用水量按照50L/人·d计算，则原项目生活用水量为150m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/a。生活污水量按照用水量的80%计，污水产生量约120m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/a，经市政污水管网接至常州市金坛第二污水处理厂集中处理，处理后尾水排入尧塘河。</w:t>
            </w:r>
          </w:p>
          <w:p w14:paraId="34A0EC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六</w:t>
            </w:r>
            <w:r>
              <w:rPr>
                <w:rFonts w:hint="default" w:ascii="Times New Roman" w:hAnsi="Times New Roman" w:eastAsia="宋体" w:cs="Times New Roman"/>
                <w:b/>
                <w:color w:val="000000" w:themeColor="text1"/>
                <w:sz w:val="24"/>
                <w14:textFill>
                  <w14:solidFill>
                    <w14:schemeClr w14:val="tx1"/>
                  </w14:solidFill>
                </w14:textFill>
              </w:rPr>
              <w:t>、本项目与</w:t>
            </w:r>
            <w:r>
              <w:rPr>
                <w:rFonts w:hint="default" w:ascii="Times New Roman" w:hAnsi="Times New Roman" w:eastAsia="宋体" w:cs="Times New Roman"/>
                <w:b/>
                <w:color w:val="000000" w:themeColor="text1"/>
                <w:sz w:val="24"/>
                <w:lang w:val="en-US" w:eastAsia="zh-CN"/>
                <w14:textFill>
                  <w14:solidFill>
                    <w14:schemeClr w14:val="tx1"/>
                  </w14:solidFill>
                </w14:textFill>
              </w:rPr>
              <w:t>联东U谷金坛科技产业园</w:t>
            </w:r>
            <w:r>
              <w:rPr>
                <w:rFonts w:hint="default" w:ascii="Times New Roman" w:hAnsi="Times New Roman" w:eastAsia="宋体" w:cs="Times New Roman"/>
                <w:b/>
                <w:color w:val="000000" w:themeColor="text1"/>
                <w:sz w:val="24"/>
                <w:lang w:eastAsia="zh-CN"/>
                <w14:textFill>
                  <w14:solidFill>
                    <w14:schemeClr w14:val="tx1"/>
                  </w14:solidFill>
                </w14:textFill>
              </w:rPr>
              <w:t>（常州金图实业有限公司）</w:t>
            </w:r>
            <w:r>
              <w:rPr>
                <w:rFonts w:hint="default" w:ascii="Times New Roman" w:hAnsi="Times New Roman" w:eastAsia="宋体" w:cs="Times New Roman"/>
                <w:b/>
                <w:color w:val="000000" w:themeColor="text1"/>
                <w:sz w:val="24"/>
                <w14:textFill>
                  <w14:solidFill>
                    <w14:schemeClr w14:val="tx1"/>
                  </w14:solidFill>
                </w14:textFill>
              </w:rPr>
              <w:t>依托关系：</w:t>
            </w:r>
          </w:p>
          <w:p w14:paraId="7A510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联东U谷金坛科技产业园</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位于常州市金坛区晨风路900号，园区内已实施雨污分流，已建设污水管网及排口、雨水管网及排口、供电线路、供水管网、事故应急池。雨水排放口位于园区南侧，雨水通过市政管网流入尧塘河；污水排放口位于园区南侧，通过市政污水管网进金坛第二污水处理厂，最终排入尧塘河；事故时，企业通知园区关闭雨水排放口阀门，雨水可自流进事故应急池。</w:t>
            </w:r>
          </w:p>
          <w:p w14:paraId="120267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位于</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联东U谷金坛科技产业园</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（常州金图实业有限公司）</w:t>
            </w:r>
            <w:r>
              <w:rPr>
                <w:rFonts w:hint="default" w:ascii="Times New Roman" w:hAnsi="Times New Roman" w:eastAsia="宋体" w:cs="Times New Roman"/>
                <w:b w:val="0"/>
                <w:bCs/>
                <w:color w:val="000000" w:themeColor="text1"/>
                <w:sz w:val="24"/>
                <w14:textFill>
                  <w14:solidFill>
                    <w14:schemeClr w14:val="tx1"/>
                  </w14:solidFill>
                </w14:textFill>
              </w:rPr>
              <w:t>，经与建设单位核实，本项目与其依托关系如下：</w:t>
            </w:r>
          </w:p>
          <w:p w14:paraId="75D6D4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1、本项目依托</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园区</w:t>
            </w:r>
            <w:r>
              <w:rPr>
                <w:rFonts w:hint="default" w:ascii="Times New Roman" w:hAnsi="Times New Roman" w:eastAsia="宋体" w:cs="Times New Roman"/>
                <w:b w:val="0"/>
                <w:bCs/>
                <w:color w:val="000000" w:themeColor="text1"/>
                <w:sz w:val="24"/>
                <w14:textFill>
                  <w14:solidFill>
                    <w14:schemeClr w14:val="tx1"/>
                  </w14:solidFill>
                </w14:textFill>
              </w:rPr>
              <w:t>现有雨污水管网及雨污水排放口，本项目主要外排废水为员工日常生活污水，接管至金坛第二污水处理厂集中处理</w:t>
            </w: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尾水排入尧塘河</w:t>
            </w:r>
            <w:r>
              <w:rPr>
                <w:rFonts w:hint="default" w:ascii="Times New Roman" w:hAnsi="Times New Roman" w:eastAsia="宋体" w:cs="Times New Roman"/>
                <w:b w:val="0"/>
                <w:bCs/>
                <w:color w:val="000000" w:themeColor="text1"/>
                <w:sz w:val="24"/>
                <w14:textFill>
                  <w14:solidFill>
                    <w14:schemeClr w14:val="tx1"/>
                  </w14:solidFill>
                </w14:textFill>
              </w:rPr>
              <w:t>；雨水经厂内雨水管网收集后排入附近</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的尧塘河</w:t>
            </w:r>
            <w:r>
              <w:rPr>
                <w:rFonts w:hint="default" w:ascii="Times New Roman" w:hAnsi="Times New Roman" w:eastAsia="宋体" w:cs="Times New Roman"/>
                <w:b w:val="0"/>
                <w:bCs/>
                <w:color w:val="000000" w:themeColor="text1"/>
                <w:sz w:val="24"/>
                <w14:textFill>
                  <w14:solidFill>
                    <w14:schemeClr w14:val="tx1"/>
                  </w14:solidFill>
                </w14:textFill>
              </w:rPr>
              <w:t>。</w:t>
            </w:r>
          </w:p>
          <w:p w14:paraId="124358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2、本项目依托园区供电、配电系统，不改变现有供配电系统。</w:t>
            </w:r>
          </w:p>
          <w:p w14:paraId="6C77A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3、本项目依托园区自来水给水系统。</w:t>
            </w:r>
          </w:p>
          <w:p w14:paraId="04FECF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4、本项目依托园区事故应急池及雨水口切断阀。</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一旦本项目发生事故，企业立即通知</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园区</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关闭雨水阀门，并打开应急事故池阀门，消防废水、污染雨水、泄漏物料经雨水管网收集进入事故应急池，利用与事故应急池连接的雨水管网使事故废水流入事故应急池内</w:t>
            </w:r>
            <w:r>
              <w:rPr>
                <w:rFonts w:hint="eastAsia" w:ascii="Times New Roman" w:hAnsi="Times New Roman" w:eastAsia="宋体"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同时企业打开抽水泵，将事故废水抽入污水收纳袋暂存，企业再根据事件消防水性质接污水管排放或委托有资质单位处理。</w:t>
            </w:r>
          </w:p>
          <w:p w14:paraId="2DC03B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七</w:t>
            </w:r>
            <w:r>
              <w:rPr>
                <w:rFonts w:hint="default" w:ascii="Times New Roman" w:hAnsi="Times New Roman" w:eastAsia="宋体" w:cs="Times New Roman"/>
                <w:b/>
                <w:color w:val="000000" w:themeColor="text1"/>
                <w:sz w:val="24"/>
                <w14:textFill>
                  <w14:solidFill>
                    <w14:schemeClr w14:val="tx1"/>
                  </w14:solidFill>
                </w14:textFill>
              </w:rPr>
              <w:t>、责任主体</w:t>
            </w:r>
          </w:p>
          <w:p w14:paraId="4E979D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本项目在生产过程中保持独立，且设置独立的环保工程（主要为废气处理装置</w:t>
            </w: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废水处理装置</w:t>
            </w:r>
            <w:r>
              <w:rPr>
                <w:rFonts w:hint="default" w:ascii="Times New Roman" w:hAnsi="Times New Roman" w:eastAsia="宋体" w:cs="Times New Roman"/>
                <w:b w:val="0"/>
                <w:bCs/>
                <w:color w:val="000000" w:themeColor="text1"/>
                <w:sz w:val="24"/>
                <w14:textFill>
                  <w14:solidFill>
                    <w14:schemeClr w14:val="tx1"/>
                  </w14:solidFill>
                </w14:textFill>
              </w:rPr>
              <w:t>、一般固废仓库、危废暂存间），与</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园区</w:t>
            </w:r>
            <w:r>
              <w:rPr>
                <w:rFonts w:hint="default" w:ascii="Times New Roman" w:hAnsi="Times New Roman" w:eastAsia="宋体" w:cs="Times New Roman"/>
                <w:b w:val="0"/>
                <w:bCs/>
                <w:color w:val="000000" w:themeColor="text1"/>
                <w:sz w:val="24"/>
                <w14:textFill>
                  <w14:solidFill>
                    <w14:schemeClr w14:val="tx1"/>
                  </w14:solidFill>
                </w14:textFill>
              </w:rPr>
              <w:t>无依托关系。</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企业</w:t>
            </w:r>
            <w:r>
              <w:rPr>
                <w:rFonts w:hint="default" w:ascii="Times New Roman" w:hAnsi="Times New Roman" w:eastAsia="宋体" w:cs="Times New Roman"/>
                <w:b w:val="0"/>
                <w:bCs/>
                <w:color w:val="000000" w:themeColor="text1"/>
                <w:sz w:val="24"/>
                <w14:textFill>
                  <w14:solidFill>
                    <w14:schemeClr w14:val="tx1"/>
                  </w14:solidFill>
                </w14:textFill>
              </w:rPr>
              <w:t>应落实废水、废气、噪声、固废等污染防治措施，并严格执行环保“三同时”验收制度，确保达标排放。若废气、噪声等出现超标排放或者固体废物未按照要求暂存处置，由</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企业</w:t>
            </w:r>
            <w:r>
              <w:rPr>
                <w:rFonts w:hint="default" w:ascii="Times New Roman" w:hAnsi="Times New Roman" w:eastAsia="宋体" w:cs="Times New Roman"/>
                <w:b w:val="0"/>
                <w:bCs/>
                <w:color w:val="000000" w:themeColor="text1"/>
                <w:sz w:val="24"/>
                <w14:textFill>
                  <w14:solidFill>
                    <w14:schemeClr w14:val="tx1"/>
                  </w14:solidFill>
                </w14:textFill>
              </w:rPr>
              <w:t>承担相应的环保责任。</w:t>
            </w:r>
          </w:p>
          <w:p w14:paraId="244409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根据我国相关法律规定，对于“厂中厂”企业，其发生环境污染（风险）事故应当按照“谁污染谁治理”的原则进行责任划分，并承担相应的法律责任。其中公用工程如雨水排放口、污水排放口以及事故应急池责任主体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园区</w:t>
            </w:r>
            <w:r>
              <w:rPr>
                <w:rFonts w:hint="default" w:ascii="Times New Roman" w:hAnsi="Times New Roman" w:eastAsia="宋体" w:cs="Times New Roman"/>
                <w:b w:val="0"/>
                <w:bCs/>
                <w:color w:val="000000" w:themeColor="text1"/>
                <w:sz w:val="24"/>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企业</w:t>
            </w:r>
            <w:r>
              <w:rPr>
                <w:rFonts w:hint="default" w:ascii="Times New Roman" w:hAnsi="Times New Roman" w:eastAsia="宋体" w:cs="Times New Roman"/>
                <w:b w:val="0"/>
                <w:bCs/>
                <w:color w:val="000000" w:themeColor="text1"/>
                <w:sz w:val="24"/>
                <w14:textFill>
                  <w14:solidFill>
                    <w14:schemeClr w14:val="tx1"/>
                  </w14:solidFill>
                </w14:textFill>
              </w:rPr>
              <w:t>不得向污水管网、雨水管网内排放废液等，</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园区</w:t>
            </w:r>
            <w:r>
              <w:rPr>
                <w:rFonts w:hint="default" w:ascii="Times New Roman" w:hAnsi="Times New Roman" w:eastAsia="宋体" w:cs="Times New Roman"/>
                <w:b w:val="0"/>
                <w:bCs/>
                <w:color w:val="000000" w:themeColor="text1"/>
                <w:sz w:val="24"/>
                <w14:textFill>
                  <w14:solidFill>
                    <w14:schemeClr w14:val="tx1"/>
                  </w14:solidFill>
                </w14:textFill>
              </w:rPr>
              <w:t>负有监督责任。</w:t>
            </w:r>
          </w:p>
        </w:tc>
      </w:tr>
    </w:tbl>
    <w:p w14:paraId="0680B650">
      <w:p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3D4AEB0A">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三、区域环境现状、环境保护目标及评价标准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840"/>
      </w:tblGrid>
      <w:tr w14:paraId="6A34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14:paraId="07D7147B">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区域环境质量现状</w:t>
            </w:r>
          </w:p>
        </w:tc>
        <w:tc>
          <w:tcPr>
            <w:tcW w:w="4759" w:type="pct"/>
          </w:tcPr>
          <w:p w14:paraId="78CF4025">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1、大气环境</w:t>
            </w:r>
          </w:p>
          <w:p w14:paraId="78739DA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（1）大气基</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污染物环境质量现状</w:t>
            </w:r>
          </w:p>
          <w:p w14:paraId="2E6D5B3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根据《环境影响评价技术导则大气环境》（HJ2.2-2018）中规定，项目所在区域达标情况判定优先采用国家或地方生态环境主管部门公开发布的环境质量报告或环境质量报告书中的数据或结论。本项目引用《202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年常州市生态环境状况公报》中环境空气质量数据。本次评价选取202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年作为评价基准年，根据《202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年常州市生态环境状况公报》，项目所在区域常州市各评价因子数据见下表。</w:t>
            </w:r>
          </w:p>
          <w:p w14:paraId="4C6394F2">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表3-1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 xml:space="preserve"> 区域空气质量现状评价表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66"/>
              <w:gridCol w:w="2273"/>
              <w:gridCol w:w="1423"/>
              <w:gridCol w:w="1696"/>
              <w:gridCol w:w="1042"/>
              <w:gridCol w:w="1224"/>
            </w:tblGrid>
            <w:tr w14:paraId="06A129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tcBorders>
                    <w:tl2br w:val="nil"/>
                    <w:tr2bl w:val="nil"/>
                  </w:tcBorders>
                  <w:noWrap w:val="0"/>
                  <w:vAlign w:val="center"/>
                </w:tcPr>
                <w:p w14:paraId="70819B33">
                  <w:pPr>
                    <w:adjustRightInd w:val="0"/>
                    <w:snapToGrid w:val="0"/>
                    <w:spacing w:line="240" w:lineRule="auto"/>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污染物</w:t>
                  </w:r>
                </w:p>
              </w:tc>
              <w:tc>
                <w:tcPr>
                  <w:tcW w:w="1317" w:type="pct"/>
                  <w:tcBorders>
                    <w:tl2br w:val="nil"/>
                    <w:tr2bl w:val="nil"/>
                  </w:tcBorders>
                  <w:noWrap w:val="0"/>
                  <w:vAlign w:val="center"/>
                </w:tcPr>
                <w:p w14:paraId="02E01477">
                  <w:pPr>
                    <w:adjustRightInd w:val="0"/>
                    <w:snapToGrid w:val="0"/>
                    <w:spacing w:line="240" w:lineRule="auto"/>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年平均指标</w:t>
                  </w:r>
                </w:p>
              </w:tc>
              <w:tc>
                <w:tcPr>
                  <w:tcW w:w="825" w:type="pct"/>
                  <w:tcBorders>
                    <w:tl2br w:val="nil"/>
                    <w:tr2bl w:val="nil"/>
                  </w:tcBorders>
                  <w:noWrap w:val="0"/>
                  <w:vAlign w:val="center"/>
                </w:tcPr>
                <w:p w14:paraId="0A024F0F">
                  <w:pPr>
                    <w:adjustRightInd w:val="0"/>
                    <w:snapToGrid w:val="0"/>
                    <w:spacing w:line="240" w:lineRule="auto"/>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现状浓度μg/m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p>
              </w:tc>
              <w:tc>
                <w:tcPr>
                  <w:tcW w:w="983" w:type="pct"/>
                  <w:tcBorders>
                    <w:tl2br w:val="nil"/>
                    <w:tr2bl w:val="nil"/>
                  </w:tcBorders>
                  <w:noWrap w:val="0"/>
                  <w:vAlign w:val="center"/>
                </w:tcPr>
                <w:p w14:paraId="44065E3E">
                  <w:pPr>
                    <w:adjustRightInd w:val="0"/>
                    <w:snapToGrid w:val="0"/>
                    <w:spacing w:line="240" w:lineRule="auto"/>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标准限值μg/m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p>
              </w:tc>
              <w:tc>
                <w:tcPr>
                  <w:tcW w:w="604" w:type="pct"/>
                  <w:tcBorders>
                    <w:tl2br w:val="nil"/>
                    <w:tr2bl w:val="nil"/>
                  </w:tcBorders>
                  <w:noWrap w:val="0"/>
                  <w:vAlign w:val="center"/>
                </w:tcPr>
                <w:p w14:paraId="0950C0A8">
                  <w:pPr>
                    <w:adjustRightInd w:val="0"/>
                    <w:snapToGrid w:val="0"/>
                    <w:spacing w:line="240" w:lineRule="auto"/>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达标率</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w:t>
                  </w:r>
                </w:p>
              </w:tc>
              <w:tc>
                <w:tcPr>
                  <w:tcW w:w="708" w:type="pct"/>
                  <w:tcBorders>
                    <w:tl2br w:val="nil"/>
                    <w:tr2bl w:val="nil"/>
                  </w:tcBorders>
                  <w:noWrap w:val="0"/>
                  <w:vAlign w:val="center"/>
                </w:tcPr>
                <w:p w14:paraId="56F473E1">
                  <w:pPr>
                    <w:adjustRightInd w:val="0"/>
                    <w:snapToGrid w:val="0"/>
                    <w:spacing w:line="240" w:lineRule="auto"/>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达标情况</w:t>
                  </w:r>
                </w:p>
              </w:tc>
            </w:tr>
            <w:tr w14:paraId="09EF87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638F20D9">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2.5</w:t>
                  </w:r>
                </w:p>
              </w:tc>
              <w:tc>
                <w:tcPr>
                  <w:tcW w:w="1317" w:type="pct"/>
                  <w:tcBorders>
                    <w:tl2br w:val="nil"/>
                    <w:tr2bl w:val="nil"/>
                  </w:tcBorders>
                  <w:noWrap w:val="0"/>
                  <w:vAlign w:val="center"/>
                </w:tcPr>
                <w:p w14:paraId="7F42DBDF">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年平均质量浓度</w:t>
                  </w:r>
                </w:p>
              </w:tc>
              <w:tc>
                <w:tcPr>
                  <w:tcW w:w="825" w:type="pct"/>
                  <w:tcBorders>
                    <w:tl2br w:val="nil"/>
                    <w:tr2bl w:val="nil"/>
                  </w:tcBorders>
                  <w:noWrap w:val="0"/>
                  <w:vAlign w:val="center"/>
                </w:tcPr>
                <w:p w14:paraId="35BA5925">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32</w:t>
                  </w:r>
                </w:p>
              </w:tc>
              <w:tc>
                <w:tcPr>
                  <w:tcW w:w="983" w:type="pct"/>
                  <w:tcBorders>
                    <w:tl2br w:val="nil"/>
                    <w:tr2bl w:val="nil"/>
                  </w:tcBorders>
                  <w:noWrap w:val="0"/>
                  <w:vAlign w:val="center"/>
                </w:tcPr>
                <w:p w14:paraId="54523EF4">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35</w:t>
                  </w:r>
                </w:p>
              </w:tc>
              <w:tc>
                <w:tcPr>
                  <w:tcW w:w="604" w:type="pct"/>
                  <w:tcBorders>
                    <w:tl2br w:val="nil"/>
                    <w:tr2bl w:val="nil"/>
                  </w:tcBorders>
                  <w:noWrap w:val="0"/>
                  <w:vAlign w:val="center"/>
                </w:tcPr>
                <w:p w14:paraId="34E0F707">
                  <w:pPr>
                    <w:widowControl/>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100</w:t>
                  </w:r>
                </w:p>
              </w:tc>
              <w:tc>
                <w:tcPr>
                  <w:tcW w:w="708" w:type="pct"/>
                  <w:vMerge w:val="restart"/>
                  <w:tcBorders>
                    <w:tl2br w:val="nil"/>
                    <w:tr2bl w:val="nil"/>
                  </w:tcBorders>
                  <w:noWrap w:val="0"/>
                  <w:vAlign w:val="center"/>
                </w:tcPr>
                <w:p w14:paraId="6E078B55">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0CE22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4305DC0B">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17" w:type="pct"/>
                  <w:tcBorders>
                    <w:tl2br w:val="nil"/>
                    <w:tr2bl w:val="nil"/>
                  </w:tcBorders>
                  <w:noWrap w:val="0"/>
                  <w:vAlign w:val="center"/>
                </w:tcPr>
                <w:p w14:paraId="37CE083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日平均浓度</w:t>
                  </w:r>
                </w:p>
              </w:tc>
              <w:tc>
                <w:tcPr>
                  <w:tcW w:w="825" w:type="pct"/>
                  <w:tcBorders>
                    <w:tl2br w:val="nil"/>
                    <w:tr2bl w:val="nil"/>
                  </w:tcBorders>
                  <w:noWrap w:val="0"/>
                  <w:vAlign w:val="center"/>
                </w:tcPr>
                <w:p w14:paraId="6A6B568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5-157</w:t>
                  </w:r>
                </w:p>
              </w:tc>
              <w:tc>
                <w:tcPr>
                  <w:tcW w:w="983" w:type="pct"/>
                  <w:tcBorders>
                    <w:tl2br w:val="nil"/>
                    <w:tr2bl w:val="nil"/>
                  </w:tcBorders>
                  <w:noWrap w:val="0"/>
                  <w:vAlign w:val="center"/>
                </w:tcPr>
                <w:p w14:paraId="0FA7AA67">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75</w:t>
                  </w:r>
                </w:p>
              </w:tc>
              <w:tc>
                <w:tcPr>
                  <w:tcW w:w="604" w:type="pct"/>
                  <w:tcBorders>
                    <w:tl2br w:val="nil"/>
                    <w:tr2bl w:val="nil"/>
                  </w:tcBorders>
                  <w:noWrap w:val="0"/>
                  <w:vAlign w:val="center"/>
                </w:tcPr>
                <w:p w14:paraId="0764DF89">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93.2</w:t>
                  </w:r>
                </w:p>
              </w:tc>
              <w:tc>
                <w:tcPr>
                  <w:tcW w:w="708" w:type="pct"/>
                  <w:vMerge w:val="continue"/>
                  <w:tcBorders>
                    <w:tl2br w:val="nil"/>
                    <w:tr2bl w:val="nil"/>
                  </w:tcBorders>
                  <w:noWrap w:val="0"/>
                  <w:vAlign w:val="center"/>
                </w:tcPr>
                <w:p w14:paraId="6A321341">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6FBB5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508F9A52">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10</w:t>
                  </w:r>
                </w:p>
              </w:tc>
              <w:tc>
                <w:tcPr>
                  <w:tcW w:w="1317" w:type="pct"/>
                  <w:tcBorders>
                    <w:tl2br w:val="nil"/>
                    <w:tr2bl w:val="nil"/>
                  </w:tcBorders>
                  <w:noWrap w:val="0"/>
                  <w:vAlign w:val="center"/>
                </w:tcPr>
                <w:p w14:paraId="7462EC43">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年平均质量浓度</w:t>
                  </w:r>
                </w:p>
              </w:tc>
              <w:tc>
                <w:tcPr>
                  <w:tcW w:w="825" w:type="pct"/>
                  <w:tcBorders>
                    <w:tl2br w:val="nil"/>
                    <w:tr2bl w:val="nil"/>
                  </w:tcBorders>
                  <w:noWrap w:val="0"/>
                  <w:vAlign w:val="center"/>
                </w:tcPr>
                <w:p w14:paraId="462DBC47">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52</w:t>
                  </w:r>
                </w:p>
              </w:tc>
              <w:tc>
                <w:tcPr>
                  <w:tcW w:w="983" w:type="pct"/>
                  <w:tcBorders>
                    <w:tl2br w:val="nil"/>
                    <w:tr2bl w:val="nil"/>
                  </w:tcBorders>
                  <w:noWrap w:val="0"/>
                  <w:vAlign w:val="center"/>
                </w:tcPr>
                <w:p w14:paraId="720B1AA8">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70</w:t>
                  </w:r>
                </w:p>
              </w:tc>
              <w:tc>
                <w:tcPr>
                  <w:tcW w:w="604" w:type="pct"/>
                  <w:tcBorders>
                    <w:tl2br w:val="nil"/>
                    <w:tr2bl w:val="nil"/>
                  </w:tcBorders>
                  <w:noWrap w:val="0"/>
                  <w:vAlign w:val="center"/>
                </w:tcPr>
                <w:p w14:paraId="0636E7D7">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100</w:t>
                  </w:r>
                </w:p>
              </w:tc>
              <w:tc>
                <w:tcPr>
                  <w:tcW w:w="708" w:type="pct"/>
                  <w:vMerge w:val="restart"/>
                  <w:tcBorders>
                    <w:tl2br w:val="nil"/>
                    <w:tr2bl w:val="nil"/>
                  </w:tcBorders>
                  <w:noWrap w:val="0"/>
                  <w:vAlign w:val="center"/>
                </w:tcPr>
                <w:p w14:paraId="1EA01DDD">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73EF28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58D67001">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17" w:type="pct"/>
                  <w:tcBorders>
                    <w:tl2br w:val="nil"/>
                    <w:tr2bl w:val="nil"/>
                  </w:tcBorders>
                  <w:noWrap w:val="0"/>
                  <w:vAlign w:val="center"/>
                </w:tcPr>
                <w:p w14:paraId="5603E10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日平均浓度</w:t>
                  </w:r>
                </w:p>
              </w:tc>
              <w:tc>
                <w:tcPr>
                  <w:tcW w:w="825" w:type="pct"/>
                  <w:tcBorders>
                    <w:tl2br w:val="nil"/>
                    <w:tr2bl w:val="nil"/>
                  </w:tcBorders>
                  <w:noWrap w:val="0"/>
                  <w:vAlign w:val="center"/>
                </w:tcPr>
                <w:p w14:paraId="150B443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9-206</w:t>
                  </w:r>
                </w:p>
              </w:tc>
              <w:tc>
                <w:tcPr>
                  <w:tcW w:w="983" w:type="pct"/>
                  <w:tcBorders>
                    <w:tl2br w:val="nil"/>
                    <w:tr2bl w:val="nil"/>
                  </w:tcBorders>
                  <w:noWrap w:val="0"/>
                  <w:vAlign w:val="center"/>
                </w:tcPr>
                <w:p w14:paraId="48B81D3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150</w:t>
                  </w:r>
                </w:p>
              </w:tc>
              <w:tc>
                <w:tcPr>
                  <w:tcW w:w="604" w:type="pct"/>
                  <w:tcBorders>
                    <w:tl2br w:val="nil"/>
                    <w:tr2bl w:val="nil"/>
                  </w:tcBorders>
                  <w:noWrap w:val="0"/>
                  <w:vAlign w:val="center"/>
                </w:tcPr>
                <w:p w14:paraId="128B5C0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98.3</w:t>
                  </w:r>
                </w:p>
              </w:tc>
              <w:tc>
                <w:tcPr>
                  <w:tcW w:w="708" w:type="pct"/>
                  <w:vMerge w:val="continue"/>
                  <w:tcBorders>
                    <w:tl2br w:val="nil"/>
                    <w:tr2bl w:val="nil"/>
                  </w:tcBorders>
                  <w:noWrap w:val="0"/>
                  <w:vAlign w:val="center"/>
                </w:tcPr>
                <w:p w14:paraId="02679CCD">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6212C6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58C94F2E">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p>
              </w:tc>
              <w:tc>
                <w:tcPr>
                  <w:tcW w:w="1317" w:type="pct"/>
                  <w:tcBorders>
                    <w:tl2br w:val="nil"/>
                    <w:tr2bl w:val="nil"/>
                  </w:tcBorders>
                  <w:noWrap w:val="0"/>
                  <w:vAlign w:val="center"/>
                </w:tcPr>
                <w:p w14:paraId="78A3BA57">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年平均质量浓度</w:t>
                  </w:r>
                </w:p>
              </w:tc>
              <w:tc>
                <w:tcPr>
                  <w:tcW w:w="825" w:type="pct"/>
                  <w:tcBorders>
                    <w:tl2br w:val="nil"/>
                    <w:tr2bl w:val="nil"/>
                  </w:tcBorders>
                  <w:noWrap w:val="0"/>
                  <w:vAlign w:val="center"/>
                </w:tcPr>
                <w:p w14:paraId="6666D319">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983" w:type="pct"/>
                  <w:tcBorders>
                    <w:tl2br w:val="nil"/>
                    <w:tr2bl w:val="nil"/>
                  </w:tcBorders>
                  <w:noWrap w:val="0"/>
                  <w:vAlign w:val="center"/>
                </w:tcPr>
                <w:p w14:paraId="5A000012">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60</w:t>
                  </w:r>
                </w:p>
              </w:tc>
              <w:tc>
                <w:tcPr>
                  <w:tcW w:w="604" w:type="pct"/>
                  <w:tcBorders>
                    <w:tl2br w:val="nil"/>
                    <w:tr2bl w:val="nil"/>
                  </w:tcBorders>
                  <w:noWrap w:val="0"/>
                  <w:vAlign w:val="center"/>
                </w:tcPr>
                <w:p w14:paraId="295C0B1B">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100</w:t>
                  </w:r>
                </w:p>
              </w:tc>
              <w:tc>
                <w:tcPr>
                  <w:tcW w:w="708" w:type="pct"/>
                  <w:vMerge w:val="restart"/>
                  <w:tcBorders>
                    <w:tl2br w:val="nil"/>
                    <w:tr2bl w:val="nil"/>
                  </w:tcBorders>
                  <w:noWrap w:val="0"/>
                  <w:vAlign w:val="center"/>
                </w:tcPr>
                <w:p w14:paraId="304A513D">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111B5F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2EF2A581">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17" w:type="pct"/>
                  <w:tcBorders>
                    <w:tl2br w:val="nil"/>
                    <w:tr2bl w:val="nil"/>
                  </w:tcBorders>
                  <w:noWrap w:val="0"/>
                  <w:vAlign w:val="center"/>
                </w:tcPr>
                <w:p w14:paraId="6DB30F2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日平均浓度</w:t>
                  </w:r>
                </w:p>
              </w:tc>
              <w:tc>
                <w:tcPr>
                  <w:tcW w:w="825" w:type="pct"/>
                  <w:tcBorders>
                    <w:tl2br w:val="nil"/>
                    <w:tr2bl w:val="nil"/>
                  </w:tcBorders>
                  <w:noWrap w:val="0"/>
                  <w:vAlign w:val="center"/>
                </w:tcPr>
                <w:p w14:paraId="5B40082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5-15</w:t>
                  </w:r>
                </w:p>
              </w:tc>
              <w:tc>
                <w:tcPr>
                  <w:tcW w:w="983" w:type="pct"/>
                  <w:tcBorders>
                    <w:tl2br w:val="nil"/>
                    <w:tr2bl w:val="nil"/>
                  </w:tcBorders>
                  <w:noWrap w:val="0"/>
                  <w:vAlign w:val="center"/>
                </w:tcPr>
                <w:p w14:paraId="3EE767AD">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150</w:t>
                  </w:r>
                </w:p>
              </w:tc>
              <w:tc>
                <w:tcPr>
                  <w:tcW w:w="604" w:type="pct"/>
                  <w:tcBorders>
                    <w:tl2br w:val="nil"/>
                    <w:tr2bl w:val="nil"/>
                  </w:tcBorders>
                  <w:noWrap w:val="0"/>
                  <w:vAlign w:val="center"/>
                </w:tcPr>
                <w:p w14:paraId="13B6405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100</w:t>
                  </w:r>
                </w:p>
              </w:tc>
              <w:tc>
                <w:tcPr>
                  <w:tcW w:w="708" w:type="pct"/>
                  <w:vMerge w:val="continue"/>
                  <w:tcBorders>
                    <w:tl2br w:val="nil"/>
                    <w:tr2bl w:val="nil"/>
                  </w:tcBorders>
                  <w:noWrap w:val="0"/>
                  <w:vAlign w:val="center"/>
                </w:tcPr>
                <w:p w14:paraId="001903A3">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045A85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6C317695">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NO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p>
              </w:tc>
              <w:tc>
                <w:tcPr>
                  <w:tcW w:w="1317" w:type="pct"/>
                  <w:tcBorders>
                    <w:tl2br w:val="nil"/>
                    <w:tr2bl w:val="nil"/>
                  </w:tcBorders>
                  <w:noWrap w:val="0"/>
                  <w:vAlign w:val="center"/>
                </w:tcPr>
                <w:p w14:paraId="40B9D3D1">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年平均质量浓度</w:t>
                  </w:r>
                </w:p>
              </w:tc>
              <w:tc>
                <w:tcPr>
                  <w:tcW w:w="825" w:type="pct"/>
                  <w:tcBorders>
                    <w:tl2br w:val="nil"/>
                    <w:tr2bl w:val="nil"/>
                  </w:tcBorders>
                  <w:noWrap w:val="0"/>
                  <w:vAlign w:val="center"/>
                </w:tcPr>
                <w:p w14:paraId="713989A4">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26</w:t>
                  </w:r>
                </w:p>
              </w:tc>
              <w:tc>
                <w:tcPr>
                  <w:tcW w:w="983" w:type="pct"/>
                  <w:tcBorders>
                    <w:tl2br w:val="nil"/>
                    <w:tr2bl w:val="nil"/>
                  </w:tcBorders>
                  <w:noWrap w:val="0"/>
                  <w:vAlign w:val="center"/>
                </w:tcPr>
                <w:p w14:paraId="7174D76C">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40</w:t>
                  </w:r>
                </w:p>
              </w:tc>
              <w:tc>
                <w:tcPr>
                  <w:tcW w:w="604" w:type="pct"/>
                  <w:tcBorders>
                    <w:tl2br w:val="nil"/>
                    <w:tr2bl w:val="nil"/>
                  </w:tcBorders>
                  <w:noWrap w:val="0"/>
                  <w:vAlign w:val="center"/>
                </w:tcPr>
                <w:p w14:paraId="296FC074">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100</w:t>
                  </w:r>
                </w:p>
              </w:tc>
              <w:tc>
                <w:tcPr>
                  <w:tcW w:w="708" w:type="pct"/>
                  <w:vMerge w:val="restart"/>
                  <w:tcBorders>
                    <w:tl2br w:val="nil"/>
                    <w:tr2bl w:val="nil"/>
                  </w:tcBorders>
                  <w:noWrap w:val="0"/>
                  <w:vAlign w:val="center"/>
                </w:tcPr>
                <w:p w14:paraId="3266F274">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18C06A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0EE8AC97">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17" w:type="pct"/>
                  <w:tcBorders>
                    <w:tl2br w:val="nil"/>
                    <w:tr2bl w:val="nil"/>
                  </w:tcBorders>
                  <w:noWrap w:val="0"/>
                  <w:vAlign w:val="center"/>
                </w:tcPr>
                <w:p w14:paraId="1BD5B1A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日平均浓度</w:t>
                  </w:r>
                </w:p>
              </w:tc>
              <w:tc>
                <w:tcPr>
                  <w:tcW w:w="825" w:type="pct"/>
                  <w:tcBorders>
                    <w:tl2br w:val="nil"/>
                    <w:tr2bl w:val="nil"/>
                  </w:tcBorders>
                  <w:noWrap w:val="0"/>
                  <w:vAlign w:val="center"/>
                </w:tcPr>
                <w:p w14:paraId="52E7994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5-92</w:t>
                  </w:r>
                </w:p>
              </w:tc>
              <w:tc>
                <w:tcPr>
                  <w:tcW w:w="983" w:type="pct"/>
                  <w:tcBorders>
                    <w:tl2br w:val="nil"/>
                    <w:tr2bl w:val="nil"/>
                  </w:tcBorders>
                  <w:noWrap w:val="0"/>
                  <w:vAlign w:val="center"/>
                </w:tcPr>
                <w:p w14:paraId="44BBB47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80</w:t>
                  </w:r>
                </w:p>
              </w:tc>
              <w:tc>
                <w:tcPr>
                  <w:tcW w:w="604" w:type="pct"/>
                  <w:tcBorders>
                    <w:tl2br w:val="nil"/>
                    <w:tr2bl w:val="nil"/>
                  </w:tcBorders>
                  <w:noWrap w:val="0"/>
                  <w:vAlign w:val="center"/>
                </w:tcPr>
                <w:p w14:paraId="5822086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99.2</w:t>
                  </w:r>
                </w:p>
              </w:tc>
              <w:tc>
                <w:tcPr>
                  <w:tcW w:w="708" w:type="pct"/>
                  <w:vMerge w:val="continue"/>
                  <w:tcBorders>
                    <w:tl2br w:val="nil"/>
                    <w:tr2bl w:val="nil"/>
                  </w:tcBorders>
                  <w:noWrap w:val="0"/>
                  <w:vAlign w:val="center"/>
                </w:tcPr>
                <w:p w14:paraId="02F217D9">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01F30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26037756">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CO</w:t>
                  </w:r>
                </w:p>
              </w:tc>
              <w:tc>
                <w:tcPr>
                  <w:tcW w:w="1317" w:type="pct"/>
                  <w:tcBorders>
                    <w:tl2br w:val="nil"/>
                    <w:tr2bl w:val="nil"/>
                  </w:tcBorders>
                  <w:noWrap w:val="0"/>
                  <w:vAlign w:val="center"/>
                </w:tcPr>
                <w:p w14:paraId="2A2C516C">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日均值的第95百分位数</w:t>
                  </w:r>
                </w:p>
              </w:tc>
              <w:tc>
                <w:tcPr>
                  <w:tcW w:w="825" w:type="pct"/>
                  <w:tcBorders>
                    <w:tl2br w:val="nil"/>
                    <w:tr2bl w:val="nil"/>
                  </w:tcBorders>
                  <w:noWrap w:val="0"/>
                  <w:vAlign w:val="center"/>
                </w:tcPr>
                <w:p w14:paraId="37B3589C">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1100</w:t>
                  </w:r>
                </w:p>
              </w:tc>
              <w:tc>
                <w:tcPr>
                  <w:tcW w:w="983" w:type="pct"/>
                  <w:tcBorders>
                    <w:tl2br w:val="nil"/>
                    <w:tr2bl w:val="nil"/>
                  </w:tcBorders>
                  <w:noWrap w:val="0"/>
                  <w:vAlign w:val="center"/>
                </w:tcPr>
                <w:p w14:paraId="1064CF75">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4000</w:t>
                  </w:r>
                </w:p>
              </w:tc>
              <w:tc>
                <w:tcPr>
                  <w:tcW w:w="604" w:type="pct"/>
                  <w:tcBorders>
                    <w:tl2br w:val="nil"/>
                    <w:tr2bl w:val="nil"/>
                  </w:tcBorders>
                  <w:noWrap w:val="0"/>
                  <w:vAlign w:val="center"/>
                </w:tcPr>
                <w:p w14:paraId="38945EA3">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100</w:t>
                  </w:r>
                </w:p>
              </w:tc>
              <w:tc>
                <w:tcPr>
                  <w:tcW w:w="708" w:type="pct"/>
                  <w:vMerge w:val="restart"/>
                  <w:tcBorders>
                    <w:tl2br w:val="nil"/>
                    <w:tr2bl w:val="nil"/>
                  </w:tcBorders>
                  <w:noWrap w:val="0"/>
                  <w:vAlign w:val="center"/>
                </w:tcPr>
                <w:p w14:paraId="2EEE39DF">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046BC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23A88EA7">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17" w:type="pct"/>
                  <w:tcBorders>
                    <w:tl2br w:val="nil"/>
                    <w:tr2bl w:val="nil"/>
                  </w:tcBorders>
                  <w:noWrap w:val="0"/>
                  <w:vAlign w:val="center"/>
                </w:tcPr>
                <w:p w14:paraId="1A643EBE">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日平均质量浓度范围</w:t>
                  </w:r>
                </w:p>
              </w:tc>
              <w:tc>
                <w:tcPr>
                  <w:tcW w:w="825" w:type="pct"/>
                  <w:tcBorders>
                    <w:tl2br w:val="nil"/>
                    <w:tr2bl w:val="nil"/>
                  </w:tcBorders>
                  <w:noWrap w:val="0"/>
                  <w:vAlign w:val="center"/>
                </w:tcPr>
                <w:p w14:paraId="793F2675">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400-1500</w:t>
                  </w:r>
                </w:p>
              </w:tc>
              <w:tc>
                <w:tcPr>
                  <w:tcW w:w="983" w:type="pct"/>
                  <w:tcBorders>
                    <w:tl2br w:val="nil"/>
                    <w:tr2bl w:val="nil"/>
                  </w:tcBorders>
                  <w:noWrap w:val="0"/>
                  <w:vAlign w:val="center"/>
                </w:tcPr>
                <w:p w14:paraId="1CEF659D">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4000</w:t>
                  </w:r>
                </w:p>
              </w:tc>
              <w:tc>
                <w:tcPr>
                  <w:tcW w:w="604" w:type="pct"/>
                  <w:tcBorders>
                    <w:tl2br w:val="nil"/>
                    <w:tr2bl w:val="nil"/>
                  </w:tcBorders>
                  <w:noWrap w:val="0"/>
                  <w:vAlign w:val="center"/>
                </w:tcPr>
                <w:p w14:paraId="66DA21E0">
                  <w:pPr>
                    <w:widowControl/>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100</w:t>
                  </w:r>
                </w:p>
              </w:tc>
              <w:tc>
                <w:tcPr>
                  <w:tcW w:w="708" w:type="pct"/>
                  <w:vMerge w:val="continue"/>
                  <w:tcBorders>
                    <w:tl2br w:val="nil"/>
                    <w:tr2bl w:val="nil"/>
                  </w:tcBorders>
                  <w:noWrap w:val="0"/>
                  <w:vAlign w:val="center"/>
                </w:tcPr>
                <w:p w14:paraId="01FC7B6A">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67D1A8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50B29E39">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3</w:t>
                  </w:r>
                </w:p>
              </w:tc>
              <w:tc>
                <w:tcPr>
                  <w:tcW w:w="1317" w:type="pct"/>
                  <w:tcBorders>
                    <w:tl2br w:val="nil"/>
                    <w:tr2bl w:val="nil"/>
                  </w:tcBorders>
                  <w:noWrap w:val="0"/>
                  <w:vAlign w:val="center"/>
                </w:tcPr>
                <w:p w14:paraId="10D7F63A">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日最大8小时滑动平均值的第90百分位数</w:t>
                  </w:r>
                </w:p>
              </w:tc>
              <w:tc>
                <w:tcPr>
                  <w:tcW w:w="825" w:type="pct"/>
                  <w:tcBorders>
                    <w:tl2br w:val="nil"/>
                    <w:tr2bl w:val="nil"/>
                  </w:tcBorders>
                  <w:noWrap w:val="0"/>
                  <w:vAlign w:val="center"/>
                </w:tcPr>
                <w:p w14:paraId="755DEF31">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168</w:t>
                  </w:r>
                </w:p>
              </w:tc>
              <w:tc>
                <w:tcPr>
                  <w:tcW w:w="983" w:type="pct"/>
                  <w:tcBorders>
                    <w:tl2br w:val="nil"/>
                    <w:tr2bl w:val="nil"/>
                  </w:tcBorders>
                  <w:noWrap w:val="0"/>
                  <w:vAlign w:val="center"/>
                </w:tcPr>
                <w:p w14:paraId="1A0FA7FF">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160</w:t>
                  </w:r>
                </w:p>
              </w:tc>
              <w:tc>
                <w:tcPr>
                  <w:tcW w:w="604" w:type="pct"/>
                  <w:tcBorders>
                    <w:tl2br w:val="nil"/>
                    <w:tr2bl w:val="nil"/>
                  </w:tcBorders>
                  <w:noWrap w:val="0"/>
                  <w:vAlign w:val="center"/>
                </w:tcPr>
                <w:p w14:paraId="58D10D31">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95.2</w:t>
                  </w:r>
                </w:p>
              </w:tc>
              <w:tc>
                <w:tcPr>
                  <w:tcW w:w="708" w:type="pct"/>
                  <w:vMerge w:val="restart"/>
                  <w:tcBorders>
                    <w:tl2br w:val="nil"/>
                    <w:tr2bl w:val="nil"/>
                  </w:tcBorders>
                  <w:noWrap w:val="0"/>
                  <w:vAlign w:val="center"/>
                </w:tcPr>
                <w:p w14:paraId="5ED6CD34">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不达标</w:t>
                  </w:r>
                </w:p>
              </w:tc>
            </w:tr>
            <w:tr w14:paraId="66160E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18442429">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17" w:type="pct"/>
                  <w:tcBorders>
                    <w:tl2br w:val="nil"/>
                    <w:tr2bl w:val="nil"/>
                  </w:tcBorders>
                  <w:noWrap w:val="0"/>
                  <w:vAlign w:val="center"/>
                </w:tcPr>
                <w:p w14:paraId="34E68DE4">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日平均质量浓度范围</w:t>
                  </w:r>
                </w:p>
              </w:tc>
              <w:tc>
                <w:tcPr>
                  <w:tcW w:w="825" w:type="pct"/>
                  <w:tcBorders>
                    <w:tl2br w:val="nil"/>
                    <w:tr2bl w:val="nil"/>
                  </w:tcBorders>
                  <w:noWrap w:val="0"/>
                  <w:vAlign w:val="center"/>
                </w:tcPr>
                <w:p w14:paraId="79DF211E">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17-253</w:t>
                  </w:r>
                </w:p>
              </w:tc>
              <w:tc>
                <w:tcPr>
                  <w:tcW w:w="983" w:type="pct"/>
                  <w:tcBorders>
                    <w:tl2br w:val="nil"/>
                    <w:tr2bl w:val="nil"/>
                  </w:tcBorders>
                  <w:noWrap w:val="0"/>
                  <w:vAlign w:val="center"/>
                </w:tcPr>
                <w:p w14:paraId="2CF7FB24">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160</w:t>
                  </w:r>
                </w:p>
              </w:tc>
              <w:tc>
                <w:tcPr>
                  <w:tcW w:w="604" w:type="pct"/>
                  <w:tcBorders>
                    <w:tl2br w:val="nil"/>
                    <w:tr2bl w:val="nil"/>
                  </w:tcBorders>
                  <w:noWrap w:val="0"/>
                  <w:vAlign w:val="center"/>
                </w:tcPr>
                <w:p w14:paraId="4E03E962">
                  <w:pPr>
                    <w:widowControl/>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86.3</w:t>
                  </w:r>
                </w:p>
              </w:tc>
              <w:tc>
                <w:tcPr>
                  <w:tcW w:w="708" w:type="pct"/>
                  <w:vMerge w:val="continue"/>
                  <w:tcBorders>
                    <w:tl2br w:val="nil"/>
                    <w:tr2bl w:val="nil"/>
                  </w:tcBorders>
                  <w:noWrap w:val="0"/>
                  <w:vAlign w:val="center"/>
                </w:tcPr>
                <w:p w14:paraId="33B6DE61">
                  <w:pPr>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bl>
          <w:p w14:paraId="37C4C9FB">
            <w:pPr>
              <w:spacing w:line="360" w:lineRule="auto"/>
              <w:ind w:firstLine="480" w:firstLineChars="200"/>
              <w:rPr>
                <w:rFonts w:hint="default" w:ascii="Times New Roman" w:hAnsi="Times New Roman" w:eastAsia="宋体" w:cs="Times New Roman"/>
                <w:caps w:val="0"/>
                <w:smallCaps w:val="0"/>
                <w:color w:val="000000" w:themeColor="text1"/>
                <w:spacing w:val="0"/>
                <w:sz w:val="24"/>
                <w:szCs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14:textFill>
                  <w14:solidFill>
                    <w14:schemeClr w14:val="tx1"/>
                  </w14:solidFill>
                </w14:textFill>
              </w:rPr>
              <w:t>年常州市环境空气中SO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eastAsia" w:ascii="Times New Roman" w:hAnsi="Times New Roman" w:eastAsia="宋体" w:cs="Times New Roman"/>
                <w:color w:val="000000" w:themeColor="text1"/>
                <w:sz w:val="24"/>
                <w14:textFill>
                  <w14:solidFill>
                    <w14:schemeClr w14:val="tx1"/>
                  </w14:solidFill>
                </w14:textFill>
              </w:rPr>
              <w:t>、PM</w:t>
            </w:r>
            <w:r>
              <w:rPr>
                <w:rFonts w:hint="eastAsia" w:ascii="Times New Roman" w:hAnsi="Times New Roman" w:eastAsia="宋体" w:cs="Times New Roman"/>
                <w:color w:val="000000" w:themeColor="text1"/>
                <w:sz w:val="24"/>
                <w:vertAlign w:val="subscript"/>
                <w14:textFill>
                  <w14:solidFill>
                    <w14:schemeClr w14:val="tx1"/>
                  </w14:solidFill>
                </w14:textFill>
              </w:rPr>
              <w:t>2.5</w:t>
            </w:r>
            <w:r>
              <w:rPr>
                <w:rFonts w:hint="eastAsia" w:ascii="Times New Roman" w:hAnsi="Times New Roman" w:eastAsia="宋体" w:cs="Times New Roman"/>
                <w:color w:val="000000" w:themeColor="text1"/>
                <w:sz w:val="24"/>
                <w14:textFill>
                  <w14:solidFill>
                    <w14:schemeClr w14:val="tx1"/>
                  </w14:solidFill>
                </w14:textFill>
              </w:rPr>
              <w:t>年平均值及</w:t>
            </w:r>
            <w:r>
              <w:rPr>
                <w:rFonts w:hint="default" w:ascii="Times New Roman" w:hAnsi="Times New Roman" w:eastAsia="宋体" w:cs="Times New Roman"/>
                <w:color w:val="000000" w:themeColor="text1"/>
                <w:sz w:val="24"/>
                <w14:textFill>
                  <w14:solidFill>
                    <w14:schemeClr w14:val="tx1"/>
                  </w14:solidFill>
                </w14:textFill>
              </w:rPr>
              <w:t>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日平均值均</w:t>
            </w:r>
            <w:r>
              <w:rPr>
                <w:rFonts w:hint="default" w:ascii="Times New Roman" w:hAnsi="Times New Roman" w:eastAsia="宋体" w:cs="Times New Roman"/>
                <w:color w:val="000000" w:themeColor="text1"/>
                <w:sz w:val="24"/>
                <w14:textFill>
                  <w14:solidFill>
                    <w14:schemeClr w14:val="tx1"/>
                  </w14:solidFill>
                </w14:textFill>
              </w:rPr>
              <w:t>满足《环境空气质量标准》（GB3095-2012）中二级标准，NO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eastAsia" w:ascii="Times New Roman" w:hAnsi="Times New Roman" w:eastAsia="宋体" w:cs="Times New Roman"/>
                <w:color w:val="000000" w:themeColor="text1"/>
                <w:sz w:val="24"/>
                <w:lang w:val="en-US" w:eastAsia="zh-CN"/>
                <w14:textFill>
                  <w14:solidFill>
                    <w14:schemeClr w14:val="tx1"/>
                  </w14:solidFill>
                </w14:textFill>
              </w:rPr>
              <w:t>日平均值浓度达标率满足评价要求；</w:t>
            </w:r>
            <w:r>
              <w:rPr>
                <w:rFonts w:hint="default" w:ascii="Times New Roman" w:hAnsi="Times New Roman" w:eastAsia="宋体" w:cs="Times New Roman"/>
                <w:color w:val="000000" w:themeColor="text1"/>
                <w:sz w:val="24"/>
                <w14:textFill>
                  <w14:solidFill>
                    <w14:schemeClr w14:val="tx1"/>
                  </w14:solidFill>
                </w14:textFill>
              </w:rPr>
              <w:t>CO的日均值的第95百分位数</w:t>
            </w:r>
            <w:r>
              <w:rPr>
                <w:rFonts w:hint="eastAsia" w:ascii="Times New Roman" w:hAnsi="Times New Roman" w:eastAsia="宋体" w:cs="Times New Roman"/>
                <w:color w:val="000000" w:themeColor="text1"/>
                <w:sz w:val="24"/>
                <w14:textFill>
                  <w14:solidFill>
                    <w14:schemeClr w14:val="tx1"/>
                  </w14:solidFill>
                </w14:textFill>
              </w:rPr>
              <w:t>及日平均值浓度范围满足</w:t>
            </w:r>
            <w:r>
              <w:rPr>
                <w:rFonts w:hint="default" w:ascii="Times New Roman" w:hAnsi="Times New Roman" w:eastAsia="宋体" w:cs="Times New Roman"/>
                <w:color w:val="000000" w:themeColor="text1"/>
                <w:sz w:val="24"/>
                <w14:textFill>
                  <w14:solidFill>
                    <w14:schemeClr w14:val="tx1"/>
                  </w14:solidFill>
                </w14:textFill>
              </w:rPr>
              <w:t>《环境空气质量标准》（GB3095-2012）中二级标准</w:t>
            </w:r>
            <w:r>
              <w:rPr>
                <w:rFonts w:hint="eastAsia" w:ascii="Times New Roman" w:hAnsi="Times New Roman" w:eastAsia="宋体" w:cs="Times New Roman"/>
                <w:color w:val="000000" w:themeColor="text1"/>
                <w:sz w:val="24"/>
                <w14:textFill>
                  <w14:solidFill>
                    <w14:schemeClr w14:val="tx1"/>
                  </w14:solidFill>
                </w14:textFill>
              </w:rPr>
              <w:t>，PM</w:t>
            </w:r>
            <w:r>
              <w:rPr>
                <w:rFonts w:hint="eastAsia" w:ascii="Times New Roman" w:hAnsi="Times New Roman" w:eastAsia="宋体" w:cs="Times New Roman"/>
                <w:color w:val="000000" w:themeColor="text1"/>
                <w:sz w:val="24"/>
                <w:vertAlign w:val="subscript"/>
                <w14:textFill>
                  <w14:solidFill>
                    <w14:schemeClr w14:val="tx1"/>
                  </w14:solidFill>
                </w14:textFill>
              </w:rPr>
              <w:t>2.5</w:t>
            </w:r>
            <w:r>
              <w:rPr>
                <w:rFonts w:hint="eastAsia" w:ascii="Times New Roman" w:hAnsi="Times New Roman" w:eastAsia="宋体" w:cs="Times New Roman"/>
                <w:color w:val="000000" w:themeColor="text1"/>
                <w:sz w:val="24"/>
                <w14:textFill>
                  <w14:solidFill>
                    <w14:schemeClr w14:val="tx1"/>
                  </w14:solidFill>
                </w14:textFill>
              </w:rPr>
              <w:t>日均值</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日最大8小时滑动平均值的第90百分位数</w:t>
            </w:r>
            <w:r>
              <w:rPr>
                <w:rFonts w:hint="eastAsia" w:ascii="Times New Roman" w:hAnsi="Times New Roman" w:eastAsia="宋体" w:cs="Times New Roman"/>
                <w:color w:val="000000" w:themeColor="text1"/>
                <w:sz w:val="24"/>
                <w:lang w:val="en-US" w:eastAsia="zh-CN"/>
                <w14:textFill>
                  <w14:solidFill>
                    <w14:schemeClr w14:val="tx1"/>
                  </w14:solidFill>
                </w14:textFill>
              </w:rPr>
              <w:t>及日平均值浓度范围</w:t>
            </w:r>
            <w:r>
              <w:rPr>
                <w:rFonts w:hint="default" w:ascii="Times New Roman" w:hAnsi="Times New Roman" w:eastAsia="宋体" w:cs="Times New Roman"/>
                <w:color w:val="000000" w:themeColor="text1"/>
                <w:sz w:val="24"/>
                <w14:textFill>
                  <w14:solidFill>
                    <w14:schemeClr w14:val="tx1"/>
                  </w14:solidFill>
                </w14:textFill>
              </w:rPr>
              <w:t>超过《环境空气质量标准》（GB3095-2012）中二级标准，因此判定为非达标区域。</w:t>
            </w:r>
          </w:p>
          <w:p w14:paraId="76186327">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aps w:val="0"/>
                <w:smallCaps w:val="0"/>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aps w:val="0"/>
                <w:smallCaps w:val="0"/>
                <w:color w:val="000000" w:themeColor="text1"/>
                <w:spacing w:val="0"/>
                <w:sz w:val="24"/>
                <w:szCs w:val="24"/>
                <w:highlight w:val="none"/>
                <w14:textFill>
                  <w14:solidFill>
                    <w14:schemeClr w14:val="tx1"/>
                  </w14:solidFill>
                </w14:textFill>
              </w:rPr>
              <w:t>）区域削减</w:t>
            </w:r>
          </w:p>
          <w:p w14:paraId="59F711A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根据《2025年常州市生态环境局的相关工作计划》，本区域大气污染物削减主要举措如下：</w:t>
            </w:r>
          </w:p>
          <w:p w14:paraId="7EE1A70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深入打好蓝天保卫战。实现三个“全部完成”，完成宝润钢铁、盘固水泥、扬子水泥等企业的全流程超低排放改造，实现超低排放改造“全覆盖”。全部完成606家铸造企业综合整治。全部完成汽摩配、玻璃钢、灯具、地板、干燥五大集群整治。推动三大“专项整治”，开展餐饮油烟专项整治，全市建成餐饮油烟整治示范街区（综合体）5个以上。开展重点区域专项整治，分类排查、分布推进，并建立健全长效机制。开展扬尘污染专项整治，加强城市保洁及扬尘污染精细化治理，确保建成区道路机械化清扫率达95%以上。提升三项“治理水平”，提升VOCs治理水平，完成一批VOCs年度治理工程；加大工业涂装、包装印刷等重点行业清洁原料替代力度，培育不少于5家源头替代示范性企业。提升烟花爆竹管控治理水平。提升移动源治理水平，实现剩余国Ⅲ及以下柴油货车全部清零，并加强重型柴油货车路检路查以及集中使用地、停放地的入户检查；全面排查所有非道机械现状和问题，推动所有机械登记注册，国一机械全部淘汰。</w:t>
            </w:r>
          </w:p>
          <w:p w14:paraId="0E152A0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深入推进太湖综合治理。开展太湖治理攻坚行动，实施重点项目244个、年度投资173.6亿。完成阳湖净水厂、江边污水处理厂五期等42万吨/日生活污水处理能力建设，基本完成新北薛家、天宁城东工业污水处理厂主体建设，开工建设武进西太湖工业污水处理厂。完成1.6万亩规模以上养殖池塘提升改造，重点建设高标准农田1.95万亩。全面完成竺山湖、滆湖清淤500万方、1500万方，完成滆湖退田还湖工程；启动溧阳长荡湖退圩还湖工作。坚持河流水质标本兼治，根据污水排放控制区溯源排查成果，排定并实施系统整治措施。“一河一策”推进支浜整治，实施控源截污、底泥清淤、畅流活水、河道管护等措施，巩固支浜水质改善成效，实现骨干河流一级支浜稳定消劣、二级支浜全面消劣。推进美丽河湖保护建设，全面完成长江常州段、新孟河“美丽河湖”建设任务。推进长江流域水生态保护与修复，加快编制水生态环境保护规划，完成水生态环境质量年度评价，建立水生态考核评价体系，组织实施长江流域水生态“一地一策”提升方案。</w:t>
            </w:r>
          </w:p>
          <w:p w14:paraId="5EF425B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采取上述措施，常州市的大气空气质量将得到进一步改善。</w:t>
            </w:r>
          </w:p>
          <w:p w14:paraId="5966882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（3）其他污染物环境质量现状评价</w:t>
            </w:r>
          </w:p>
          <w:p w14:paraId="28F86EF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本项目特征因子非甲烷总烃环境质量现状监测数据</w:t>
            </w:r>
            <w:r>
              <w:rPr>
                <w:rFonts w:hint="default" w:ascii="Times New Roman" w:hAnsi="Times New Roman" w:eastAsia="宋体" w:cs="Times New Roman"/>
                <w:color w:val="000000" w:themeColor="text1"/>
                <w:sz w:val="24"/>
                <w:lang w:val="en-US" w:eastAsia="zh-CN"/>
                <w14:textFill>
                  <w14:solidFill>
                    <w14:schemeClr w14:val="tx1"/>
                  </w14:solidFill>
                </w14:textFill>
              </w:rPr>
              <w:t>TST202507114特斯特(江苏)检测科技有限公司于202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7对〇2</w:t>
            </w:r>
            <w:r>
              <w:rPr>
                <w:rFonts w:hint="eastAsia" w:ascii="Times New Roman" w:hAnsi="Times New Roman" w:eastAsia="宋体" w:cs="Times New Roman"/>
                <w:color w:val="000000" w:themeColor="text1"/>
                <w:sz w:val="24"/>
                <w:lang w:val="en-US" w:eastAsia="zh-CN"/>
                <w14:textFill>
                  <w14:solidFill>
                    <w14:schemeClr w14:val="tx1"/>
                  </w14:solidFill>
                </w14:textFill>
              </w:rPr>
              <w:t>（常州市金坛区金东环保工程有限公司东侧）</w:t>
            </w:r>
            <w:r>
              <w:rPr>
                <w:rFonts w:hint="default" w:ascii="Times New Roman" w:hAnsi="Times New Roman" w:eastAsia="宋体" w:cs="Times New Roman"/>
                <w:color w:val="000000" w:themeColor="text1"/>
                <w:sz w:val="24"/>
                <w:lang w:val="en-US" w:eastAsia="zh-CN"/>
                <w14:textFill>
                  <w14:solidFill>
                    <w14:schemeClr w14:val="tx1"/>
                  </w14:solidFill>
                </w14:textFill>
              </w:rPr>
              <w:t>连续</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天的检测数据</w:t>
            </w:r>
            <w:r>
              <w:rPr>
                <w:rFonts w:hint="default" w:ascii="Times New Roman" w:hAnsi="Times New Roman" w:eastAsia="宋体" w:cs="Times New Roman"/>
                <w:color w:val="000000" w:themeColor="text1"/>
                <w:sz w:val="24"/>
                <w14:textFill>
                  <w14:solidFill>
                    <w14:schemeClr w14:val="tx1"/>
                  </w14:solidFill>
                </w14:textFill>
              </w:rPr>
              <w:t>。</w:t>
            </w:r>
          </w:p>
          <w:p w14:paraId="342ADCD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引用数据有效性：①引用</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非甲烷总烃连续</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天历史监测数据，引用时间不超过3年，引用时间有效；②项目所在区域内污染源未发生重大变化，可引用3年内大气的检测数据；③引用点位在项目相关评价范围内，则大气引用点位有效。</w:t>
            </w:r>
          </w:p>
          <w:p w14:paraId="157FEE6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本项目环境空气质量现状具体引用位置见表3-2，大气环境现状引用结果见表3-3。</w:t>
            </w:r>
          </w:p>
          <w:p w14:paraId="51A712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表3-2  大气环境质量引用点位一览表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30" w:type="dxa"/>
                <w:bottom w:w="0" w:type="dxa"/>
                <w:right w:w="30" w:type="dxa"/>
              </w:tblCellMar>
            </w:tblPr>
            <w:tblGrid>
              <w:gridCol w:w="996"/>
              <w:gridCol w:w="2031"/>
              <w:gridCol w:w="1924"/>
              <w:gridCol w:w="1401"/>
              <w:gridCol w:w="2272"/>
            </w:tblGrid>
            <w:tr w14:paraId="3FD5DFC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447" w:hRule="atLeast"/>
                <w:jc w:val="center"/>
              </w:trPr>
              <w:tc>
                <w:tcPr>
                  <w:tcW w:w="577" w:type="pct"/>
                  <w:vAlign w:val="center"/>
                </w:tcPr>
                <w:p w14:paraId="4E96E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测点编号</w:t>
                  </w:r>
                </w:p>
              </w:tc>
              <w:tc>
                <w:tcPr>
                  <w:tcW w:w="1177" w:type="pct"/>
                  <w:vAlign w:val="center"/>
                </w:tcPr>
                <w:p w14:paraId="33625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测点名称</w:t>
                  </w:r>
                </w:p>
              </w:tc>
              <w:tc>
                <w:tcPr>
                  <w:tcW w:w="1115" w:type="pct"/>
                  <w:vAlign w:val="center"/>
                </w:tcPr>
                <w:p w14:paraId="43CB1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测点位置</w:t>
                  </w:r>
                </w:p>
              </w:tc>
              <w:tc>
                <w:tcPr>
                  <w:tcW w:w="812" w:type="pct"/>
                  <w:vAlign w:val="center"/>
                </w:tcPr>
                <w:p w14:paraId="0566D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引用项目</w:t>
                  </w:r>
                </w:p>
              </w:tc>
              <w:tc>
                <w:tcPr>
                  <w:tcW w:w="1317" w:type="pct"/>
                  <w:vAlign w:val="center"/>
                </w:tcPr>
                <w:p w14:paraId="29A18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引用频次</w:t>
                  </w:r>
                </w:p>
              </w:tc>
            </w:tr>
            <w:tr w14:paraId="75559CD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97" w:hRule="atLeast"/>
                <w:jc w:val="center"/>
              </w:trPr>
              <w:tc>
                <w:tcPr>
                  <w:tcW w:w="577" w:type="pct"/>
                  <w:vAlign w:val="center"/>
                </w:tcPr>
                <w:p w14:paraId="01726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〇2</w:t>
                  </w:r>
                </w:p>
              </w:tc>
              <w:tc>
                <w:tcPr>
                  <w:tcW w:w="1177" w:type="pct"/>
                  <w:vAlign w:val="center"/>
                </w:tcPr>
                <w:p w14:paraId="51B88E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常州市金坛区金东环保工程有限公司东侧</w:t>
                  </w:r>
                </w:p>
              </w:tc>
              <w:tc>
                <w:tcPr>
                  <w:tcW w:w="1115" w:type="pct"/>
                  <w:vAlign w:val="center"/>
                </w:tcPr>
                <w:p w14:paraId="4978A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5km范围内</w:t>
                  </w:r>
                </w:p>
              </w:tc>
              <w:tc>
                <w:tcPr>
                  <w:tcW w:w="812" w:type="pct"/>
                  <w:vAlign w:val="center"/>
                </w:tcPr>
                <w:p w14:paraId="679B3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1317" w:type="pct"/>
                  <w:vAlign w:val="center"/>
                </w:tcPr>
                <w:p w14:paraId="55C5A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连续引用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天</w:t>
                  </w:r>
                </w:p>
              </w:tc>
            </w:tr>
          </w:tbl>
          <w:p w14:paraId="60442867">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表3-3  大气环境现状引用结果（mg/m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89"/>
              <w:gridCol w:w="1287"/>
              <w:gridCol w:w="1105"/>
              <w:gridCol w:w="1281"/>
              <w:gridCol w:w="1281"/>
              <w:gridCol w:w="1232"/>
              <w:gridCol w:w="777"/>
              <w:gridCol w:w="872"/>
            </w:tblGrid>
            <w:tr w14:paraId="0CFDCA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162F4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点位编号</w:t>
                  </w:r>
                </w:p>
              </w:tc>
              <w:tc>
                <w:tcPr>
                  <w:tcW w:w="746" w:type="pct"/>
                  <w:vAlign w:val="center"/>
                </w:tcPr>
                <w:p w14:paraId="024DAE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640" w:type="pct"/>
                  <w:vAlign w:val="center"/>
                </w:tcPr>
                <w:p w14:paraId="7A6E4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评价指标</w:t>
                  </w:r>
                </w:p>
              </w:tc>
              <w:tc>
                <w:tcPr>
                  <w:tcW w:w="742" w:type="pct"/>
                  <w:vAlign w:val="center"/>
                </w:tcPr>
                <w:p w14:paraId="5B60E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评价标准（</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742" w:type="pct"/>
                  <w:vAlign w:val="center"/>
                </w:tcPr>
                <w:p w14:paraId="4DF3E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现状浓度（</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714" w:type="pct"/>
                  <w:vAlign w:val="center"/>
                </w:tcPr>
                <w:p w14:paraId="11138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最大浓度占标率/%</w:t>
                  </w:r>
                </w:p>
              </w:tc>
              <w:tc>
                <w:tcPr>
                  <w:tcW w:w="450" w:type="pct"/>
                  <w:vAlign w:val="center"/>
                </w:tcPr>
                <w:p w14:paraId="16E1A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超标率/%</w:t>
                  </w:r>
                </w:p>
              </w:tc>
              <w:tc>
                <w:tcPr>
                  <w:tcW w:w="505" w:type="pct"/>
                  <w:vAlign w:val="center"/>
                </w:tcPr>
                <w:p w14:paraId="41A8B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14:paraId="11F3C6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22D9D8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〇2</w:t>
                  </w:r>
                </w:p>
              </w:tc>
              <w:tc>
                <w:tcPr>
                  <w:tcW w:w="746" w:type="pct"/>
                  <w:vAlign w:val="center"/>
                </w:tcPr>
                <w:p w14:paraId="59FEA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640" w:type="pct"/>
                  <w:vAlign w:val="center"/>
                </w:tcPr>
                <w:p w14:paraId="5D2B8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742" w:type="pct"/>
                  <w:vAlign w:val="center"/>
                </w:tcPr>
                <w:p w14:paraId="7FA0A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42" w:type="pct"/>
                  <w:vAlign w:val="center"/>
                </w:tcPr>
                <w:p w14:paraId="226D4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0.11-0.63</w:t>
                  </w:r>
                </w:p>
              </w:tc>
              <w:tc>
                <w:tcPr>
                  <w:tcW w:w="714" w:type="pct"/>
                  <w:vAlign w:val="center"/>
                </w:tcPr>
                <w:p w14:paraId="27CBE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w:t>
                  </w:r>
                </w:p>
              </w:tc>
              <w:tc>
                <w:tcPr>
                  <w:tcW w:w="450" w:type="pct"/>
                  <w:vAlign w:val="center"/>
                </w:tcPr>
                <w:p w14:paraId="14C9E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5" w:type="pct"/>
                  <w:vAlign w:val="center"/>
                </w:tcPr>
                <w:p w14:paraId="62E77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383B53F3">
            <w:pPr>
              <w:spacing w:line="360" w:lineRule="auto"/>
              <w:ind w:firstLine="480" w:firstLineChars="200"/>
              <w:rPr>
                <w:rFonts w:hint="default" w:ascii="Times New Roman" w:hAnsi="Times New Roman" w:cs="Times New Roman"/>
                <w:snapToGrid w:val="0"/>
                <w:color w:val="000000" w:themeColor="text1"/>
                <w:szCs w:val="20"/>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由上表可知，项目所在地附近周围环境空气中非甲烷总烃满足《大气污染物综合排放标准详解》</w:t>
            </w:r>
            <w:r>
              <w:rPr>
                <w:rFonts w:hint="eastAsia" w:ascii="Times New Roman" w:hAnsi="Times New Roman" w:eastAsia="宋体" w:cs="Times New Roman"/>
                <w:color w:val="000000" w:themeColor="text1"/>
                <w:sz w:val="24"/>
                <w:lang w:val="en-US" w:eastAsia="zh-CN"/>
                <w14:textFill>
                  <w14:solidFill>
                    <w14:schemeClr w14:val="tx1"/>
                  </w14:solidFill>
                </w14:textFill>
              </w:rPr>
              <w:t>限值要求</w:t>
            </w:r>
            <w:r>
              <w:rPr>
                <w:rFonts w:hint="default" w:ascii="Times New Roman" w:hAnsi="Times New Roman" w:eastAsia="宋体" w:cs="Times New Roman"/>
                <w:color w:val="000000" w:themeColor="text1"/>
                <w:sz w:val="24"/>
                <w14:textFill>
                  <w14:solidFill>
                    <w14:schemeClr w14:val="tx1"/>
                  </w14:solidFill>
                </w14:textFill>
              </w:rPr>
              <w:t>。</w:t>
            </w:r>
          </w:p>
          <w:p w14:paraId="4C868537">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2、地表水环境</w:t>
            </w:r>
          </w:p>
          <w:p w14:paraId="7D73EC0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（1）区域水环境状况</w:t>
            </w:r>
          </w:p>
          <w:p w14:paraId="74B8ED9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zh-TW"/>
                <w14:textFill>
                  <w14:solidFill>
                    <w14:schemeClr w14:val="tx1"/>
                  </w14:solidFill>
                </w14:textFill>
              </w:rPr>
            </w:pPr>
            <w:r>
              <w:rPr>
                <w:rFonts w:hint="default" w:ascii="Times New Roman" w:hAnsi="Times New Roman" w:eastAsia="宋体" w:cs="Times New Roman"/>
                <w:color w:val="000000" w:themeColor="text1"/>
                <w:sz w:val="24"/>
                <w:szCs w:val="24"/>
                <w:lang w:val="zh-TW"/>
                <w14:textFill>
                  <w14:solidFill>
                    <w14:schemeClr w14:val="tx1"/>
                  </w14:solidFill>
                </w14:textFill>
              </w:rPr>
              <w:t>根据《202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zh-TW"/>
                <w14:textFill>
                  <w14:solidFill>
                    <w14:schemeClr w14:val="tx1"/>
                  </w14:solidFill>
                </w14:textFill>
              </w:rPr>
              <w:t>年常州市生态环境状况公报》，国考、省考断面水质达到或好于Ⅲ类比例完成省定考核要求，太湖水质自2007年蓝藻事件以来首次达、重回</w:t>
            </w:r>
            <w:r>
              <w:rPr>
                <w:rFonts w:hint="eastAsia" w:ascii="Times New Roman" w:hAnsi="Times New Roman" w:eastAsia="宋体" w:cs="Times New Roman"/>
                <w:color w:val="000000" w:themeColor="text1"/>
                <w:sz w:val="24"/>
                <w:szCs w:val="24"/>
                <w:lang w:val="zh-TW"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TW"/>
                <w14:textFill>
                  <w14:solidFill>
                    <w14:schemeClr w14:val="tx1"/>
                  </w14:solidFill>
                </w14:textFill>
              </w:rPr>
              <w:t>良好</w:t>
            </w:r>
            <w:r>
              <w:rPr>
                <w:rFonts w:hint="eastAsia" w:ascii="Times New Roman" w:hAnsi="Times New Roman" w:eastAsia="宋体" w:cs="Times New Roman"/>
                <w:color w:val="000000" w:themeColor="text1"/>
                <w:sz w:val="24"/>
                <w:szCs w:val="24"/>
                <w:lang w:val="zh-TW"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TW"/>
                <w14:textFill>
                  <w14:solidFill>
                    <w14:schemeClr w14:val="tx1"/>
                  </w14:solidFill>
                </w14:textFill>
              </w:rPr>
              <w:t>湖泊，连续17年实现安全度夏。长江干流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TW"/>
                <w14:textFill>
                  <w14:solidFill>
                    <w14:schemeClr w14:val="tx1"/>
                  </w14:solidFill>
                </w14:textFill>
              </w:rPr>
              <w:t>常州段</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TW"/>
                <w14:textFill>
                  <w14:solidFill>
                    <w14:schemeClr w14:val="tx1"/>
                  </w14:solidFill>
                </w14:textFill>
              </w:rPr>
              <w:t>水质连续8年稳定Ⅱ类水平</w:t>
            </w:r>
            <w:r>
              <w:rPr>
                <w:rFonts w:hint="eastAsia" w:ascii="Times New Roman" w:hAnsi="Times New Roman" w:eastAsia="宋体" w:cs="Times New Roman"/>
                <w:color w:val="000000" w:themeColor="text1"/>
                <w:sz w:val="24"/>
                <w:szCs w:val="24"/>
                <w:lang w:val="zh-TW"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TW"/>
                <w14:textFill>
                  <w14:solidFill>
                    <w14:schemeClr w14:val="tx1"/>
                  </w14:solidFill>
                </w14:textFill>
              </w:rPr>
              <w:t>主要入湖河道、集中式饮用水源地水质稳定达到省定考核目标。</w:t>
            </w:r>
          </w:p>
          <w:p w14:paraId="694F7A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饮用水水源地：常州市城市饮用水以集中供水为主，2024年全市5个县级及以上城市集中式饮用水水源地（含备用），取水总量为5.23亿吨，全年每月监测均达标。</w:t>
            </w:r>
          </w:p>
          <w:p w14:paraId="53E95F2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国省考断面：2024年，常州市纳入“十四五”国家地表水环境质量考核的20个断面，年均水质达到或好于《地表水环境质量标准》（GB3838-2002）</w:t>
            </w:r>
            <w:r>
              <w:rPr>
                <w:rFonts w:hint="default" w:ascii="Times New Roman" w:hAnsi="Times New Roman" w:eastAsia="宋体" w:cs="Times New Roman"/>
                <w:color w:val="000000" w:themeColor="text1"/>
                <w:sz w:val="24"/>
                <w:szCs w:val="24"/>
                <w:lang w:val="zh-TW"/>
                <w14:textFill>
                  <w14:solidFill>
                    <w14:schemeClr w14:val="tx1"/>
                  </w14:solidFill>
                </w14:textFill>
              </w:rPr>
              <w:t>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类标准的断面比例为85%，无劣V类断面。纳入江苏省“十四五”水环境质量目标考核的51个断面，年均水质达到或好于</w:t>
            </w:r>
            <w:r>
              <w:rPr>
                <w:rFonts w:hint="default" w:ascii="Times New Roman" w:hAnsi="Times New Roman" w:eastAsia="宋体" w:cs="Times New Roman"/>
                <w:color w:val="000000" w:themeColor="text1"/>
                <w:sz w:val="24"/>
                <w:szCs w:val="24"/>
                <w:lang w:val="zh-TW"/>
                <w14:textFill>
                  <w14:solidFill>
                    <w14:schemeClr w14:val="tx1"/>
                  </w14:solidFill>
                </w14:textFill>
              </w:rPr>
              <w:t>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类的比例为94.1%，无劣V类断面。</w:t>
            </w:r>
          </w:p>
          <w:p w14:paraId="49168FD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太湖及入太河流：2024年，太湖水质自2007年蓝藻事件以来首次达川、重回“良好”湖泊，其中我市椒山点位首次达到</w:t>
            </w:r>
            <w:r>
              <w:rPr>
                <w:rFonts w:hint="default" w:ascii="Times New Roman" w:hAnsi="Times New Roman" w:eastAsia="宋体" w:cs="Times New Roman"/>
                <w:color w:val="000000" w:themeColor="text1"/>
                <w:sz w:val="24"/>
                <w:szCs w:val="24"/>
                <w:lang w:val="zh-TW"/>
                <w14:textFill>
                  <w14:solidFill>
                    <w14:schemeClr w14:val="tx1"/>
                  </w14:solidFill>
                </w14:textFill>
              </w:rPr>
              <w:t>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类，太湖常州水域总磷同比改善24%，对全湖总磷改善幅度贡献率达182%，位列环湖城市第一，太湖入湖河道通量最大的百渎港总磷同比下降17.6%。</w:t>
            </w:r>
          </w:p>
          <w:p w14:paraId="64EACCA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长江干流(常州段)及主要通江支流</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2024年，长江干流魏村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右岸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断面水质连续八年达到川类</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新孟河、德胜河、澡港河等3条主要通江支流上5个国省考断面年均水质均达到或优于类。</w:t>
            </w:r>
          </w:p>
          <w:p w14:paraId="0193C99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（2）地表水环境质量现状引用</w:t>
            </w:r>
          </w:p>
          <w:p w14:paraId="6AEE1CD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为了解</w:t>
            </w:r>
            <w:r>
              <w:rPr>
                <w:rFonts w:hint="default" w:ascii="Times New Roman" w:hAnsi="Times New Roman" w:eastAsia="宋体" w:cs="Times New Roman"/>
                <w:color w:val="000000" w:themeColor="text1"/>
                <w:sz w:val="24"/>
                <w:lang w:eastAsia="zh-CN"/>
                <w14:textFill>
                  <w14:solidFill>
                    <w14:schemeClr w14:val="tx1"/>
                  </w14:solidFill>
                </w14:textFill>
              </w:rPr>
              <w:t>金坛第二污水处理厂</w:t>
            </w:r>
            <w:r>
              <w:rPr>
                <w:rFonts w:hint="default" w:ascii="Times New Roman" w:hAnsi="Times New Roman" w:eastAsia="宋体" w:cs="Times New Roman"/>
                <w:color w:val="000000" w:themeColor="text1"/>
                <w:sz w:val="24"/>
                <w14:textFill>
                  <w14:solidFill>
                    <w14:schemeClr w14:val="tx1"/>
                  </w14:solidFill>
                </w14:textFill>
              </w:rPr>
              <w:t>排口上</w:t>
            </w:r>
            <w:r>
              <w:rPr>
                <w:rFonts w:hint="default" w:ascii="Times New Roman" w:hAnsi="Times New Roman" w:eastAsia="宋体" w:cs="Times New Roman"/>
                <w:color w:val="000000" w:themeColor="text1"/>
                <w:sz w:val="24"/>
                <w:lang w:val="en-US" w:eastAsia="zh-CN"/>
                <w14:textFill>
                  <w14:solidFill>
                    <w14:schemeClr w14:val="tx1"/>
                  </w14:solidFill>
                </w14:textFill>
              </w:rPr>
              <w:t>下游</w:t>
            </w:r>
            <w:r>
              <w:rPr>
                <w:rFonts w:hint="default" w:ascii="Times New Roman" w:hAnsi="Times New Roman" w:eastAsia="宋体" w:cs="Times New Roman"/>
                <w:color w:val="000000" w:themeColor="text1"/>
                <w:sz w:val="24"/>
                <w14:textFill>
                  <w14:solidFill>
                    <w14:schemeClr w14:val="tx1"/>
                  </w14:solidFill>
                </w14:textFill>
              </w:rPr>
              <w:t>水质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尧塘河</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现状，本次评价引用TST202501015在金坛第二污水处理厂排口上游500米处和金坛第二污水处理厂排口下游 2000米处点位地表水对 pH 值、化学需氧量、氨氮、总磷的检测数据。</w:t>
            </w:r>
          </w:p>
          <w:p w14:paraId="21C747C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引用数据有效性分析：①本项目地表水质量现状引用202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14:textFill>
                  <w14:solidFill>
                    <w14:schemeClr w14:val="tx1"/>
                  </w14:solidFill>
                </w14:textFill>
              </w:rPr>
              <w:t>日</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07</w:t>
            </w:r>
            <w:r>
              <w:rPr>
                <w:rFonts w:hint="default" w:ascii="Times New Roman" w:hAnsi="Times New Roman" w:eastAsia="宋体" w:cs="Times New Roman"/>
                <w:color w:val="000000" w:themeColor="text1"/>
                <w:sz w:val="24"/>
                <w:lang w:val="en-US" w:eastAsia="zh-CN"/>
                <w14:textFill>
                  <w14:solidFill>
                    <w14:schemeClr w14:val="tx1"/>
                  </w14:solidFill>
                </w14:textFill>
              </w:rPr>
              <w:t>日、</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lang w:val="en-US" w:eastAsia="zh-CN"/>
                <w14:textFill>
                  <w14:solidFill>
                    <w14:schemeClr w14:val="tx1"/>
                  </w14:solidFill>
                </w14:textFill>
              </w:rPr>
              <w:t>日</w:t>
            </w:r>
            <w:r>
              <w:rPr>
                <w:rFonts w:hint="default" w:ascii="Times New Roman" w:hAnsi="Times New Roman" w:eastAsia="宋体" w:cs="Times New Roman"/>
                <w:color w:val="000000" w:themeColor="text1"/>
                <w:sz w:val="24"/>
                <w14:textFill>
                  <w14:solidFill>
                    <w14:schemeClr w14:val="tx1"/>
                  </w14:solidFill>
                </w14:textFill>
              </w:rPr>
              <w:t>监测数据，引用时间不超过3年，且项目所在区域内污染源未发生重大变化，地表水引用时间有效；②引用点位在项目相关评价范围内，则地表水引用点位有效。</w:t>
            </w:r>
          </w:p>
          <w:p w14:paraId="2AA9FB4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监测数据统计结果见下表：</w:t>
            </w:r>
          </w:p>
          <w:p w14:paraId="1497F0E5">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eastAsia" w:ascii="Times New Roman" w:hAnsi="Times New Roman" w:eastAsia="宋体"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 xml:space="preserve">  地表水断面现状监测数据  单位：mg/L</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506"/>
              <w:gridCol w:w="1910"/>
              <w:gridCol w:w="1095"/>
              <w:gridCol w:w="1099"/>
              <w:gridCol w:w="1099"/>
              <w:gridCol w:w="1097"/>
            </w:tblGrid>
            <w:tr w14:paraId="12494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restart"/>
                  <w:vAlign w:val="center"/>
                </w:tcPr>
                <w:p w14:paraId="1085DBB1">
                  <w:pPr>
                    <w:contextualSpacing/>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水域名称</w:t>
                  </w:r>
                </w:p>
              </w:tc>
              <w:tc>
                <w:tcPr>
                  <w:tcW w:w="874" w:type="pct"/>
                  <w:vMerge w:val="restart"/>
                  <w:vAlign w:val="center"/>
                </w:tcPr>
                <w:p w14:paraId="6F2CCE1C">
                  <w:pPr>
                    <w:contextualSpacing/>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采样断面</w:t>
                  </w:r>
                </w:p>
              </w:tc>
              <w:tc>
                <w:tcPr>
                  <w:tcW w:w="1108" w:type="pct"/>
                  <w:vMerge w:val="restart"/>
                  <w:vAlign w:val="center"/>
                </w:tcPr>
                <w:p w14:paraId="5AC9C023">
                  <w:pPr>
                    <w:contextualSpacing/>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项目</w:t>
                  </w:r>
                </w:p>
              </w:tc>
              <w:tc>
                <w:tcPr>
                  <w:tcW w:w="2546" w:type="pct"/>
                  <w:gridSpan w:val="4"/>
                  <w:vAlign w:val="center"/>
                </w:tcPr>
                <w:p w14:paraId="5C9056B4">
                  <w:pPr>
                    <w:contextualSpacing/>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检测结果</w:t>
                  </w:r>
                </w:p>
              </w:tc>
            </w:tr>
            <w:tr w14:paraId="56690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20B244E0">
                  <w:pPr>
                    <w:contextualSpacing/>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874" w:type="pct"/>
                  <w:vMerge w:val="continue"/>
                  <w:vAlign w:val="center"/>
                </w:tcPr>
                <w:p w14:paraId="626F61D3">
                  <w:pPr>
                    <w:contextualSpacing/>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08" w:type="pct"/>
                  <w:vMerge w:val="continue"/>
                  <w:vAlign w:val="center"/>
                </w:tcPr>
                <w:p w14:paraId="0CD47A97">
                  <w:pPr>
                    <w:contextualSpacing/>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35" w:type="pct"/>
                  <w:vAlign w:val="center"/>
                </w:tcPr>
                <w:p w14:paraId="2D47EB0C">
                  <w:pPr>
                    <w:contextualSpacing/>
                    <w:jc w:val="center"/>
                    <w:rPr>
                      <w:rFonts w:hint="eastAsia" w:ascii="Times New Roman" w:hAnsi="Times New Roman" w:cs="Times New Roman" w:eastAsiaTheme="minorEastAsia"/>
                      <w:b/>
                      <w:bCs/>
                      <w:color w:val="000000" w:themeColor="text1"/>
                      <w:sz w:val="21"/>
                      <w:szCs w:val="21"/>
                      <w:highlight w:val="none"/>
                      <w:vertAlign w:val="subscript"/>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pH</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无量纲</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637" w:type="pct"/>
                  <w:vAlign w:val="center"/>
                </w:tcPr>
                <w:p w14:paraId="29AC4BCB">
                  <w:pPr>
                    <w:contextualSpacing/>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COD</w:t>
                  </w:r>
                </w:p>
              </w:tc>
              <w:tc>
                <w:tcPr>
                  <w:tcW w:w="637" w:type="pct"/>
                  <w:vAlign w:val="center"/>
                </w:tcPr>
                <w:p w14:paraId="549F5147">
                  <w:pPr>
                    <w:contextualSpacing/>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氨氮</w:t>
                  </w:r>
                </w:p>
              </w:tc>
              <w:tc>
                <w:tcPr>
                  <w:tcW w:w="637" w:type="pct"/>
                  <w:vAlign w:val="center"/>
                </w:tcPr>
                <w:p w14:paraId="64A91270">
                  <w:pPr>
                    <w:contextualSpacing/>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总磷</w:t>
                  </w:r>
                </w:p>
              </w:tc>
            </w:tr>
            <w:tr w14:paraId="5B3FA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restart"/>
                  <w:vAlign w:val="center"/>
                </w:tcPr>
                <w:p w14:paraId="44220F7D">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尧塘河</w:t>
                  </w:r>
                </w:p>
              </w:tc>
              <w:tc>
                <w:tcPr>
                  <w:tcW w:w="874" w:type="pct"/>
                  <w:vMerge w:val="restart"/>
                  <w:vAlign w:val="center"/>
                </w:tcPr>
                <w:p w14:paraId="737FDE62">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常州金坛区第二污水处理厂尾水排口上游500米</w:t>
                  </w:r>
                </w:p>
              </w:tc>
              <w:tc>
                <w:tcPr>
                  <w:tcW w:w="1108" w:type="pct"/>
                  <w:vAlign w:val="center"/>
                </w:tcPr>
                <w:p w14:paraId="3FCE6098">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最大值</w:t>
                  </w:r>
                </w:p>
              </w:tc>
              <w:tc>
                <w:tcPr>
                  <w:tcW w:w="635" w:type="pct"/>
                  <w:vAlign w:val="center"/>
                </w:tcPr>
                <w:p w14:paraId="2ED95C9B">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637" w:type="pct"/>
                  <w:vAlign w:val="center"/>
                </w:tcPr>
                <w:p w14:paraId="56F2F749">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w:t>
                  </w:r>
                </w:p>
              </w:tc>
              <w:tc>
                <w:tcPr>
                  <w:tcW w:w="637" w:type="pct"/>
                  <w:vAlign w:val="center"/>
                </w:tcPr>
                <w:p w14:paraId="68F7829B">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0.350</w:t>
                  </w:r>
                </w:p>
              </w:tc>
              <w:tc>
                <w:tcPr>
                  <w:tcW w:w="637" w:type="pct"/>
                  <w:vAlign w:val="center"/>
                </w:tcPr>
                <w:p w14:paraId="52B6D5D8">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0.09</w:t>
                  </w:r>
                </w:p>
              </w:tc>
            </w:tr>
            <w:tr w14:paraId="336E6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6DA4A534">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69418F99">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2C33A553">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最小值</w:t>
                  </w:r>
                </w:p>
              </w:tc>
              <w:tc>
                <w:tcPr>
                  <w:tcW w:w="635" w:type="pct"/>
                  <w:vAlign w:val="center"/>
                </w:tcPr>
                <w:p w14:paraId="17E91D6C">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637" w:type="pct"/>
                  <w:vAlign w:val="center"/>
                </w:tcPr>
                <w:p w14:paraId="23B64A82">
                  <w:pPr>
                    <w:contextualSpacing/>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637" w:type="pct"/>
                  <w:vAlign w:val="center"/>
                </w:tcPr>
                <w:p w14:paraId="73E08C3A">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0.149</w:t>
                  </w:r>
                </w:p>
              </w:tc>
              <w:tc>
                <w:tcPr>
                  <w:tcW w:w="637" w:type="pct"/>
                  <w:vAlign w:val="center"/>
                </w:tcPr>
                <w:p w14:paraId="11A9AB93">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0.08</w:t>
                  </w:r>
                </w:p>
              </w:tc>
            </w:tr>
            <w:tr w14:paraId="267DB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4CA9C7CE">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51CA9A24">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77FC6BEA">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平均值</w:t>
                  </w:r>
                </w:p>
              </w:tc>
              <w:tc>
                <w:tcPr>
                  <w:tcW w:w="635" w:type="pct"/>
                  <w:vAlign w:val="center"/>
                </w:tcPr>
                <w:p w14:paraId="65705CA1">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637" w:type="pct"/>
                  <w:vAlign w:val="center"/>
                </w:tcPr>
                <w:p w14:paraId="63CE4B04">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17.7</w:t>
                  </w:r>
                </w:p>
              </w:tc>
              <w:tc>
                <w:tcPr>
                  <w:tcW w:w="637" w:type="pct"/>
                  <w:vAlign w:val="center"/>
                </w:tcPr>
                <w:p w14:paraId="771D0F8F">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0.246</w:t>
                  </w:r>
                </w:p>
              </w:tc>
              <w:tc>
                <w:tcPr>
                  <w:tcW w:w="637" w:type="pct"/>
                  <w:vAlign w:val="center"/>
                </w:tcPr>
                <w:p w14:paraId="113EFF00">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0.085</w:t>
                  </w:r>
                </w:p>
              </w:tc>
            </w:tr>
            <w:tr w14:paraId="7597F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6275A2AA">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7BD9CCE2">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69B87F4D">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超标率（%）</w:t>
                  </w:r>
                </w:p>
              </w:tc>
              <w:tc>
                <w:tcPr>
                  <w:tcW w:w="635" w:type="pct"/>
                  <w:vAlign w:val="center"/>
                </w:tcPr>
                <w:p w14:paraId="37A26EDD">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48F0B4E0">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37" w:type="pct"/>
                  <w:vAlign w:val="center"/>
                </w:tcPr>
                <w:p w14:paraId="5EDE7DAE">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37" w:type="pct"/>
                  <w:vAlign w:val="center"/>
                </w:tcPr>
                <w:p w14:paraId="26486258">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r>
            <w:tr w14:paraId="76E29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61778449">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200A7DE4">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1AA807F2">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最大超标倍数（%）</w:t>
                  </w:r>
                </w:p>
              </w:tc>
              <w:tc>
                <w:tcPr>
                  <w:tcW w:w="635" w:type="pct"/>
                  <w:vAlign w:val="center"/>
                </w:tcPr>
                <w:p w14:paraId="05F3D345">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6EC8B686">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56B2D41E">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28378DF9">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r>
            <w:tr w14:paraId="40658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4F3EEA8D">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restart"/>
                  <w:vAlign w:val="center"/>
                </w:tcPr>
                <w:p w14:paraId="6F81F99F">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常州金坛区第二污水处理厂尾水排口下游2000米</w:t>
                  </w:r>
                </w:p>
              </w:tc>
              <w:tc>
                <w:tcPr>
                  <w:tcW w:w="1108" w:type="pct"/>
                  <w:vAlign w:val="center"/>
                </w:tcPr>
                <w:p w14:paraId="5A4AA0D5">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最大值</w:t>
                  </w:r>
                </w:p>
              </w:tc>
              <w:tc>
                <w:tcPr>
                  <w:tcW w:w="635" w:type="pct"/>
                  <w:vAlign w:val="center"/>
                </w:tcPr>
                <w:p w14:paraId="3A6FBA16">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637" w:type="pct"/>
                  <w:vAlign w:val="center"/>
                </w:tcPr>
                <w:p w14:paraId="43CBE01F">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w:t>
                  </w:r>
                </w:p>
              </w:tc>
              <w:tc>
                <w:tcPr>
                  <w:tcW w:w="637" w:type="pct"/>
                  <w:vAlign w:val="center"/>
                </w:tcPr>
                <w:p w14:paraId="00AFCB51">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0.331</w:t>
                  </w:r>
                </w:p>
              </w:tc>
              <w:tc>
                <w:tcPr>
                  <w:tcW w:w="637" w:type="pct"/>
                  <w:vAlign w:val="center"/>
                </w:tcPr>
                <w:p w14:paraId="5F1F99E2">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0.09</w:t>
                  </w:r>
                </w:p>
              </w:tc>
            </w:tr>
            <w:tr w14:paraId="6CD32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73" w:type="pct"/>
                  <w:vMerge w:val="continue"/>
                  <w:vAlign w:val="center"/>
                </w:tcPr>
                <w:p w14:paraId="333099F3">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0F884D27">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7F7E6FD3">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最小值</w:t>
                  </w:r>
                </w:p>
              </w:tc>
              <w:tc>
                <w:tcPr>
                  <w:tcW w:w="635" w:type="pct"/>
                  <w:vAlign w:val="center"/>
                </w:tcPr>
                <w:p w14:paraId="1782E13A">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7.7</w:t>
                  </w:r>
                </w:p>
              </w:tc>
              <w:tc>
                <w:tcPr>
                  <w:tcW w:w="637" w:type="pct"/>
                  <w:vAlign w:val="center"/>
                </w:tcPr>
                <w:p w14:paraId="51AA4D5E">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637" w:type="pct"/>
                  <w:vAlign w:val="center"/>
                </w:tcPr>
                <w:p w14:paraId="44481CDE">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0.251</w:t>
                  </w:r>
                </w:p>
              </w:tc>
              <w:tc>
                <w:tcPr>
                  <w:tcW w:w="637" w:type="pct"/>
                  <w:vAlign w:val="center"/>
                </w:tcPr>
                <w:p w14:paraId="5F40DFE5">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0.08</w:t>
                  </w:r>
                </w:p>
              </w:tc>
            </w:tr>
            <w:tr w14:paraId="52B27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6C6C3A14">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52114896">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6816A8A0">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平均值</w:t>
                  </w:r>
                </w:p>
              </w:tc>
              <w:tc>
                <w:tcPr>
                  <w:tcW w:w="635" w:type="pct"/>
                  <w:vAlign w:val="center"/>
                </w:tcPr>
                <w:p w14:paraId="4E9D8B2B">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7.8</w:t>
                  </w:r>
                </w:p>
              </w:tc>
              <w:tc>
                <w:tcPr>
                  <w:tcW w:w="637" w:type="pct"/>
                  <w:vAlign w:val="center"/>
                </w:tcPr>
                <w:p w14:paraId="7ECB148F">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15.5</w:t>
                  </w:r>
                </w:p>
              </w:tc>
              <w:tc>
                <w:tcPr>
                  <w:tcW w:w="637" w:type="pct"/>
                  <w:vAlign w:val="center"/>
                </w:tcPr>
                <w:p w14:paraId="253DAE59">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0.296</w:t>
                  </w:r>
                </w:p>
              </w:tc>
              <w:tc>
                <w:tcPr>
                  <w:tcW w:w="637" w:type="pct"/>
                  <w:vAlign w:val="center"/>
                </w:tcPr>
                <w:p w14:paraId="79579F21">
                  <w:pPr>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0.085</w:t>
                  </w:r>
                </w:p>
              </w:tc>
            </w:tr>
            <w:tr w14:paraId="0E568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2D0C1C84">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03072EF2">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4A10E872">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超标率（%）</w:t>
                  </w:r>
                </w:p>
              </w:tc>
              <w:tc>
                <w:tcPr>
                  <w:tcW w:w="635" w:type="pct"/>
                  <w:vAlign w:val="center"/>
                </w:tcPr>
                <w:p w14:paraId="30CCC899">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08861DAE">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37" w:type="pct"/>
                  <w:vAlign w:val="center"/>
                </w:tcPr>
                <w:p w14:paraId="62A5F19C">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37" w:type="pct"/>
                  <w:vAlign w:val="center"/>
                </w:tcPr>
                <w:p w14:paraId="1A28F3CA">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r>
            <w:tr w14:paraId="04321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0B816AF9">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Merge w:val="continue"/>
                  <w:vAlign w:val="center"/>
                </w:tcPr>
                <w:p w14:paraId="7A421EA7">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8" w:type="pct"/>
                  <w:vAlign w:val="center"/>
                </w:tcPr>
                <w:p w14:paraId="2118CC09">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最大超标倍数（%）</w:t>
                  </w:r>
                </w:p>
              </w:tc>
              <w:tc>
                <w:tcPr>
                  <w:tcW w:w="635" w:type="pct"/>
                  <w:vAlign w:val="center"/>
                </w:tcPr>
                <w:p w14:paraId="65171745">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332B92F3">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450AA403">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37" w:type="pct"/>
                  <w:vAlign w:val="center"/>
                </w:tcPr>
                <w:p w14:paraId="06589444">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r>
            <w:tr w14:paraId="00562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54" w:type="pct"/>
                  <w:gridSpan w:val="3"/>
                  <w:vAlign w:val="center"/>
                </w:tcPr>
                <w:p w14:paraId="7B27E663">
                  <w:pPr>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标准值</w:t>
                  </w:r>
                </w:p>
              </w:tc>
              <w:tc>
                <w:tcPr>
                  <w:tcW w:w="635" w:type="pct"/>
                  <w:vAlign w:val="center"/>
                </w:tcPr>
                <w:p w14:paraId="16A85E45">
                  <w:pPr>
                    <w:contextualSpacing/>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6～9</w:t>
                  </w:r>
                </w:p>
              </w:tc>
              <w:tc>
                <w:tcPr>
                  <w:tcW w:w="637" w:type="pct"/>
                  <w:vAlign w:val="center"/>
                </w:tcPr>
                <w:p w14:paraId="113E6C8E">
                  <w:pPr>
                    <w:contextualSpacing/>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637" w:type="pct"/>
                  <w:vAlign w:val="center"/>
                </w:tcPr>
                <w:p w14:paraId="3BB88D8B">
                  <w:pPr>
                    <w:contextualSpacing/>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637" w:type="pct"/>
                  <w:vAlign w:val="center"/>
                </w:tcPr>
                <w:p w14:paraId="52EA00B3">
                  <w:pPr>
                    <w:contextualSpacing/>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0.2</w:t>
                  </w:r>
                </w:p>
              </w:tc>
            </w:tr>
          </w:tbl>
          <w:p w14:paraId="21D3249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地表水水质现状监测及评价结果表明，尧塘河各引用断面中pH、COD、NH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-N、TP均能达到《地表水环境质量标准》（GB3838-2002）III类水质标准，说明当地水环境质量良好，具有一定的环境承载力。</w:t>
            </w:r>
          </w:p>
          <w:p w14:paraId="5110DDD7">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3、声环境</w:t>
            </w:r>
          </w:p>
          <w:p w14:paraId="26236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1）声环境质量标准</w:t>
            </w:r>
          </w:p>
          <w:p w14:paraId="0FDEBC1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根据《金坛区中心城区声环境功能区划（2017）》，本项目所在区域声环境评价标准采用《声环境质量标准》</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GB3096-2008）中2类标准。详见表3-</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1DAEE4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表3-</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14:textFill>
                  <w14:solidFill>
                    <w14:schemeClr w14:val="tx1"/>
                  </w14:solidFill>
                </w14:textFill>
              </w:rPr>
              <w:t xml:space="preserve">  声环境质量标准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420"/>
              <w:gridCol w:w="1634"/>
              <w:gridCol w:w="1064"/>
              <w:gridCol w:w="1774"/>
            </w:tblGrid>
            <w:tr w14:paraId="1F73D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4" w:type="pct"/>
                  <w:vMerge w:val="restart"/>
                  <w:tcBorders>
                    <w:tl2br w:val="nil"/>
                    <w:tr2bl w:val="nil"/>
                  </w:tcBorders>
                  <w:noWrap w:val="0"/>
                  <w:vAlign w:val="center"/>
                </w:tcPr>
                <w:p w14:paraId="5D864817">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区域名</w:t>
                  </w:r>
                </w:p>
              </w:tc>
              <w:tc>
                <w:tcPr>
                  <w:tcW w:w="1403" w:type="pct"/>
                  <w:vMerge w:val="restart"/>
                  <w:tcBorders>
                    <w:tl2br w:val="nil"/>
                    <w:tr2bl w:val="nil"/>
                  </w:tcBorders>
                  <w:noWrap w:val="0"/>
                  <w:vAlign w:val="center"/>
                </w:tcPr>
                <w:p w14:paraId="4B8141A5">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c>
                <w:tcPr>
                  <w:tcW w:w="947" w:type="pct"/>
                  <w:vMerge w:val="restart"/>
                  <w:tcBorders>
                    <w:tl2br w:val="nil"/>
                    <w:tr2bl w:val="nil"/>
                  </w:tcBorders>
                  <w:noWrap w:val="0"/>
                  <w:vAlign w:val="center"/>
                </w:tcPr>
                <w:p w14:paraId="4571CEA1">
                  <w:pPr>
                    <w:spacing w:line="320" w:lineRule="exact"/>
                    <w:jc w:val="center"/>
                    <w:rPr>
                      <w:rFonts w:hint="default" w:ascii="Times New Roman" w:hAnsi="Times New Roman" w:eastAsia="宋体" w:cs="Times New Roman"/>
                      <w:b/>
                      <w:color w:val="000000" w:themeColor="text1"/>
                      <w:spacing w:val="-10"/>
                      <w:sz w:val="21"/>
                      <w:szCs w:val="21"/>
                      <w14:textFill>
                        <w14:solidFill>
                          <w14:schemeClr w14:val="tx1"/>
                        </w14:solidFill>
                      </w14:textFill>
                    </w:rPr>
                  </w:pPr>
                  <w:r>
                    <w:rPr>
                      <w:rFonts w:hint="default" w:ascii="Times New Roman" w:hAnsi="Times New Roman" w:eastAsia="宋体" w:cs="Times New Roman"/>
                      <w:b/>
                      <w:color w:val="000000" w:themeColor="text1"/>
                      <w:spacing w:val="-10"/>
                      <w:sz w:val="21"/>
                      <w:szCs w:val="21"/>
                      <w14:textFill>
                        <w14:solidFill>
                          <w14:schemeClr w14:val="tx1"/>
                        </w14:solidFill>
                      </w14:textFill>
                    </w:rPr>
                    <w:t>表号及级别</w:t>
                  </w:r>
                </w:p>
              </w:tc>
              <w:tc>
                <w:tcPr>
                  <w:tcW w:w="617" w:type="pct"/>
                  <w:vMerge w:val="restart"/>
                  <w:tcBorders>
                    <w:tl2br w:val="nil"/>
                    <w:tr2bl w:val="nil"/>
                  </w:tcBorders>
                  <w:noWrap w:val="0"/>
                  <w:vAlign w:val="center"/>
                </w:tcPr>
                <w:p w14:paraId="57F22FD5">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028" w:type="pct"/>
                  <w:tcBorders>
                    <w:tl2br w:val="nil"/>
                    <w:tr2bl w:val="nil"/>
                  </w:tcBorders>
                  <w:noWrap w:val="0"/>
                  <w:vAlign w:val="center"/>
                </w:tcPr>
                <w:p w14:paraId="56963873">
                  <w:pPr>
                    <w:spacing w:line="320" w:lineRule="exact"/>
                    <w:jc w:val="center"/>
                    <w:rPr>
                      <w:rFonts w:hint="default" w:ascii="Times New Roman" w:hAnsi="Times New Roman" w:eastAsia="宋体" w:cs="Times New Roman"/>
                      <w:b/>
                      <w:color w:val="000000" w:themeColor="text1"/>
                      <w:spacing w:val="-10"/>
                      <w:sz w:val="21"/>
                      <w:szCs w:val="21"/>
                      <w14:textFill>
                        <w14:solidFill>
                          <w14:schemeClr w14:val="tx1"/>
                        </w14:solidFill>
                      </w14:textFill>
                    </w:rPr>
                  </w:pPr>
                  <w:r>
                    <w:rPr>
                      <w:rFonts w:hint="default" w:ascii="Times New Roman" w:hAnsi="Times New Roman" w:eastAsia="宋体" w:cs="Times New Roman"/>
                      <w:b/>
                      <w:color w:val="000000" w:themeColor="text1"/>
                      <w:spacing w:val="-10"/>
                      <w:sz w:val="21"/>
                      <w:szCs w:val="21"/>
                      <w14:textFill>
                        <w14:solidFill>
                          <w14:schemeClr w14:val="tx1"/>
                        </w14:solidFill>
                      </w14:textFill>
                    </w:rPr>
                    <w:t>标准限值</w:t>
                  </w:r>
                </w:p>
              </w:tc>
            </w:tr>
            <w:tr w14:paraId="6D5A0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4" w:type="pct"/>
                  <w:vMerge w:val="continue"/>
                  <w:tcBorders>
                    <w:tl2br w:val="nil"/>
                    <w:tr2bl w:val="nil"/>
                  </w:tcBorders>
                  <w:noWrap w:val="0"/>
                  <w:vAlign w:val="center"/>
                </w:tcPr>
                <w:p w14:paraId="3BE3623B">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403" w:type="pct"/>
                  <w:vMerge w:val="continue"/>
                  <w:tcBorders>
                    <w:tl2br w:val="nil"/>
                    <w:tr2bl w:val="nil"/>
                  </w:tcBorders>
                  <w:noWrap w:val="0"/>
                  <w:vAlign w:val="center"/>
                </w:tcPr>
                <w:p w14:paraId="0EBED1E4">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47" w:type="pct"/>
                  <w:vMerge w:val="continue"/>
                  <w:tcBorders>
                    <w:tl2br w:val="nil"/>
                    <w:tr2bl w:val="nil"/>
                  </w:tcBorders>
                  <w:noWrap w:val="0"/>
                  <w:vAlign w:val="center"/>
                </w:tcPr>
                <w:p w14:paraId="54E00208">
                  <w:pPr>
                    <w:spacing w:line="320" w:lineRule="exact"/>
                    <w:jc w:val="center"/>
                    <w:rPr>
                      <w:rFonts w:hint="default" w:ascii="Times New Roman" w:hAnsi="Times New Roman" w:eastAsia="宋体" w:cs="Times New Roman"/>
                      <w:b/>
                      <w:color w:val="000000" w:themeColor="text1"/>
                      <w:spacing w:val="-10"/>
                      <w:sz w:val="21"/>
                      <w:szCs w:val="21"/>
                      <w14:textFill>
                        <w14:solidFill>
                          <w14:schemeClr w14:val="tx1"/>
                        </w14:solidFill>
                      </w14:textFill>
                    </w:rPr>
                  </w:pPr>
                </w:p>
              </w:tc>
              <w:tc>
                <w:tcPr>
                  <w:tcW w:w="617" w:type="pct"/>
                  <w:vMerge w:val="continue"/>
                  <w:tcBorders>
                    <w:tl2br w:val="nil"/>
                    <w:tr2bl w:val="nil"/>
                  </w:tcBorders>
                  <w:noWrap w:val="0"/>
                  <w:vAlign w:val="center"/>
                </w:tcPr>
                <w:p w14:paraId="5056033A">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028" w:type="pct"/>
                  <w:tcBorders>
                    <w:tl2br w:val="nil"/>
                    <w:tr2bl w:val="nil"/>
                  </w:tcBorders>
                  <w:noWrap w:val="0"/>
                  <w:vAlign w:val="center"/>
                </w:tcPr>
                <w:p w14:paraId="615992EF">
                  <w:pPr>
                    <w:spacing w:line="32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昼间</w:t>
                  </w:r>
                </w:p>
              </w:tc>
            </w:tr>
            <w:tr w14:paraId="1F8ED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4" w:type="pct"/>
                  <w:tcBorders>
                    <w:tl2br w:val="nil"/>
                    <w:tr2bl w:val="nil"/>
                  </w:tcBorders>
                  <w:noWrap w:val="0"/>
                  <w:vAlign w:val="center"/>
                </w:tcPr>
                <w:p w14:paraId="2845296E">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所在地</w:t>
                  </w:r>
                </w:p>
              </w:tc>
              <w:tc>
                <w:tcPr>
                  <w:tcW w:w="1403" w:type="pct"/>
                  <w:tcBorders>
                    <w:tl2br w:val="nil"/>
                    <w:tr2bl w:val="nil"/>
                  </w:tcBorders>
                  <w:noWrap w:val="0"/>
                  <w:vAlign w:val="center"/>
                </w:tcPr>
                <w:p w14:paraId="44231839">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w:t>
                  </w:r>
                </w:p>
                <w:p w14:paraId="1A7CD852">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（GB3096-2008）</w:t>
                  </w:r>
                </w:p>
              </w:tc>
              <w:tc>
                <w:tcPr>
                  <w:tcW w:w="947" w:type="pct"/>
                  <w:tcBorders>
                    <w:tl2br w:val="nil"/>
                    <w:tr2bl w:val="nil"/>
                  </w:tcBorders>
                  <w:noWrap w:val="0"/>
                  <w:vAlign w:val="center"/>
                </w:tcPr>
                <w:p w14:paraId="2F45D04E">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2类标准</w:t>
                  </w:r>
                </w:p>
              </w:tc>
              <w:tc>
                <w:tcPr>
                  <w:tcW w:w="617" w:type="pct"/>
                  <w:tcBorders>
                    <w:tl2br w:val="nil"/>
                    <w:tr2bl w:val="nil"/>
                  </w:tcBorders>
                  <w:noWrap w:val="0"/>
                  <w:vAlign w:val="center"/>
                </w:tcPr>
                <w:p w14:paraId="772FDFC7">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1028" w:type="pct"/>
                  <w:tcBorders>
                    <w:tl2br w:val="nil"/>
                    <w:tr2bl w:val="nil"/>
                  </w:tcBorders>
                  <w:noWrap w:val="0"/>
                  <w:vAlign w:val="center"/>
                </w:tcPr>
                <w:p w14:paraId="00F98727">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bl>
          <w:p w14:paraId="191B9E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2）声环境现状评价</w:t>
            </w:r>
          </w:p>
          <w:p w14:paraId="0321F88C">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本项目周边50米范围内无敏感点，因此无需开展噪声现状调查。</w:t>
            </w:r>
          </w:p>
          <w:p w14:paraId="27FFA0DB">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4、土壤、地下水环境质量现状</w:t>
            </w:r>
          </w:p>
          <w:p w14:paraId="5A882C85">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6019C31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本项目运营期土壤环境影响识别主要针对本项目产生的废气和废水。本项目</w:t>
            </w:r>
            <w:r>
              <w:rPr>
                <w:rFonts w:hint="default" w:ascii="Times New Roman" w:hAnsi="Times New Roman" w:eastAsia="宋体" w:cs="Times New Roman"/>
                <w:color w:val="000000" w:themeColor="text1"/>
                <w:sz w:val="24"/>
                <w:lang w:val="en-US" w:eastAsia="zh-CN"/>
                <w14:textFill>
                  <w14:solidFill>
                    <w14:schemeClr w14:val="tx1"/>
                  </w14:solidFill>
                </w14:textFill>
              </w:rPr>
              <w:t>冷却水循环使用，不外排；</w:t>
            </w:r>
            <w:r>
              <w:rPr>
                <w:rFonts w:hint="default" w:ascii="Times New Roman" w:hAnsi="Times New Roman" w:eastAsia="宋体" w:cs="Times New Roman"/>
                <w:color w:val="000000" w:themeColor="text1"/>
                <w:sz w:val="24"/>
                <w14:textFill>
                  <w14:solidFill>
                    <w14:schemeClr w14:val="tx1"/>
                  </w14:solidFill>
                </w14:textFill>
              </w:rPr>
              <w:t>废水主要为生活污水，且水质简单，经管网接入</w:t>
            </w:r>
            <w:r>
              <w:rPr>
                <w:rFonts w:hint="default" w:ascii="Times New Roman" w:hAnsi="Times New Roman" w:eastAsia="宋体" w:cs="Times New Roman"/>
                <w:color w:val="000000" w:themeColor="text1"/>
                <w:sz w:val="24"/>
                <w:lang w:val="en-US" w:eastAsia="zh-CN"/>
                <w14:textFill>
                  <w14:solidFill>
                    <w14:schemeClr w14:val="tx1"/>
                  </w14:solidFill>
                </w14:textFill>
              </w:rPr>
              <w:t>指前</w:t>
            </w:r>
            <w:r>
              <w:rPr>
                <w:rFonts w:hint="default" w:ascii="Times New Roman" w:hAnsi="Times New Roman" w:eastAsia="宋体" w:cs="Times New Roman"/>
                <w:color w:val="000000" w:themeColor="text1"/>
                <w:sz w:val="24"/>
                <w14:textFill>
                  <w14:solidFill>
                    <w14:schemeClr w14:val="tx1"/>
                  </w14:solidFill>
                </w14:textFill>
              </w:rPr>
              <w:t>污水处理厂处理。废气中的主要污染物为</w:t>
            </w:r>
            <w:r>
              <w:rPr>
                <w:rFonts w:hint="eastAsia" w:ascii="Times New Roman" w:hAnsi="Times New Roman" w:eastAsia="宋体" w:cs="Times New Roman"/>
                <w:color w:val="000000" w:themeColor="text1"/>
                <w:sz w:val="24"/>
                <w:lang w:val="en-US" w:eastAsia="zh-CN"/>
                <w14:textFill>
                  <w14:solidFill>
                    <w14:schemeClr w14:val="tx1"/>
                  </w14:solidFill>
                </w14:textFill>
              </w:rPr>
              <w:t>硫酸雾、有机废气</w:t>
            </w:r>
            <w:r>
              <w:rPr>
                <w:rFonts w:hint="default" w:ascii="Times New Roman" w:hAnsi="Times New Roman" w:eastAsia="宋体" w:cs="Times New Roman"/>
                <w:color w:val="000000" w:themeColor="text1"/>
                <w:sz w:val="24"/>
                <w14:textFill>
                  <w14:solidFill>
                    <w14:schemeClr w14:val="tx1"/>
                  </w14:solidFill>
                </w14:textFill>
              </w:rPr>
              <w:t>，拟建</w:t>
            </w:r>
            <w:r>
              <w:rPr>
                <w:rFonts w:hint="eastAsia" w:ascii="Times New Roman" w:hAnsi="Times New Roman" w:eastAsia="宋体" w:cs="Times New Roman"/>
                <w:color w:val="000000" w:themeColor="text1"/>
                <w:sz w:val="24"/>
                <w:lang w:val="en-US" w:eastAsia="zh-CN"/>
                <w14:textFill>
                  <w14:solidFill>
                    <w14:schemeClr w14:val="tx1"/>
                  </w14:solidFill>
                </w14:textFill>
              </w:rPr>
              <w:t>原料仓库</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危废库为重点防渗区，</w:t>
            </w:r>
            <w:r>
              <w:rPr>
                <w:rFonts w:hint="default" w:ascii="Times New Roman" w:hAnsi="Times New Roman" w:eastAsia="宋体" w:cs="Times New Roman"/>
                <w:color w:val="000000" w:themeColor="text1"/>
                <w:sz w:val="24"/>
                <w:lang w:val="en-US" w:eastAsia="zh-CN"/>
                <w14:textFill>
                  <w14:solidFill>
                    <w14:schemeClr w14:val="tx1"/>
                  </w14:solidFill>
                </w14:textFill>
              </w:rPr>
              <w:t>均为现浇</w:t>
            </w:r>
            <w:r>
              <w:rPr>
                <w:rFonts w:hint="default" w:ascii="Times New Roman" w:hAnsi="Times New Roman" w:eastAsia="宋体" w:cs="Times New Roman"/>
                <w:color w:val="000000" w:themeColor="text1"/>
                <w:sz w:val="24"/>
                <w14:textFill>
                  <w14:solidFill>
                    <w14:schemeClr w14:val="tx1"/>
                  </w14:solidFill>
                </w14:textFill>
              </w:rPr>
              <w:t>混凝土</w:t>
            </w:r>
            <w:r>
              <w:rPr>
                <w:rFonts w:hint="default" w:ascii="Times New Roman" w:hAnsi="Times New Roman" w:eastAsia="宋体" w:cs="Times New Roman"/>
                <w:color w:val="000000" w:themeColor="text1"/>
                <w:sz w:val="24"/>
                <w:lang w:val="en-US" w:eastAsia="zh-CN"/>
                <w14:textFill>
                  <w14:solidFill>
                    <w14:schemeClr w14:val="tx1"/>
                  </w14:solidFill>
                </w14:textFill>
              </w:rPr>
              <w:t>地面，并采用</w:t>
            </w:r>
            <w:r>
              <w:rPr>
                <w:rFonts w:hint="default" w:ascii="Times New Roman" w:hAnsi="Times New Roman" w:eastAsia="宋体" w:cs="Times New Roman"/>
                <w:color w:val="000000" w:themeColor="text1"/>
                <w:sz w:val="24"/>
                <w14:textFill>
                  <w14:solidFill>
                    <w14:schemeClr w14:val="tx1"/>
                  </w14:solidFill>
                </w14:textFill>
              </w:rPr>
              <w:t>环氧地坪进行地面防渗处理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其余生产区为一般防渗区，</w:t>
            </w:r>
            <w:r>
              <w:rPr>
                <w:rFonts w:hint="default" w:ascii="Times New Roman" w:hAnsi="Times New Roman" w:eastAsia="宋体" w:cs="Times New Roman"/>
                <w:color w:val="000000" w:themeColor="text1"/>
                <w:sz w:val="24"/>
                <w:lang w:val="en-US" w:eastAsia="zh-CN"/>
                <w14:textFill>
                  <w14:solidFill>
                    <w14:schemeClr w14:val="tx1"/>
                  </w14:solidFill>
                </w14:textFill>
              </w:rPr>
              <w:t>均为现浇</w:t>
            </w:r>
            <w:r>
              <w:rPr>
                <w:rFonts w:hint="default" w:ascii="Times New Roman" w:hAnsi="Times New Roman" w:eastAsia="宋体" w:cs="Times New Roman"/>
                <w:color w:val="000000" w:themeColor="text1"/>
                <w:sz w:val="24"/>
                <w14:textFill>
                  <w14:solidFill>
                    <w14:schemeClr w14:val="tx1"/>
                  </w14:solidFill>
                </w14:textFill>
              </w:rPr>
              <w:t>混凝土</w:t>
            </w:r>
            <w:r>
              <w:rPr>
                <w:rFonts w:hint="default" w:ascii="Times New Roman" w:hAnsi="Times New Roman" w:eastAsia="宋体" w:cs="Times New Roman"/>
                <w:color w:val="000000" w:themeColor="text1"/>
                <w:sz w:val="24"/>
                <w:lang w:val="en-US" w:eastAsia="zh-CN"/>
                <w14:textFill>
                  <w14:solidFill>
                    <w14:schemeClr w14:val="tx1"/>
                  </w14:solidFill>
                </w14:textFill>
              </w:rPr>
              <w:t>地面，并采用</w:t>
            </w:r>
            <w:r>
              <w:rPr>
                <w:rFonts w:hint="default" w:ascii="Times New Roman" w:hAnsi="Times New Roman" w:eastAsia="宋体" w:cs="Times New Roman"/>
                <w:color w:val="000000" w:themeColor="text1"/>
                <w:sz w:val="24"/>
                <w14:textFill>
                  <w14:solidFill>
                    <w14:schemeClr w14:val="tx1"/>
                  </w14:solidFill>
                </w14:textFill>
              </w:rPr>
              <w:t>环氧地坪进行地面防渗处理，办公区、道路等均进行地面硬化处理，</w:t>
            </w:r>
            <w:r>
              <w:rPr>
                <w:rFonts w:hint="default" w:ascii="Times New Roman" w:hAnsi="Times New Roman" w:eastAsia="宋体" w:cs="Times New Roman"/>
                <w:color w:val="000000" w:themeColor="text1"/>
                <w:sz w:val="24"/>
                <w:lang w:val="en-US" w:eastAsia="zh-CN"/>
                <w14:textFill>
                  <w14:solidFill>
                    <w14:schemeClr w14:val="tx1"/>
                  </w14:solidFill>
                </w14:textFill>
              </w:rPr>
              <w:t>故</w:t>
            </w:r>
            <w:r>
              <w:rPr>
                <w:rFonts w:hint="default" w:ascii="Times New Roman" w:hAnsi="Times New Roman" w:eastAsia="宋体" w:cs="Times New Roman"/>
                <w:color w:val="000000" w:themeColor="text1"/>
                <w:sz w:val="24"/>
                <w14:textFill>
                  <w14:solidFill>
                    <w14:schemeClr w14:val="tx1"/>
                  </w14:solidFill>
                </w14:textFill>
              </w:rPr>
              <w:t>不存在土壤、地下水环境垂直入渗、漫流等污染途径，因此，可不开展地下水、土壤现状评价工作。</w:t>
            </w:r>
          </w:p>
          <w:p w14:paraId="7BA12591">
            <w:pPr>
              <w:spacing w:line="360" w:lineRule="auto"/>
              <w:ind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5、生态环境</w:t>
            </w:r>
          </w:p>
          <w:p w14:paraId="61BC7B0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本项目用地范围内不涉及生态环境保护目标，因此本项目不</w:t>
            </w:r>
            <w:r>
              <w:rPr>
                <w:rFonts w:hint="default" w:ascii="Times New Roman" w:hAnsi="Times New Roman" w:eastAsia="宋体" w:cs="Times New Roman"/>
                <w:color w:val="000000" w:themeColor="text1"/>
                <w:sz w:val="24"/>
                <w:lang w:eastAsia="zh-CN"/>
                <w14:textFill>
                  <w14:solidFill>
                    <w14:schemeClr w14:val="tx1"/>
                  </w14:solidFill>
                </w14:textFill>
              </w:rPr>
              <w:t>开展</w:t>
            </w:r>
            <w:r>
              <w:rPr>
                <w:rFonts w:hint="default" w:ascii="Times New Roman" w:hAnsi="Times New Roman" w:eastAsia="宋体" w:cs="Times New Roman"/>
                <w:color w:val="000000" w:themeColor="text1"/>
                <w:sz w:val="24"/>
                <w14:textFill>
                  <w14:solidFill>
                    <w14:schemeClr w14:val="tx1"/>
                  </w14:solidFill>
                </w14:textFill>
              </w:rPr>
              <w:t>生态现状调查</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520BE8AB">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6、电磁辐射</w:t>
            </w:r>
          </w:p>
          <w:p w14:paraId="0A02C44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本项目不属于广播电台、差转台、电视塔台、卫星地球上行站、雷达等电磁辐射类项目。</w:t>
            </w:r>
          </w:p>
        </w:tc>
      </w:tr>
      <w:tr w14:paraId="3141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240" w:type="pct"/>
            <w:vAlign w:val="center"/>
          </w:tcPr>
          <w:p w14:paraId="0514BC8A">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环境保护目标</w:t>
            </w:r>
          </w:p>
        </w:tc>
        <w:tc>
          <w:tcPr>
            <w:tcW w:w="4759" w:type="pct"/>
          </w:tcPr>
          <w:p w14:paraId="0F4DC4B7">
            <w:pPr>
              <w:adjustRightInd w:val="0"/>
              <w:snapToGrid w:val="0"/>
              <w:spacing w:line="360" w:lineRule="auto"/>
              <w:ind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项目位于</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常州市江苏省金坛经济开发区晨风路900号16号楼101室</w:t>
            </w:r>
            <w:r>
              <w:rPr>
                <w:rFonts w:hint="default" w:ascii="Times New Roman" w:hAnsi="Times New Roman" w:eastAsia="宋体" w:cs="Times New Roman"/>
                <w:color w:val="000000" w:themeColor="text1"/>
                <w:kern w:val="0"/>
                <w:sz w:val="24"/>
                <w:szCs w:val="24"/>
                <w14:textFill>
                  <w14:solidFill>
                    <w14:schemeClr w14:val="tx1"/>
                  </w14:solidFill>
                </w14:textFill>
              </w:rPr>
              <w:t>，经实地勘查，确定建设项目主要环境保护目标见下表。</w:t>
            </w:r>
          </w:p>
          <w:p w14:paraId="7664B942">
            <w:pPr>
              <w:tabs>
                <w:tab w:val="left" w:pos="6510"/>
              </w:tabs>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14:textFill>
                  <w14:solidFill>
                    <w14:schemeClr w14:val="tx1"/>
                  </w14:solidFill>
                </w14:textFill>
              </w:rPr>
              <w:t xml:space="preserve">  主要环境保护目标一览表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7"/>
              <w:gridCol w:w="1442"/>
              <w:gridCol w:w="1330"/>
              <w:gridCol w:w="1083"/>
              <w:gridCol w:w="883"/>
              <w:gridCol w:w="1958"/>
              <w:gridCol w:w="638"/>
              <w:gridCol w:w="683"/>
            </w:tblGrid>
            <w:tr w14:paraId="27019A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vMerge w:val="restart"/>
                  <w:tcBorders>
                    <w:tl2br w:val="nil"/>
                    <w:tr2bl w:val="nil"/>
                  </w:tcBorders>
                  <w:tcMar>
                    <w:top w:w="0" w:type="dxa"/>
                    <w:left w:w="0" w:type="dxa"/>
                    <w:bottom w:w="0" w:type="dxa"/>
                    <w:right w:w="0" w:type="dxa"/>
                  </w:tcMar>
                  <w:vAlign w:val="center"/>
                </w:tcPr>
                <w:p w14:paraId="2D25B8CA">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保护项目</w:t>
                  </w:r>
                </w:p>
              </w:tc>
              <w:tc>
                <w:tcPr>
                  <w:tcW w:w="1607" w:type="pct"/>
                  <w:gridSpan w:val="2"/>
                  <w:tcBorders>
                    <w:tl2br w:val="nil"/>
                    <w:tr2bl w:val="nil"/>
                  </w:tcBorders>
                  <w:tcMar>
                    <w:top w:w="0" w:type="dxa"/>
                    <w:left w:w="0" w:type="dxa"/>
                    <w:bottom w:w="0" w:type="dxa"/>
                    <w:right w:w="0" w:type="dxa"/>
                  </w:tcMar>
                  <w:vAlign w:val="center"/>
                </w:tcPr>
                <w:p w14:paraId="3CC72E2C">
                  <w:pPr>
                    <w:keepNext/>
                    <w:keepLines/>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坐标</w:t>
                  </w:r>
                </w:p>
              </w:tc>
              <w:tc>
                <w:tcPr>
                  <w:tcW w:w="628" w:type="pct"/>
                  <w:vMerge w:val="restart"/>
                  <w:tcBorders>
                    <w:tl2br w:val="nil"/>
                    <w:tr2bl w:val="nil"/>
                  </w:tcBorders>
                  <w:tcMar>
                    <w:top w:w="0" w:type="dxa"/>
                    <w:left w:w="0" w:type="dxa"/>
                    <w:bottom w:w="0" w:type="dxa"/>
                    <w:right w:w="0" w:type="dxa"/>
                  </w:tcMar>
                  <w:vAlign w:val="center"/>
                </w:tcPr>
                <w:p w14:paraId="368CDBB2">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保护对象</w:t>
                  </w:r>
                </w:p>
              </w:tc>
              <w:tc>
                <w:tcPr>
                  <w:tcW w:w="511" w:type="pct"/>
                  <w:vMerge w:val="restart"/>
                  <w:tcBorders>
                    <w:tl2br w:val="nil"/>
                    <w:tr2bl w:val="nil"/>
                  </w:tcBorders>
                  <w:tcMar>
                    <w:top w:w="0" w:type="dxa"/>
                    <w:left w:w="0" w:type="dxa"/>
                    <w:bottom w:w="0" w:type="dxa"/>
                    <w:right w:w="0" w:type="dxa"/>
                  </w:tcMar>
                  <w:vAlign w:val="center"/>
                </w:tcPr>
                <w:p w14:paraId="78FC67CC">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保护内容</w:t>
                  </w:r>
                </w:p>
              </w:tc>
              <w:tc>
                <w:tcPr>
                  <w:tcW w:w="1135" w:type="pct"/>
                  <w:vMerge w:val="restart"/>
                  <w:tcBorders>
                    <w:tl2br w:val="nil"/>
                    <w:tr2bl w:val="nil"/>
                  </w:tcBorders>
                  <w:tcMar>
                    <w:top w:w="0" w:type="dxa"/>
                    <w:left w:w="0" w:type="dxa"/>
                    <w:bottom w:w="0" w:type="dxa"/>
                    <w:right w:w="0" w:type="dxa"/>
                  </w:tcMar>
                  <w:vAlign w:val="center"/>
                </w:tcPr>
                <w:p w14:paraId="2DF0695A">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环境功能区</w:t>
                  </w:r>
                </w:p>
              </w:tc>
              <w:tc>
                <w:tcPr>
                  <w:tcW w:w="370" w:type="pct"/>
                  <w:vMerge w:val="restart"/>
                  <w:tcBorders>
                    <w:tl2br w:val="nil"/>
                    <w:tr2bl w:val="nil"/>
                  </w:tcBorders>
                  <w:tcMar>
                    <w:top w:w="0" w:type="dxa"/>
                    <w:left w:w="0" w:type="dxa"/>
                    <w:bottom w:w="0" w:type="dxa"/>
                    <w:right w:w="0" w:type="dxa"/>
                  </w:tcMar>
                  <w:vAlign w:val="center"/>
                </w:tcPr>
                <w:p w14:paraId="50298AD3">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相对厂址方位</w:t>
                  </w:r>
                </w:p>
              </w:tc>
              <w:tc>
                <w:tcPr>
                  <w:tcW w:w="394" w:type="pct"/>
                  <w:vMerge w:val="restart"/>
                  <w:tcBorders>
                    <w:tl2br w:val="nil"/>
                    <w:tr2bl w:val="nil"/>
                  </w:tcBorders>
                  <w:tcMar>
                    <w:top w:w="0" w:type="dxa"/>
                    <w:left w:w="0" w:type="dxa"/>
                    <w:bottom w:w="0" w:type="dxa"/>
                    <w:right w:w="0" w:type="dxa"/>
                  </w:tcMar>
                  <w:vAlign w:val="center"/>
                </w:tcPr>
                <w:p w14:paraId="54FC0DCB">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相对厂界最近距离/m</w:t>
                  </w:r>
                </w:p>
              </w:tc>
            </w:tr>
            <w:tr w14:paraId="4587F5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vMerge w:val="continue"/>
                  <w:tcBorders>
                    <w:tl2br w:val="nil"/>
                    <w:tr2bl w:val="nil"/>
                  </w:tcBorders>
                  <w:tcMar>
                    <w:top w:w="0" w:type="dxa"/>
                    <w:left w:w="0" w:type="dxa"/>
                    <w:bottom w:w="0" w:type="dxa"/>
                    <w:right w:w="0" w:type="dxa"/>
                  </w:tcMar>
                  <w:vAlign w:val="center"/>
                </w:tcPr>
                <w:p w14:paraId="01AD01E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6" w:type="pct"/>
                  <w:tcBorders>
                    <w:tl2br w:val="nil"/>
                    <w:tr2bl w:val="nil"/>
                  </w:tcBorders>
                  <w:tcMar>
                    <w:top w:w="0" w:type="dxa"/>
                    <w:left w:w="0" w:type="dxa"/>
                    <w:bottom w:w="0" w:type="dxa"/>
                    <w:right w:w="0" w:type="dxa"/>
                  </w:tcMar>
                  <w:vAlign w:val="center"/>
                </w:tcPr>
                <w:p w14:paraId="5AB6D388">
                  <w:pPr>
                    <w:keepNext/>
                    <w:keepLines/>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X</w:t>
                  </w:r>
                </w:p>
              </w:tc>
              <w:tc>
                <w:tcPr>
                  <w:tcW w:w="771" w:type="pct"/>
                  <w:tcBorders>
                    <w:tl2br w:val="nil"/>
                    <w:tr2bl w:val="nil"/>
                  </w:tcBorders>
                  <w:tcMar>
                    <w:top w:w="0" w:type="dxa"/>
                    <w:left w:w="0" w:type="dxa"/>
                    <w:bottom w:w="0" w:type="dxa"/>
                    <w:right w:w="0" w:type="dxa"/>
                  </w:tcMar>
                  <w:vAlign w:val="center"/>
                </w:tcPr>
                <w:p w14:paraId="47FE011D">
                  <w:pPr>
                    <w:keepNext/>
                    <w:keepLines/>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Y</w:t>
                  </w:r>
                </w:p>
              </w:tc>
              <w:tc>
                <w:tcPr>
                  <w:tcW w:w="628" w:type="pct"/>
                  <w:vMerge w:val="continue"/>
                  <w:tcBorders>
                    <w:tl2br w:val="nil"/>
                    <w:tr2bl w:val="nil"/>
                  </w:tcBorders>
                  <w:tcMar>
                    <w:top w:w="0" w:type="dxa"/>
                    <w:left w:w="0" w:type="dxa"/>
                    <w:bottom w:w="0" w:type="dxa"/>
                    <w:right w:w="0" w:type="dxa"/>
                  </w:tcMar>
                  <w:vAlign w:val="center"/>
                </w:tcPr>
                <w:p w14:paraId="5DBE209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11" w:type="pct"/>
                  <w:vMerge w:val="continue"/>
                  <w:tcBorders>
                    <w:tl2br w:val="nil"/>
                    <w:tr2bl w:val="nil"/>
                  </w:tcBorders>
                  <w:tcMar>
                    <w:top w:w="0" w:type="dxa"/>
                    <w:left w:w="0" w:type="dxa"/>
                    <w:bottom w:w="0" w:type="dxa"/>
                    <w:right w:w="0" w:type="dxa"/>
                  </w:tcMar>
                  <w:vAlign w:val="center"/>
                </w:tcPr>
                <w:p w14:paraId="613C51E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35" w:type="pct"/>
                  <w:vMerge w:val="continue"/>
                  <w:tcBorders>
                    <w:tl2br w:val="nil"/>
                    <w:tr2bl w:val="nil"/>
                  </w:tcBorders>
                  <w:tcMar>
                    <w:top w:w="0" w:type="dxa"/>
                    <w:left w:w="0" w:type="dxa"/>
                    <w:bottom w:w="0" w:type="dxa"/>
                    <w:right w:w="0" w:type="dxa"/>
                  </w:tcMar>
                  <w:vAlign w:val="center"/>
                </w:tcPr>
                <w:p w14:paraId="59EF8FB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0" w:type="pct"/>
                  <w:vMerge w:val="continue"/>
                  <w:tcBorders>
                    <w:tl2br w:val="nil"/>
                    <w:tr2bl w:val="nil"/>
                  </w:tcBorders>
                  <w:tcMar>
                    <w:top w:w="0" w:type="dxa"/>
                    <w:left w:w="0" w:type="dxa"/>
                    <w:bottom w:w="0" w:type="dxa"/>
                    <w:right w:w="0" w:type="dxa"/>
                  </w:tcMar>
                  <w:vAlign w:val="center"/>
                </w:tcPr>
                <w:p w14:paraId="2245FE8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4" w:type="pct"/>
                  <w:vMerge w:val="continue"/>
                  <w:tcBorders>
                    <w:tl2br w:val="nil"/>
                    <w:tr2bl w:val="nil"/>
                  </w:tcBorders>
                  <w:tcMar>
                    <w:top w:w="0" w:type="dxa"/>
                    <w:left w:w="0" w:type="dxa"/>
                    <w:bottom w:w="0" w:type="dxa"/>
                    <w:right w:w="0" w:type="dxa"/>
                  </w:tcMar>
                  <w:vAlign w:val="center"/>
                </w:tcPr>
                <w:p w14:paraId="3F673B8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8CFA4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vMerge w:val="restart"/>
                  <w:tcBorders>
                    <w:tl2br w:val="nil"/>
                    <w:tr2bl w:val="nil"/>
                  </w:tcBorders>
                  <w:tcMar>
                    <w:top w:w="0" w:type="dxa"/>
                    <w:left w:w="0" w:type="dxa"/>
                    <w:bottom w:w="0" w:type="dxa"/>
                    <w:right w:w="0" w:type="dxa"/>
                  </w:tcMar>
                  <w:vAlign w:val="center"/>
                </w:tcPr>
                <w:p w14:paraId="58691E5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836" w:type="pct"/>
                  <w:tcBorders>
                    <w:tl2br w:val="nil"/>
                    <w:tr2bl w:val="nil"/>
                  </w:tcBorders>
                  <w:tcMar>
                    <w:top w:w="0" w:type="dxa"/>
                    <w:left w:w="0" w:type="dxa"/>
                    <w:bottom w:w="0" w:type="dxa"/>
                    <w:right w:w="0" w:type="dxa"/>
                  </w:tcMar>
                  <w:vAlign w:val="center"/>
                </w:tcPr>
                <w:p w14:paraId="382E9CB5">
                  <w:pPr>
                    <w:widowControl/>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119.6475624</w:t>
                  </w:r>
                </w:p>
              </w:tc>
              <w:tc>
                <w:tcPr>
                  <w:tcW w:w="771" w:type="pct"/>
                  <w:tcBorders>
                    <w:tl2br w:val="nil"/>
                    <w:tr2bl w:val="nil"/>
                  </w:tcBorders>
                  <w:tcMar>
                    <w:top w:w="0" w:type="dxa"/>
                    <w:left w:w="0" w:type="dxa"/>
                    <w:bottom w:w="0" w:type="dxa"/>
                    <w:right w:w="0" w:type="dxa"/>
                  </w:tcMar>
                  <w:vAlign w:val="center"/>
                </w:tcPr>
                <w:p w14:paraId="72110F85">
                  <w:pPr>
                    <w:widowControl/>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31.7604766</w:t>
                  </w:r>
                </w:p>
              </w:tc>
              <w:tc>
                <w:tcPr>
                  <w:tcW w:w="628" w:type="pct"/>
                  <w:tcBorders>
                    <w:tl2br w:val="nil"/>
                    <w:tr2bl w:val="nil"/>
                  </w:tcBorders>
                  <w:tcMar>
                    <w:top w:w="0" w:type="dxa"/>
                    <w:left w:w="0" w:type="dxa"/>
                    <w:bottom w:w="0" w:type="dxa"/>
                    <w:right w:w="0" w:type="dxa"/>
                  </w:tcMar>
                  <w:vAlign w:val="center"/>
                </w:tcPr>
                <w:p w14:paraId="509D616F">
                  <w:pPr>
                    <w:widowControl/>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半岛珑庭</w:t>
                  </w:r>
                </w:p>
              </w:tc>
              <w:tc>
                <w:tcPr>
                  <w:tcW w:w="511" w:type="pct"/>
                  <w:tcBorders>
                    <w:tl2br w:val="nil"/>
                    <w:tr2bl w:val="nil"/>
                  </w:tcBorders>
                  <w:tcMar>
                    <w:top w:w="0" w:type="dxa"/>
                    <w:left w:w="0" w:type="dxa"/>
                    <w:bottom w:w="0" w:type="dxa"/>
                    <w:right w:w="0" w:type="dxa"/>
                  </w:tcMar>
                  <w:vAlign w:val="center"/>
                </w:tcPr>
                <w:p w14:paraId="436ABD14">
                  <w:pPr>
                    <w:widowControl/>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约1500人</w:t>
                  </w:r>
                </w:p>
              </w:tc>
              <w:tc>
                <w:tcPr>
                  <w:tcW w:w="1135" w:type="pct"/>
                  <w:vMerge w:val="restart"/>
                  <w:tcBorders>
                    <w:tl2br w:val="nil"/>
                    <w:tr2bl w:val="nil"/>
                  </w:tcBorders>
                  <w:tcMar>
                    <w:top w:w="0" w:type="dxa"/>
                    <w:left w:w="0" w:type="dxa"/>
                    <w:bottom w:w="0" w:type="dxa"/>
                    <w:right w:w="0" w:type="dxa"/>
                  </w:tcMar>
                  <w:vAlign w:val="center"/>
                </w:tcPr>
                <w:p w14:paraId="4A86E54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w:t>
                  </w:r>
                </w:p>
                <w:p w14:paraId="7E7D6F7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（GB3095-2012）中二类功能区</w:t>
                  </w:r>
                </w:p>
              </w:tc>
              <w:tc>
                <w:tcPr>
                  <w:tcW w:w="370" w:type="pct"/>
                  <w:tcBorders>
                    <w:tl2br w:val="nil"/>
                    <w:tr2bl w:val="nil"/>
                  </w:tcBorders>
                  <w:tcMar>
                    <w:top w:w="0" w:type="dxa"/>
                    <w:left w:w="0" w:type="dxa"/>
                    <w:bottom w:w="0" w:type="dxa"/>
                    <w:right w:w="0" w:type="dxa"/>
                  </w:tcMar>
                  <w:vAlign w:val="center"/>
                </w:tcPr>
                <w:p w14:paraId="79395814">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东南</w:t>
                  </w:r>
                </w:p>
              </w:tc>
              <w:tc>
                <w:tcPr>
                  <w:tcW w:w="394" w:type="pct"/>
                  <w:tcBorders>
                    <w:tl2br w:val="nil"/>
                    <w:tr2bl w:val="nil"/>
                  </w:tcBorders>
                  <w:tcMar>
                    <w:top w:w="0" w:type="dxa"/>
                    <w:left w:w="0" w:type="dxa"/>
                    <w:bottom w:w="0" w:type="dxa"/>
                    <w:right w:w="0" w:type="dxa"/>
                  </w:tcMar>
                  <w:vAlign w:val="center"/>
                </w:tcPr>
                <w:p w14:paraId="4997355A">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366</w:t>
                  </w:r>
                </w:p>
              </w:tc>
            </w:tr>
            <w:tr w14:paraId="33CEA8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vMerge w:val="continue"/>
                  <w:tcBorders>
                    <w:tl2br w:val="nil"/>
                    <w:tr2bl w:val="nil"/>
                  </w:tcBorders>
                  <w:tcMar>
                    <w:top w:w="0" w:type="dxa"/>
                    <w:left w:w="0" w:type="dxa"/>
                    <w:bottom w:w="0" w:type="dxa"/>
                    <w:right w:w="0" w:type="dxa"/>
                  </w:tcMar>
                  <w:vAlign w:val="center"/>
                </w:tcPr>
                <w:p w14:paraId="39B93B6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6" w:type="pct"/>
                  <w:tcBorders>
                    <w:tl2br w:val="nil"/>
                    <w:tr2bl w:val="nil"/>
                  </w:tcBorders>
                  <w:tcMar>
                    <w:top w:w="0" w:type="dxa"/>
                    <w:left w:w="0" w:type="dxa"/>
                    <w:bottom w:w="0" w:type="dxa"/>
                    <w:right w:w="0" w:type="dxa"/>
                  </w:tcMar>
                  <w:vAlign w:val="center"/>
                </w:tcPr>
                <w:p w14:paraId="70E49DF7">
                  <w:pPr>
                    <w:widowControl/>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119.6417144</w:t>
                  </w:r>
                </w:p>
              </w:tc>
              <w:tc>
                <w:tcPr>
                  <w:tcW w:w="771" w:type="pct"/>
                  <w:tcBorders>
                    <w:tl2br w:val="nil"/>
                    <w:tr2bl w:val="nil"/>
                  </w:tcBorders>
                  <w:tcMar>
                    <w:top w:w="0" w:type="dxa"/>
                    <w:left w:w="0" w:type="dxa"/>
                    <w:bottom w:w="0" w:type="dxa"/>
                    <w:right w:w="0" w:type="dxa"/>
                  </w:tcMar>
                  <w:vAlign w:val="center"/>
                </w:tcPr>
                <w:p w14:paraId="45247829">
                  <w:pPr>
                    <w:widowControl/>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31.7649245</w:t>
                  </w:r>
                </w:p>
              </w:tc>
              <w:tc>
                <w:tcPr>
                  <w:tcW w:w="628" w:type="pct"/>
                  <w:tcBorders>
                    <w:tl2br w:val="nil"/>
                    <w:tr2bl w:val="nil"/>
                  </w:tcBorders>
                  <w:tcMar>
                    <w:top w:w="0" w:type="dxa"/>
                    <w:left w:w="0" w:type="dxa"/>
                    <w:bottom w:w="0" w:type="dxa"/>
                    <w:right w:w="0" w:type="dxa"/>
                  </w:tcMar>
                  <w:vAlign w:val="center"/>
                </w:tcPr>
                <w:p w14:paraId="2C9CCADC">
                  <w:pPr>
                    <w:widowControl/>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中塘村</w:t>
                  </w:r>
                </w:p>
              </w:tc>
              <w:tc>
                <w:tcPr>
                  <w:tcW w:w="511" w:type="pct"/>
                  <w:tcBorders>
                    <w:tl2br w:val="nil"/>
                    <w:tr2bl w:val="nil"/>
                  </w:tcBorders>
                  <w:tcMar>
                    <w:top w:w="0" w:type="dxa"/>
                    <w:left w:w="0" w:type="dxa"/>
                    <w:bottom w:w="0" w:type="dxa"/>
                    <w:right w:w="0" w:type="dxa"/>
                  </w:tcMar>
                  <w:vAlign w:val="center"/>
                </w:tcPr>
                <w:p w14:paraId="61923F44">
                  <w:pPr>
                    <w:widowControl/>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约500人</w:t>
                  </w:r>
                </w:p>
              </w:tc>
              <w:tc>
                <w:tcPr>
                  <w:tcW w:w="1135" w:type="pct"/>
                  <w:vMerge w:val="continue"/>
                  <w:tcBorders>
                    <w:tl2br w:val="nil"/>
                    <w:tr2bl w:val="nil"/>
                  </w:tcBorders>
                  <w:tcMar>
                    <w:top w:w="0" w:type="dxa"/>
                    <w:left w:w="0" w:type="dxa"/>
                    <w:bottom w:w="0" w:type="dxa"/>
                    <w:right w:w="0" w:type="dxa"/>
                  </w:tcMar>
                  <w:vAlign w:val="center"/>
                </w:tcPr>
                <w:p w14:paraId="32A366C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0" w:type="pct"/>
                  <w:tcBorders>
                    <w:tl2br w:val="nil"/>
                    <w:tr2bl w:val="nil"/>
                  </w:tcBorders>
                  <w:tcMar>
                    <w:top w:w="0" w:type="dxa"/>
                    <w:left w:w="0" w:type="dxa"/>
                    <w:bottom w:w="0" w:type="dxa"/>
                    <w:right w:w="0" w:type="dxa"/>
                  </w:tcMar>
                  <w:vAlign w:val="center"/>
                </w:tcPr>
                <w:p w14:paraId="3CD341E1">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西北</w:t>
                  </w:r>
                </w:p>
              </w:tc>
              <w:tc>
                <w:tcPr>
                  <w:tcW w:w="394" w:type="pct"/>
                  <w:tcBorders>
                    <w:tl2br w:val="nil"/>
                    <w:tr2bl w:val="nil"/>
                  </w:tcBorders>
                  <w:tcMar>
                    <w:top w:w="0" w:type="dxa"/>
                    <w:left w:w="0" w:type="dxa"/>
                    <w:bottom w:w="0" w:type="dxa"/>
                    <w:right w:w="0" w:type="dxa"/>
                  </w:tcMar>
                  <w:vAlign w:val="center"/>
                </w:tcPr>
                <w:p w14:paraId="0F496494">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226</w:t>
                  </w:r>
                </w:p>
              </w:tc>
            </w:tr>
            <w:tr w14:paraId="7257C2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532" w:hRule="atLeast"/>
                <w:jc w:val="center"/>
              </w:trPr>
              <w:tc>
                <w:tcPr>
                  <w:tcW w:w="352" w:type="pct"/>
                  <w:tcBorders>
                    <w:tl2br w:val="nil"/>
                    <w:tr2bl w:val="nil"/>
                  </w:tcBorders>
                  <w:tcMar>
                    <w:top w:w="0" w:type="dxa"/>
                    <w:left w:w="0" w:type="dxa"/>
                    <w:bottom w:w="0" w:type="dxa"/>
                    <w:right w:w="0" w:type="dxa"/>
                  </w:tcMar>
                  <w:vAlign w:val="center"/>
                </w:tcPr>
                <w:p w14:paraId="2AC57B8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836" w:type="pct"/>
                  <w:tcBorders>
                    <w:tl2br w:val="nil"/>
                    <w:tr2bl w:val="nil"/>
                  </w:tcBorders>
                  <w:shd w:val="clear" w:color="auto" w:fill="auto"/>
                  <w:tcMar>
                    <w:top w:w="0" w:type="dxa"/>
                    <w:left w:w="0" w:type="dxa"/>
                    <w:bottom w:w="0" w:type="dxa"/>
                    <w:right w:w="0" w:type="dxa"/>
                  </w:tcMar>
                  <w:vAlign w:val="center"/>
                </w:tcPr>
                <w:p w14:paraId="1DD7B658">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119.6871148</w:t>
                  </w:r>
                </w:p>
              </w:tc>
              <w:tc>
                <w:tcPr>
                  <w:tcW w:w="771" w:type="pct"/>
                  <w:tcBorders>
                    <w:tl2br w:val="nil"/>
                    <w:tr2bl w:val="nil"/>
                  </w:tcBorders>
                  <w:shd w:val="clear" w:color="auto" w:fill="auto"/>
                  <w:tcMar>
                    <w:top w:w="0" w:type="dxa"/>
                    <w:left w:w="0" w:type="dxa"/>
                    <w:bottom w:w="0" w:type="dxa"/>
                    <w:right w:w="0" w:type="dxa"/>
                  </w:tcMar>
                  <w:vAlign w:val="center"/>
                </w:tcPr>
                <w:p w14:paraId="166CD715">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31.7253927</w:t>
                  </w:r>
                </w:p>
              </w:tc>
              <w:tc>
                <w:tcPr>
                  <w:tcW w:w="628" w:type="pct"/>
                  <w:tcBorders>
                    <w:tl2br w:val="nil"/>
                    <w:tr2bl w:val="nil"/>
                  </w:tcBorders>
                  <w:shd w:val="clear" w:color="auto" w:fill="auto"/>
                  <w:tcMar>
                    <w:top w:w="0" w:type="dxa"/>
                    <w:left w:w="0" w:type="dxa"/>
                    <w:bottom w:w="0" w:type="dxa"/>
                    <w:right w:w="0" w:type="dxa"/>
                  </w:tcMar>
                  <w:vAlign w:val="center"/>
                </w:tcPr>
                <w:p w14:paraId="2D40C846">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尧塘河</w:t>
                  </w:r>
                </w:p>
              </w:tc>
              <w:tc>
                <w:tcPr>
                  <w:tcW w:w="511" w:type="pct"/>
                  <w:tcBorders>
                    <w:tl2br w:val="nil"/>
                    <w:tr2bl w:val="nil"/>
                  </w:tcBorders>
                  <w:shd w:val="clear" w:color="auto" w:fill="auto"/>
                  <w:tcMar>
                    <w:top w:w="0" w:type="dxa"/>
                    <w:left w:w="0" w:type="dxa"/>
                    <w:bottom w:w="0" w:type="dxa"/>
                    <w:right w:w="0" w:type="dxa"/>
                  </w:tcMar>
                  <w:vAlign w:val="center"/>
                </w:tcPr>
                <w:p w14:paraId="0E6161D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w:t>
                  </w:r>
                </w:p>
              </w:tc>
              <w:tc>
                <w:tcPr>
                  <w:tcW w:w="1135" w:type="pct"/>
                  <w:tcBorders>
                    <w:tl2br w:val="nil"/>
                    <w:tr2bl w:val="nil"/>
                  </w:tcBorders>
                  <w:tcMar>
                    <w:top w:w="0" w:type="dxa"/>
                    <w:left w:w="0" w:type="dxa"/>
                    <w:bottom w:w="0" w:type="dxa"/>
                    <w:right w:w="0" w:type="dxa"/>
                  </w:tcMar>
                  <w:vAlign w:val="center"/>
                </w:tcPr>
                <w:p w14:paraId="1DBC68E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《地表水环境质量标准》（GB3838-2002）III类区</w:t>
                  </w:r>
                </w:p>
              </w:tc>
              <w:tc>
                <w:tcPr>
                  <w:tcW w:w="370" w:type="pct"/>
                  <w:tcBorders>
                    <w:tl2br w:val="nil"/>
                    <w:tr2bl w:val="nil"/>
                  </w:tcBorders>
                  <w:shd w:val="clear" w:color="auto" w:fill="auto"/>
                  <w:tcMar>
                    <w:top w:w="0" w:type="dxa"/>
                    <w:left w:w="0" w:type="dxa"/>
                    <w:bottom w:w="0" w:type="dxa"/>
                    <w:right w:w="0" w:type="dxa"/>
                  </w:tcMar>
                  <w:vAlign w:val="center"/>
                </w:tcPr>
                <w:p w14:paraId="121CFFE7">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东南</w:t>
                  </w:r>
                </w:p>
              </w:tc>
              <w:tc>
                <w:tcPr>
                  <w:tcW w:w="394" w:type="pct"/>
                  <w:tcBorders>
                    <w:tl2br w:val="nil"/>
                    <w:tr2bl w:val="nil"/>
                  </w:tcBorders>
                  <w:shd w:val="clear" w:color="auto" w:fill="auto"/>
                  <w:tcMar>
                    <w:top w:w="0" w:type="dxa"/>
                    <w:left w:w="0" w:type="dxa"/>
                    <w:bottom w:w="0" w:type="dxa"/>
                    <w:right w:w="0" w:type="dxa"/>
                  </w:tcMar>
                  <w:vAlign w:val="center"/>
                </w:tcPr>
                <w:p w14:paraId="327A194C">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5710</w:t>
                  </w:r>
                </w:p>
              </w:tc>
            </w:tr>
            <w:tr w14:paraId="22387B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tcBorders>
                    <w:tl2br w:val="nil"/>
                    <w:tr2bl w:val="nil"/>
                  </w:tcBorders>
                  <w:tcMar>
                    <w:top w:w="0" w:type="dxa"/>
                    <w:left w:w="0" w:type="dxa"/>
                    <w:bottom w:w="0" w:type="dxa"/>
                    <w:right w:w="0" w:type="dxa"/>
                  </w:tcMar>
                  <w:vAlign w:val="center"/>
                </w:tcPr>
                <w:p w14:paraId="502CF85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2747" w:type="pct"/>
                  <w:gridSpan w:val="4"/>
                  <w:tcBorders>
                    <w:tl2br w:val="nil"/>
                    <w:tr2bl w:val="nil"/>
                  </w:tcBorders>
                  <w:shd w:val="clear" w:color="auto" w:fill="auto"/>
                  <w:tcMar>
                    <w:top w:w="0" w:type="dxa"/>
                    <w:left w:w="0" w:type="dxa"/>
                    <w:bottom w:w="0" w:type="dxa"/>
                    <w:right w:w="0" w:type="dxa"/>
                  </w:tcMar>
                  <w:vAlign w:val="center"/>
                </w:tcPr>
                <w:p w14:paraId="24AE606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厂界外50米范围无敏感保护目标</w:t>
                  </w:r>
                </w:p>
              </w:tc>
              <w:tc>
                <w:tcPr>
                  <w:tcW w:w="1135" w:type="pct"/>
                  <w:tcBorders>
                    <w:tl2br w:val="nil"/>
                    <w:tr2bl w:val="nil"/>
                  </w:tcBorders>
                  <w:tcMar>
                    <w:top w:w="0" w:type="dxa"/>
                    <w:left w:w="0" w:type="dxa"/>
                    <w:bottom w:w="0" w:type="dxa"/>
                    <w:right w:w="0" w:type="dxa"/>
                  </w:tcMar>
                  <w:vAlign w:val="center"/>
                </w:tcPr>
                <w:p w14:paraId="274A386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《声环境质量标准》（GB 3096-2008）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类区</w:t>
                  </w:r>
                </w:p>
              </w:tc>
              <w:tc>
                <w:tcPr>
                  <w:tcW w:w="370" w:type="pct"/>
                  <w:tcBorders>
                    <w:tl2br w:val="nil"/>
                    <w:tr2bl w:val="nil"/>
                  </w:tcBorders>
                  <w:tcMar>
                    <w:top w:w="0" w:type="dxa"/>
                    <w:left w:w="0" w:type="dxa"/>
                    <w:bottom w:w="0" w:type="dxa"/>
                    <w:right w:w="0" w:type="dxa"/>
                  </w:tcMar>
                  <w:vAlign w:val="center"/>
                </w:tcPr>
                <w:p w14:paraId="373A5DB6">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4" w:type="pct"/>
                  <w:tcBorders>
                    <w:tl2br w:val="nil"/>
                    <w:tr2bl w:val="nil"/>
                  </w:tcBorders>
                  <w:tcMar>
                    <w:top w:w="0" w:type="dxa"/>
                    <w:left w:w="0" w:type="dxa"/>
                    <w:bottom w:w="0" w:type="dxa"/>
                    <w:right w:w="0" w:type="dxa"/>
                  </w:tcMar>
                  <w:vAlign w:val="center"/>
                </w:tcPr>
                <w:p w14:paraId="4D4D2C06">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6EEB11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tcBorders>
                    <w:tl2br w:val="nil"/>
                    <w:tr2bl w:val="nil"/>
                  </w:tcBorders>
                  <w:tcMar>
                    <w:top w:w="0" w:type="dxa"/>
                    <w:left w:w="0" w:type="dxa"/>
                    <w:bottom w:w="0" w:type="dxa"/>
                    <w:right w:w="0" w:type="dxa"/>
                  </w:tcMar>
                  <w:vAlign w:val="center"/>
                </w:tcPr>
                <w:p w14:paraId="36691CA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生态环境</w:t>
                  </w:r>
                </w:p>
              </w:tc>
              <w:tc>
                <w:tcPr>
                  <w:tcW w:w="2747" w:type="pct"/>
                  <w:gridSpan w:val="4"/>
                  <w:tcBorders>
                    <w:tl2br w:val="nil"/>
                    <w:tr2bl w:val="nil"/>
                  </w:tcBorders>
                  <w:tcMar>
                    <w:top w:w="0" w:type="dxa"/>
                    <w:left w:w="0" w:type="dxa"/>
                    <w:bottom w:w="0" w:type="dxa"/>
                    <w:right w:w="0" w:type="dxa"/>
                  </w:tcMar>
                  <w:vAlign w:val="center"/>
                </w:tcPr>
                <w:p w14:paraId="0AC4C432">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本项目位于</w:t>
                  </w:r>
                  <w:r>
                    <w:rPr>
                      <w:rFonts w:hint="default" w:ascii="Times New Roman" w:hAnsi="Times New Roman" w:eastAsia="宋体" w:cs="Times New Roman"/>
                      <w:bCs/>
                      <w:color w:val="000000" w:themeColor="text1"/>
                      <w:sz w:val="21"/>
                      <w:szCs w:val="21"/>
                      <w:lang w:eastAsia="zh-CN"/>
                      <w14:textFill>
                        <w14:solidFill>
                          <w14:schemeClr w14:val="tx1"/>
                        </w14:solidFill>
                      </w14:textFill>
                    </w:rPr>
                    <w:t>常州市江苏省金坛经济开发区晨风路900号</w:t>
                  </w:r>
                  <w:r>
                    <w:rPr>
                      <w:rFonts w:hint="default" w:ascii="Times New Roman" w:hAnsi="Times New Roman" w:eastAsia="宋体" w:cs="Times New Roman"/>
                      <w:bCs/>
                      <w:color w:val="000000" w:themeColor="text1"/>
                      <w:sz w:val="21"/>
                      <w:szCs w:val="21"/>
                      <w14:textFill>
                        <w14:solidFill>
                          <w14:schemeClr w14:val="tx1"/>
                        </w14:solidFill>
                      </w14:textFill>
                    </w:rPr>
                    <w:t>，位于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联东U谷金坛科技产业园</w:t>
                  </w:r>
                  <w:r>
                    <w:rPr>
                      <w:rFonts w:hint="default" w:ascii="Times New Roman" w:hAnsi="Times New Roman" w:eastAsia="宋体" w:cs="Times New Roman"/>
                      <w:bCs/>
                      <w:color w:val="000000" w:themeColor="text1"/>
                      <w:sz w:val="21"/>
                      <w:szCs w:val="21"/>
                      <w14:textFill>
                        <w14:solidFill>
                          <w14:schemeClr w14:val="tx1"/>
                        </w14:solidFill>
                      </w14:textFill>
                    </w:rPr>
                    <w:t>内，占地范围内无生态敏感目标。</w:t>
                  </w:r>
                </w:p>
              </w:tc>
              <w:tc>
                <w:tcPr>
                  <w:tcW w:w="1135" w:type="pct"/>
                  <w:tcBorders>
                    <w:tl2br w:val="nil"/>
                    <w:tr2bl w:val="nil"/>
                  </w:tcBorders>
                  <w:tcMar>
                    <w:top w:w="0" w:type="dxa"/>
                    <w:left w:w="0" w:type="dxa"/>
                    <w:bottom w:w="0" w:type="dxa"/>
                    <w:right w:w="0" w:type="dxa"/>
                  </w:tcMar>
                  <w:vAlign w:val="center"/>
                </w:tcPr>
                <w:p w14:paraId="32EF876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《江苏省生态空间管控区域规划》</w:t>
                  </w:r>
                </w:p>
              </w:tc>
              <w:tc>
                <w:tcPr>
                  <w:tcW w:w="370" w:type="pct"/>
                  <w:tcBorders>
                    <w:tl2br w:val="nil"/>
                    <w:tr2bl w:val="nil"/>
                  </w:tcBorders>
                  <w:tcMar>
                    <w:top w:w="0" w:type="dxa"/>
                    <w:left w:w="0" w:type="dxa"/>
                    <w:bottom w:w="0" w:type="dxa"/>
                    <w:right w:w="0" w:type="dxa"/>
                  </w:tcMar>
                  <w:vAlign w:val="center"/>
                </w:tcPr>
                <w:p w14:paraId="6A40C8EE">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4" w:type="pct"/>
                  <w:tcBorders>
                    <w:tl2br w:val="nil"/>
                    <w:tr2bl w:val="nil"/>
                  </w:tcBorders>
                  <w:tcMar>
                    <w:top w:w="0" w:type="dxa"/>
                    <w:left w:w="0" w:type="dxa"/>
                    <w:bottom w:w="0" w:type="dxa"/>
                    <w:right w:w="0" w:type="dxa"/>
                  </w:tcMar>
                  <w:vAlign w:val="center"/>
                </w:tcPr>
                <w:p w14:paraId="305CBBE8">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30ACBF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2" w:type="pct"/>
                  <w:tcBorders>
                    <w:tl2br w:val="nil"/>
                    <w:tr2bl w:val="nil"/>
                  </w:tcBorders>
                  <w:tcMar>
                    <w:top w:w="0" w:type="dxa"/>
                    <w:left w:w="0" w:type="dxa"/>
                    <w:bottom w:w="0" w:type="dxa"/>
                    <w:right w:w="0" w:type="dxa"/>
                  </w:tcMar>
                  <w:vAlign w:val="center"/>
                </w:tcPr>
                <w:p w14:paraId="1CCD37F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747" w:type="pct"/>
                  <w:gridSpan w:val="4"/>
                  <w:tcBorders>
                    <w:tl2br w:val="nil"/>
                    <w:tr2bl w:val="nil"/>
                  </w:tcBorders>
                  <w:tcMar>
                    <w:top w:w="0" w:type="dxa"/>
                    <w:left w:w="0" w:type="dxa"/>
                    <w:bottom w:w="0" w:type="dxa"/>
                    <w:right w:w="0" w:type="dxa"/>
                  </w:tcMar>
                  <w:vAlign w:val="center"/>
                </w:tcPr>
                <w:p w14:paraId="4D2A4D0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项目所在区域500m范围</w:t>
                  </w:r>
                </w:p>
              </w:tc>
              <w:tc>
                <w:tcPr>
                  <w:tcW w:w="1900" w:type="pct"/>
                  <w:gridSpan w:val="3"/>
                  <w:tcBorders>
                    <w:tl2br w:val="nil"/>
                    <w:tr2bl w:val="nil"/>
                  </w:tcBorders>
                  <w:tcMar>
                    <w:top w:w="0" w:type="dxa"/>
                    <w:left w:w="0" w:type="dxa"/>
                    <w:bottom w:w="0" w:type="dxa"/>
                    <w:right w:w="0" w:type="dxa"/>
                  </w:tcMar>
                  <w:vAlign w:val="center"/>
                </w:tcPr>
                <w:p w14:paraId="7B9590F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本项目厂界外500米范围内无地下水集中式饮用水水源等特殊地下水资源</w:t>
                  </w:r>
                </w:p>
              </w:tc>
            </w:tr>
            <w:tr w14:paraId="564D97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5B01E604">
                  <w:pPr>
                    <w:adjustRightInd w:val="0"/>
                    <w:snapToGrid w:val="0"/>
                    <w:jc w:val="left"/>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项目距离国控站点（金坛区人民政府）直线距离约</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6.0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km，距离省控站点（金坛监测站）</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km，不在常州市空气质量监测国控、省控站点位置信息。</w:t>
                  </w:r>
                </w:p>
                <w:p w14:paraId="603002D7">
                  <w:pPr>
                    <w:adjustRightInd w:val="0"/>
                    <w:snapToGrid w:val="0"/>
                    <w:ind w:firstLine="422" w:firstLineChars="200"/>
                    <w:jc w:val="left"/>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②本项目雨水排入河流以及纳污河流均为尧塘河。</w:t>
                  </w:r>
                </w:p>
              </w:tc>
            </w:tr>
          </w:tbl>
          <w:p w14:paraId="6FA5FA6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p>
          <w:p w14:paraId="717EA2E7">
            <w:pPr>
              <w:spacing w:line="360" w:lineRule="auto"/>
              <w:rPr>
                <w:rFonts w:hint="default" w:ascii="Times New Roman" w:hAnsi="Times New Roman" w:eastAsia="宋体" w:cs="Times New Roman"/>
                <w:color w:val="000000" w:themeColor="text1"/>
                <w:sz w:val="24"/>
                <w14:textFill>
                  <w14:solidFill>
                    <w14:schemeClr w14:val="tx1"/>
                  </w14:solidFill>
                </w14:textFill>
              </w:rPr>
            </w:pPr>
          </w:p>
        </w:tc>
      </w:tr>
      <w:tr w14:paraId="20AB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240" w:type="pct"/>
            <w:vAlign w:val="center"/>
          </w:tcPr>
          <w:p w14:paraId="4C1BE2F5">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污染物排放控制标准</w:t>
            </w:r>
          </w:p>
        </w:tc>
        <w:tc>
          <w:tcPr>
            <w:tcW w:w="4759" w:type="pct"/>
          </w:tcPr>
          <w:p w14:paraId="01E1FFA8">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1、废气</w:t>
            </w:r>
          </w:p>
          <w:p w14:paraId="64A101D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清洗线产生的有组织废气</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硫酸雾、甲醇、非甲烷总烃</w:t>
            </w:r>
            <w:r>
              <w:rPr>
                <w:rFonts w:hint="default" w:ascii="Times New Roman" w:hAnsi="Times New Roman" w:eastAsia="宋体" w:cs="Times New Roman"/>
                <w:color w:val="000000" w:themeColor="text1"/>
                <w:sz w:val="24"/>
                <w:lang w:val="en-US" w:eastAsia="zh-CN"/>
                <w14:textFill>
                  <w14:solidFill>
                    <w14:schemeClr w14:val="tx1"/>
                  </w14:solidFill>
                </w14:textFill>
              </w:rPr>
              <w:t>）排放执行江苏省地标《大气污染物综合排放标准》（DB32/4041-2021）表1中限值要求；</w:t>
            </w:r>
            <w:r>
              <w:rPr>
                <w:rFonts w:hint="eastAsia" w:ascii="Times New Roman" w:hAnsi="Times New Roman" w:eastAsia="宋体" w:cs="Times New Roman"/>
                <w:color w:val="000000" w:themeColor="text1"/>
                <w:sz w:val="24"/>
                <w:lang w:val="en-US" w:eastAsia="zh-CN"/>
                <w14:textFill>
                  <w14:solidFill>
                    <w14:schemeClr w14:val="tx1"/>
                  </w14:solidFill>
                </w14:textFill>
              </w:rPr>
              <w:t>厂界无组织废气</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硫酸雾、甲醇、非甲烷总烃</w:t>
            </w:r>
            <w:r>
              <w:rPr>
                <w:rFonts w:hint="default" w:ascii="Times New Roman" w:hAnsi="Times New Roman" w:eastAsia="宋体" w:cs="Times New Roman"/>
                <w:color w:val="000000" w:themeColor="text1"/>
                <w:sz w:val="24"/>
                <w:lang w:val="en-US" w:eastAsia="zh-CN"/>
                <w14:textFill>
                  <w14:solidFill>
                    <w14:schemeClr w14:val="tx1"/>
                  </w14:solidFill>
                </w14:textFill>
              </w:rPr>
              <w:t>）排放执行江苏省地标</w:t>
            </w:r>
            <w:r>
              <w:rPr>
                <w:rFonts w:hint="default" w:ascii="Times New Roman" w:hAnsi="Times New Roman" w:eastAsia="宋体" w:cs="Times New Roman"/>
                <w:color w:val="000000" w:themeColor="text1"/>
                <w:sz w:val="24"/>
                <w14:textFill>
                  <w14:solidFill>
                    <w14:schemeClr w14:val="tx1"/>
                  </w14:solidFill>
                </w14:textFill>
              </w:rPr>
              <w:t>《大气污染物综合排放标准》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DB32/4041-2021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中标准限值</w:t>
            </w:r>
            <w:r>
              <w:rPr>
                <w:rFonts w:hint="eastAsia" w:ascii="Times New Roman" w:hAnsi="Times New Roman" w:eastAsia="宋体" w:cs="Times New Roman"/>
                <w:color w:val="000000" w:themeColor="text1"/>
                <w:sz w:val="24"/>
                <w:lang w:val="en-US" w:eastAsia="zh-CN"/>
                <w14:textFill>
                  <w14:solidFill>
                    <w14:schemeClr w14:val="tx1"/>
                  </w14:solidFill>
                </w14:textFill>
              </w:rPr>
              <w:t>中表3</w:t>
            </w:r>
            <w:r>
              <w:rPr>
                <w:rFonts w:hint="default" w:ascii="Times New Roman" w:hAnsi="Times New Roman" w:eastAsia="宋体" w:cs="Times New Roman"/>
                <w:color w:val="000000" w:themeColor="text1"/>
                <w:sz w:val="24"/>
                <w:lang w:val="en-US" w:eastAsia="zh-CN"/>
                <w14:textFill>
                  <w14:solidFill>
                    <w14:schemeClr w14:val="tx1"/>
                  </w14:solidFill>
                </w14:textFill>
              </w:rPr>
              <w:t>标准</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具体标准值见下表。</w:t>
            </w:r>
          </w:p>
          <w:p w14:paraId="3815D1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大气污染物排放标准</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736"/>
              <w:gridCol w:w="1500"/>
              <w:gridCol w:w="1777"/>
              <w:gridCol w:w="2412"/>
            </w:tblGrid>
            <w:tr w14:paraId="584D8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0" w:type="pct"/>
                  <w:tcBorders>
                    <w:tl2br w:val="nil"/>
                    <w:tr2bl w:val="nil"/>
                  </w:tcBorders>
                  <w:noWrap w:val="0"/>
                  <w:vAlign w:val="center"/>
                </w:tcPr>
                <w:p w14:paraId="3402D1BE">
                  <w:pPr>
                    <w:pStyle w:val="6"/>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1007" w:type="pct"/>
                  <w:tcBorders>
                    <w:tl2br w:val="nil"/>
                    <w:tr2bl w:val="nil"/>
                  </w:tcBorders>
                  <w:noWrap w:val="0"/>
                  <w:vAlign w:val="center"/>
                </w:tcPr>
                <w:p w14:paraId="391A800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最高允许排放浓度（</w:t>
                  </w: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2"/>
                      <w:sz w:val="21"/>
                      <w:szCs w:val="21"/>
                      <w14:textFill>
                        <w14:solidFill>
                          <w14:schemeClr w14:val="tx1"/>
                        </w14:solidFill>
                      </w14:textFill>
                    </w:rPr>
                    <w:t>）</w:t>
                  </w:r>
                </w:p>
              </w:tc>
              <w:tc>
                <w:tcPr>
                  <w:tcW w:w="870" w:type="pct"/>
                  <w:tcBorders>
                    <w:tl2br w:val="nil"/>
                    <w:tr2bl w:val="nil"/>
                  </w:tcBorders>
                  <w:noWrap w:val="0"/>
                  <w:vAlign w:val="center"/>
                </w:tcPr>
                <w:p w14:paraId="13723C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最高允许排放速率kg/h</w:t>
                  </w:r>
                </w:p>
              </w:tc>
              <w:tc>
                <w:tcPr>
                  <w:tcW w:w="1031" w:type="pct"/>
                  <w:tcBorders>
                    <w:tl2br w:val="nil"/>
                    <w:tr2bl w:val="nil"/>
                  </w:tcBorders>
                  <w:noWrap w:val="0"/>
                  <w:vAlign w:val="center"/>
                </w:tcPr>
                <w:p w14:paraId="3406246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无组织排放监控浓度</w:t>
                  </w:r>
                  <w:r>
                    <w:rPr>
                      <w:rFonts w:hint="default" w:ascii="Times New Roman" w:hAnsi="Times New Roman" w:eastAsia="宋体" w:cs="Times New Roman"/>
                      <w:b/>
                      <w:bCs/>
                      <w:color w:val="000000" w:themeColor="text1"/>
                      <w:kern w:val="2"/>
                      <w:sz w:val="21"/>
                      <w:szCs w:val="21"/>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2"/>
                      <w:sz w:val="21"/>
                      <w:szCs w:val="21"/>
                      <w14:textFill>
                        <w14:solidFill>
                          <w14:schemeClr w14:val="tx1"/>
                        </w14:solidFill>
                      </w14:textFill>
                    </w:rPr>
                    <w:t>）</w:t>
                  </w:r>
                </w:p>
              </w:tc>
              <w:tc>
                <w:tcPr>
                  <w:tcW w:w="1399" w:type="pct"/>
                  <w:tcBorders>
                    <w:tl2br w:val="nil"/>
                    <w:tr2bl w:val="nil"/>
                  </w:tcBorders>
                  <w:noWrap w:val="0"/>
                  <w:vAlign w:val="center"/>
                </w:tcPr>
                <w:p w14:paraId="4FD43AB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标准</w:t>
                  </w:r>
                </w:p>
              </w:tc>
            </w:tr>
            <w:tr w14:paraId="4297B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0" w:type="pct"/>
                  <w:tcBorders>
                    <w:tl2br w:val="nil"/>
                    <w:tr2bl w:val="nil"/>
                  </w:tcBorders>
                  <w:shd w:val="clear" w:color="auto" w:fill="auto"/>
                  <w:noWrap w:val="0"/>
                  <w:vAlign w:val="center"/>
                </w:tcPr>
                <w:p w14:paraId="4E699200">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shd w:val="clear" w:color="auto" w:fill="auto"/>
                      <w:lang w:val="en-US" w:eastAsia="zh-CN" w:bidi="ar-SA"/>
                      <w14:textFill>
                        <w14:solidFill>
                          <w14:schemeClr w14:val="tx1"/>
                        </w14:solidFill>
                      </w14:textFill>
                    </w:rPr>
                    <w:t>非甲烷总烃</w:t>
                  </w:r>
                </w:p>
              </w:tc>
              <w:tc>
                <w:tcPr>
                  <w:tcW w:w="1670" w:type="dxa"/>
                  <w:tcBorders>
                    <w:tl2br w:val="nil"/>
                    <w:tr2bl w:val="nil"/>
                  </w:tcBorders>
                  <w:shd w:val="clear" w:color="auto" w:fill="auto"/>
                  <w:noWrap w:val="0"/>
                  <w:vAlign w:val="center"/>
                </w:tcPr>
                <w:p w14:paraId="0E5F4152">
                  <w:pPr>
                    <w:widowControl/>
                    <w:adjustRightInd w:val="0"/>
                    <w:snapToGri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60</w:t>
                  </w:r>
                </w:p>
              </w:tc>
              <w:tc>
                <w:tcPr>
                  <w:tcW w:w="1443" w:type="dxa"/>
                  <w:tcBorders>
                    <w:tl2br w:val="nil"/>
                    <w:tr2bl w:val="nil"/>
                  </w:tcBorders>
                  <w:shd w:val="clear" w:color="auto" w:fill="auto"/>
                  <w:noWrap w:val="0"/>
                  <w:vAlign w:val="center"/>
                </w:tcPr>
                <w:p w14:paraId="21530503">
                  <w:pPr>
                    <w:widowControl/>
                    <w:adjustRightInd w:val="0"/>
                    <w:snapToGri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710" w:type="dxa"/>
                  <w:tcBorders>
                    <w:tl2br w:val="nil"/>
                    <w:tr2bl w:val="nil"/>
                  </w:tcBorders>
                  <w:shd w:val="clear" w:color="auto" w:fill="auto"/>
                  <w:noWrap w:val="0"/>
                  <w:vAlign w:val="center"/>
                </w:tcPr>
                <w:p w14:paraId="2C156E68">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4</w:t>
                  </w:r>
                </w:p>
              </w:tc>
              <w:tc>
                <w:tcPr>
                  <w:tcW w:w="1399" w:type="pct"/>
                  <w:vMerge w:val="restart"/>
                  <w:tcBorders>
                    <w:tl2br w:val="nil"/>
                    <w:tr2bl w:val="nil"/>
                  </w:tcBorders>
                  <w:noWrap w:val="0"/>
                  <w:vAlign w:val="center"/>
                </w:tcPr>
                <w:p w14:paraId="28D57C1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《大气污染物综合排放标准》（DB32/4041-2021）</w:t>
                  </w:r>
                </w:p>
              </w:tc>
            </w:tr>
            <w:tr w14:paraId="7A04A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0" w:type="pct"/>
                  <w:tcBorders>
                    <w:tl2br w:val="nil"/>
                    <w:tr2bl w:val="nil"/>
                  </w:tcBorders>
                  <w:shd w:val="clear" w:color="auto" w:fill="auto"/>
                  <w:noWrap w:val="0"/>
                  <w:vAlign w:val="center"/>
                </w:tcPr>
                <w:p w14:paraId="090121B5">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000000" w:themeColor="text1"/>
                      <w:kern w:val="2"/>
                      <w:sz w:val="21"/>
                      <w:szCs w:val="21"/>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u w:val="none"/>
                      <w:shd w:val="clear" w:color="auto" w:fill="auto"/>
                      <w:lang w:val="en-US" w:eastAsia="zh-CN" w:bidi="ar-SA"/>
                      <w14:textFill>
                        <w14:solidFill>
                          <w14:schemeClr w14:val="tx1"/>
                        </w14:solidFill>
                      </w14:textFill>
                    </w:rPr>
                    <w:t>甲醇</w:t>
                  </w:r>
                </w:p>
              </w:tc>
              <w:tc>
                <w:tcPr>
                  <w:tcW w:w="1007" w:type="pct"/>
                  <w:tcBorders>
                    <w:tl2br w:val="nil"/>
                    <w:tr2bl w:val="nil"/>
                  </w:tcBorders>
                  <w:shd w:val="clear" w:color="auto" w:fill="auto"/>
                  <w:noWrap w:val="0"/>
                  <w:vAlign w:val="center"/>
                </w:tcPr>
                <w:p w14:paraId="7303883F">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870" w:type="pct"/>
                  <w:tcBorders>
                    <w:tl2br w:val="nil"/>
                    <w:tr2bl w:val="nil"/>
                  </w:tcBorders>
                  <w:shd w:val="clear" w:color="auto" w:fill="auto"/>
                  <w:noWrap w:val="0"/>
                  <w:vAlign w:val="center"/>
                </w:tcPr>
                <w:p w14:paraId="31A2A729">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1.8</w:t>
                  </w:r>
                </w:p>
              </w:tc>
              <w:tc>
                <w:tcPr>
                  <w:tcW w:w="1031" w:type="pct"/>
                  <w:tcBorders>
                    <w:tl2br w:val="nil"/>
                    <w:tr2bl w:val="nil"/>
                  </w:tcBorders>
                  <w:shd w:val="clear" w:color="auto" w:fill="auto"/>
                  <w:noWrap w:val="0"/>
                  <w:vAlign w:val="center"/>
                </w:tcPr>
                <w:p w14:paraId="3AE196D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1399" w:type="pct"/>
                  <w:vMerge w:val="continue"/>
                  <w:tcBorders>
                    <w:tl2br w:val="nil"/>
                    <w:tr2bl w:val="nil"/>
                  </w:tcBorders>
                  <w:noWrap w:val="0"/>
                  <w:vAlign w:val="center"/>
                </w:tcPr>
                <w:p w14:paraId="06423FC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4FC27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0" w:type="pct"/>
                  <w:tcBorders>
                    <w:tl2br w:val="nil"/>
                    <w:tr2bl w:val="nil"/>
                  </w:tcBorders>
                  <w:shd w:val="clear" w:color="auto" w:fill="auto"/>
                  <w:noWrap w:val="0"/>
                  <w:vAlign w:val="center"/>
                </w:tcPr>
                <w:p w14:paraId="4E85CF75">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000000" w:themeColor="text1"/>
                      <w:kern w:val="2"/>
                      <w:sz w:val="21"/>
                      <w:szCs w:val="21"/>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u w:val="none"/>
                      <w:shd w:val="clear" w:color="auto" w:fill="auto"/>
                      <w:lang w:val="en-US" w:eastAsia="zh-CN" w:bidi="ar-SA"/>
                      <w14:textFill>
                        <w14:solidFill>
                          <w14:schemeClr w14:val="tx1"/>
                        </w14:solidFill>
                      </w14:textFill>
                    </w:rPr>
                    <w:t>硫酸雾</w:t>
                  </w:r>
                </w:p>
              </w:tc>
              <w:tc>
                <w:tcPr>
                  <w:tcW w:w="1007" w:type="pct"/>
                  <w:tcBorders>
                    <w:tl2br w:val="nil"/>
                    <w:tr2bl w:val="nil"/>
                  </w:tcBorders>
                  <w:shd w:val="clear" w:color="auto" w:fill="auto"/>
                  <w:noWrap w:val="0"/>
                  <w:vAlign w:val="center"/>
                </w:tcPr>
                <w:p w14:paraId="32E89BB5">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870" w:type="pct"/>
                  <w:tcBorders>
                    <w:tl2br w:val="nil"/>
                    <w:tr2bl w:val="nil"/>
                  </w:tcBorders>
                  <w:shd w:val="clear" w:color="auto" w:fill="auto"/>
                  <w:noWrap w:val="0"/>
                  <w:vAlign w:val="center"/>
                </w:tcPr>
                <w:p w14:paraId="440BE5C8">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1.1</w:t>
                  </w:r>
                </w:p>
              </w:tc>
              <w:tc>
                <w:tcPr>
                  <w:tcW w:w="1031" w:type="pct"/>
                  <w:tcBorders>
                    <w:tl2br w:val="nil"/>
                    <w:tr2bl w:val="nil"/>
                  </w:tcBorders>
                  <w:shd w:val="clear" w:color="auto" w:fill="auto"/>
                  <w:noWrap w:val="0"/>
                  <w:vAlign w:val="center"/>
                </w:tcPr>
                <w:p w14:paraId="260D9F6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0.3</w:t>
                  </w:r>
                </w:p>
              </w:tc>
              <w:tc>
                <w:tcPr>
                  <w:tcW w:w="1399" w:type="pct"/>
                  <w:vMerge w:val="continue"/>
                  <w:tcBorders>
                    <w:tl2br w:val="nil"/>
                    <w:tr2bl w:val="nil"/>
                  </w:tcBorders>
                  <w:noWrap w:val="0"/>
                  <w:vAlign w:val="center"/>
                </w:tcPr>
                <w:p w14:paraId="65B9B76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bl>
          <w:p w14:paraId="6787E122">
            <w:pPr>
              <w:pStyle w:val="83"/>
              <w:spacing w:before="120" w:line="360" w:lineRule="auto"/>
              <w:ind w:firstLine="480" w:firstLineChars="200"/>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厂区内</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无组织排放标准执行</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《挥发性有机物无组织排放控制标准》（GB37822-2019）表A.1厂区内VOCs无组织排放限值</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，具体见</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表3-8</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w:t>
            </w:r>
          </w:p>
          <w:p w14:paraId="1319007A">
            <w:pPr>
              <w:jc w:val="center"/>
              <w:rPr>
                <w:rFonts w:hint="default" w:ascii="Times New Roman" w:hAnsi="Times New Roman" w:eastAsia="宋体" w:cs="Times New Roman"/>
                <w:b/>
                <w:color w:val="000000" w:themeColor="text1"/>
                <w:sz w:val="24"/>
                <w:szCs w:val="20"/>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表3-</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厂区内VOCs无组织排放限值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897"/>
              <w:gridCol w:w="2927"/>
              <w:gridCol w:w="2327"/>
            </w:tblGrid>
            <w:tr w14:paraId="6E5AB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52" w:type="pct"/>
                  <w:noWrap w:val="0"/>
                  <w:vAlign w:val="center"/>
                </w:tcPr>
                <w:p w14:paraId="0B3C6F75">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污染物</w:t>
                  </w:r>
                </w:p>
              </w:tc>
              <w:tc>
                <w:tcPr>
                  <w:tcW w:w="1100" w:type="pct"/>
                  <w:noWrap w:val="0"/>
                  <w:vAlign w:val="center"/>
                </w:tcPr>
                <w:p w14:paraId="292C57C1">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特别排放限值（mg/m</w:t>
                  </w:r>
                  <w:r>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Cs w:val="21"/>
                      <w:highlight w:val="none"/>
                      <w14:textFill>
                        <w14:solidFill>
                          <w14:schemeClr w14:val="tx1"/>
                        </w14:solidFill>
                      </w14:textFill>
                    </w:rPr>
                    <w:t>）</w:t>
                  </w:r>
                </w:p>
              </w:tc>
              <w:tc>
                <w:tcPr>
                  <w:tcW w:w="1697" w:type="pct"/>
                  <w:noWrap w:val="0"/>
                  <w:vAlign w:val="center"/>
                </w:tcPr>
                <w:p w14:paraId="1E5B317C">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限值含义</w:t>
                  </w:r>
                </w:p>
              </w:tc>
              <w:tc>
                <w:tcPr>
                  <w:tcW w:w="1349" w:type="pct"/>
                  <w:noWrap w:val="0"/>
                  <w:vAlign w:val="center"/>
                </w:tcPr>
                <w:p w14:paraId="32F783CB">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无组织排放监控位置</w:t>
                  </w:r>
                </w:p>
              </w:tc>
            </w:tr>
            <w:tr w14:paraId="08542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 w:type="pct"/>
                  <w:vMerge w:val="restart"/>
                  <w:noWrap w:val="0"/>
                  <w:vAlign w:val="center"/>
                </w:tcPr>
                <w:p w14:paraId="5B36171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NMHC</w:t>
                  </w:r>
                </w:p>
              </w:tc>
              <w:tc>
                <w:tcPr>
                  <w:tcW w:w="1100" w:type="pct"/>
                  <w:noWrap w:val="0"/>
                  <w:vAlign w:val="center"/>
                </w:tcPr>
                <w:p w14:paraId="2EA8CC6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p>
              </w:tc>
              <w:tc>
                <w:tcPr>
                  <w:tcW w:w="1697" w:type="pct"/>
                  <w:noWrap w:val="0"/>
                  <w:vAlign w:val="center"/>
                </w:tcPr>
                <w:p w14:paraId="1609769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监控点处1h平均浓度值</w:t>
                  </w:r>
                </w:p>
              </w:tc>
              <w:tc>
                <w:tcPr>
                  <w:tcW w:w="1349" w:type="pct"/>
                  <w:vMerge w:val="restart"/>
                  <w:noWrap w:val="0"/>
                  <w:vAlign w:val="center"/>
                </w:tcPr>
                <w:p w14:paraId="68D766BE">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在厂房外设置监控点</w:t>
                  </w:r>
                </w:p>
              </w:tc>
            </w:tr>
            <w:tr w14:paraId="6993D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 w:type="pct"/>
                  <w:vMerge w:val="continue"/>
                  <w:noWrap w:val="0"/>
                  <w:vAlign w:val="center"/>
                </w:tcPr>
                <w:p w14:paraId="39E3DBF6">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00" w:type="pct"/>
                  <w:noWrap w:val="0"/>
                  <w:vAlign w:val="center"/>
                </w:tcPr>
                <w:p w14:paraId="0195335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w:t>
                  </w:r>
                </w:p>
              </w:tc>
              <w:tc>
                <w:tcPr>
                  <w:tcW w:w="1697" w:type="pct"/>
                  <w:noWrap w:val="0"/>
                  <w:vAlign w:val="center"/>
                </w:tcPr>
                <w:p w14:paraId="5FD076D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监控点处任意一次浓度值</w:t>
                  </w:r>
                </w:p>
              </w:tc>
              <w:tc>
                <w:tcPr>
                  <w:tcW w:w="1349" w:type="pct"/>
                  <w:vMerge w:val="continue"/>
                  <w:noWrap w:val="0"/>
                  <w:vAlign w:val="center"/>
                </w:tcPr>
                <w:p w14:paraId="5513BB7D">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p>
              </w:tc>
            </w:tr>
          </w:tbl>
          <w:p w14:paraId="56957DFF">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2、废水</w:t>
            </w:r>
          </w:p>
          <w:p w14:paraId="0C6F57F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外排废水主要为生活污水，</w:t>
            </w:r>
            <w:r>
              <w:rPr>
                <w:rFonts w:hint="default" w:ascii="Times New Roman" w:hAnsi="Times New Roman" w:eastAsia="宋体" w:cs="Times New Roman"/>
                <w:bCs/>
                <w:color w:val="000000" w:themeColor="text1"/>
                <w:sz w:val="24"/>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4"/>
                <w14:textFill>
                  <w14:solidFill>
                    <w14:schemeClr w14:val="tx1"/>
                  </w14:solidFill>
                </w14:textFill>
              </w:rPr>
              <w:t>常州市金坛区第二污水处理厂</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执行常州市金坛区第二污水处理厂</w:t>
            </w:r>
            <w:r>
              <w:rPr>
                <w:rFonts w:hint="eastAsia" w:ascii="Times New Roman" w:hAnsi="Times New Roman" w:eastAsia="宋体" w:cs="Times New Roman"/>
                <w:color w:val="000000" w:themeColor="text1"/>
                <w:sz w:val="24"/>
                <w:lang w:val="en-US" w:eastAsia="zh-CN"/>
                <w14:textFill>
                  <w14:solidFill>
                    <w14:schemeClr w14:val="tx1"/>
                  </w14:solidFill>
                </w14:textFill>
              </w:rPr>
              <w:t>接管</w:t>
            </w:r>
            <w:r>
              <w:rPr>
                <w:rFonts w:hint="default" w:ascii="Times New Roman" w:hAnsi="Times New Roman" w:eastAsia="宋体" w:cs="Times New Roman"/>
                <w:color w:val="000000" w:themeColor="text1"/>
                <w:sz w:val="24"/>
                <w14:textFill>
                  <w14:solidFill>
                    <w14:schemeClr w14:val="tx1"/>
                  </w14:solidFill>
                </w14:textFill>
              </w:rPr>
              <w:t>标准，常州市金坛区第二污水处理厂处理后尾水排入尧塘河，排放标准执行《城镇污水处理厂污染物排放标准》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GB18918-2002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中一级A标准以及《太湖地区城镇污水处理厂及重点行业主要水污染物排放限值》（DB32/1072-2018）中表2城镇污水处理标准</w:t>
            </w:r>
            <w:r>
              <w:rPr>
                <w:rFonts w:hint="eastAsia" w:ascii="Times New Roman" w:hAnsi="Times New Roman" w:eastAsia="宋体" w:cs="Times New Roman"/>
                <w:color w:val="000000" w:themeColor="text1"/>
                <w:sz w:val="24"/>
                <w:lang w:eastAsia="zh-CN"/>
                <w14:textFill>
                  <w14:solidFill>
                    <w14:schemeClr w14:val="tx1"/>
                  </w14:solidFill>
                </w14:textFill>
              </w:rPr>
              <w:t>。2026年3月28日起执行《城镇污水处理厂污染物排放标准》（DB32/4440-2022）。</w:t>
            </w:r>
            <w:r>
              <w:rPr>
                <w:rFonts w:hint="default" w:ascii="Times New Roman" w:hAnsi="Times New Roman" w:eastAsia="宋体" w:cs="Times New Roman"/>
                <w:color w:val="000000" w:themeColor="text1"/>
                <w:sz w:val="24"/>
                <w14:textFill>
                  <w14:solidFill>
                    <w14:schemeClr w14:val="tx1"/>
                  </w14:solidFill>
                </w14:textFill>
              </w:rPr>
              <w:t>标准值参见下表。</w:t>
            </w:r>
          </w:p>
          <w:p w14:paraId="29EB7F1F">
            <w:pPr>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eastAsia" w:ascii="Times New Roman" w:hAnsi="Times New Roman" w:eastAsia="宋体" w:cs="Times New Roman"/>
                <w:b/>
                <w:color w:val="000000" w:themeColor="text1"/>
                <w:sz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14:textFill>
                  <w14:solidFill>
                    <w14:schemeClr w14:val="tx1"/>
                  </w14:solidFill>
                </w14:textFill>
              </w:rPr>
              <w:t xml:space="preserve">  废水排放标准 （单位：mg/L</w:t>
            </w:r>
            <w:r>
              <w:rPr>
                <w:rFonts w:hint="default" w:ascii="Times New Roman" w:hAnsi="Times New Roman" w:eastAsia="宋体" w:cs="Times New Roman"/>
                <w:b/>
                <w:color w:val="000000" w:themeColor="text1"/>
                <w:sz w:val="24"/>
                <w:lang w:eastAsia="zh-CN"/>
                <w14:textFill>
                  <w14:solidFill>
                    <w14:schemeClr w14:val="tx1"/>
                  </w14:solidFill>
                </w14:textFill>
              </w:rPr>
              <w:t>）</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757"/>
              <w:gridCol w:w="1442"/>
              <w:gridCol w:w="1220"/>
              <w:gridCol w:w="1009"/>
              <w:gridCol w:w="1149"/>
            </w:tblGrid>
            <w:tr w14:paraId="04C81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tcBorders>
                    <w:tl2br w:val="nil"/>
                    <w:tr2bl w:val="nil"/>
                  </w:tcBorders>
                  <w:noWrap w:val="0"/>
                  <w:tcMar>
                    <w:left w:w="0" w:type="dxa"/>
                    <w:right w:w="0" w:type="dxa"/>
                  </w:tcMar>
                  <w:vAlign w:val="center"/>
                </w:tcPr>
                <w:p w14:paraId="2D590E3F">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w:t>
                  </w:r>
                </w:p>
                <w:p w14:paraId="2977A9FC">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1598" w:type="pct"/>
                  <w:tcBorders>
                    <w:tl2br w:val="nil"/>
                    <w:tr2bl w:val="nil"/>
                  </w:tcBorders>
                  <w:noWrap w:val="0"/>
                  <w:vAlign w:val="center"/>
                </w:tcPr>
                <w:p w14:paraId="75C187D4">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执行标准</w:t>
                  </w:r>
                </w:p>
              </w:tc>
              <w:tc>
                <w:tcPr>
                  <w:tcW w:w="836" w:type="pct"/>
                  <w:tcBorders>
                    <w:tl2br w:val="nil"/>
                    <w:tr2bl w:val="nil"/>
                  </w:tcBorders>
                  <w:noWrap w:val="0"/>
                  <w:tcMar>
                    <w:left w:w="0" w:type="dxa"/>
                    <w:right w:w="0" w:type="dxa"/>
                  </w:tcMar>
                  <w:vAlign w:val="center"/>
                </w:tcPr>
                <w:p w14:paraId="3662DD1A">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取值表号及级别</w:t>
                  </w:r>
                </w:p>
              </w:tc>
              <w:tc>
                <w:tcPr>
                  <w:tcW w:w="707" w:type="pct"/>
                  <w:tcBorders>
                    <w:tl2br w:val="nil"/>
                    <w:tr2bl w:val="nil"/>
                  </w:tcBorders>
                  <w:noWrap w:val="0"/>
                  <w:vAlign w:val="center"/>
                </w:tcPr>
                <w:p w14:paraId="6B2F7A28">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污染物指标</w:t>
                  </w:r>
                </w:p>
              </w:tc>
              <w:tc>
                <w:tcPr>
                  <w:tcW w:w="585" w:type="pct"/>
                  <w:tcBorders>
                    <w:tl2br w:val="nil"/>
                    <w:tr2bl w:val="nil"/>
                  </w:tcBorders>
                  <w:noWrap w:val="0"/>
                  <w:vAlign w:val="center"/>
                </w:tcPr>
                <w:p w14:paraId="3989B9C3">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单位</w:t>
                  </w:r>
                </w:p>
              </w:tc>
              <w:tc>
                <w:tcPr>
                  <w:tcW w:w="666" w:type="pct"/>
                  <w:tcBorders>
                    <w:tl2br w:val="nil"/>
                    <w:tr2bl w:val="nil"/>
                  </w:tcBorders>
                  <w:noWrap w:val="0"/>
                  <w:vAlign w:val="center"/>
                </w:tcPr>
                <w:p w14:paraId="69D2E4EE">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标准限值</w:t>
                  </w:r>
                </w:p>
              </w:tc>
            </w:tr>
            <w:tr w14:paraId="04103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restart"/>
                  <w:tcBorders>
                    <w:tl2br w:val="nil"/>
                    <w:tr2bl w:val="nil"/>
                  </w:tcBorders>
                  <w:noWrap w:val="0"/>
                  <w:vAlign w:val="center"/>
                </w:tcPr>
                <w:p w14:paraId="5BE972BC">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DW001</w:t>
                  </w:r>
                </w:p>
              </w:tc>
              <w:tc>
                <w:tcPr>
                  <w:tcW w:w="1598" w:type="pct"/>
                  <w:vMerge w:val="restart"/>
                  <w:tcBorders>
                    <w:tl2br w:val="nil"/>
                    <w:tr2bl w:val="nil"/>
                  </w:tcBorders>
                  <w:noWrap w:val="0"/>
                  <w:vAlign w:val="center"/>
                </w:tcPr>
                <w:p w14:paraId="1C71A12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《金坛第二污水处理厂接管标准》</w:t>
                  </w:r>
                </w:p>
              </w:tc>
              <w:tc>
                <w:tcPr>
                  <w:tcW w:w="836" w:type="pct"/>
                  <w:vMerge w:val="restart"/>
                  <w:tcBorders>
                    <w:tl2br w:val="nil"/>
                    <w:tr2bl w:val="nil"/>
                  </w:tcBorders>
                  <w:noWrap w:val="0"/>
                  <w:vAlign w:val="center"/>
                </w:tcPr>
                <w:p w14:paraId="16ACCC8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07" w:type="pct"/>
                  <w:tcBorders>
                    <w:tl2br w:val="nil"/>
                    <w:tr2bl w:val="nil"/>
                  </w:tcBorders>
                  <w:noWrap w:val="0"/>
                  <w:vAlign w:val="center"/>
                </w:tcPr>
                <w:p w14:paraId="4827455C">
                  <w:pPr>
                    <w:adjustRightIn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w:t>
                  </w:r>
                </w:p>
              </w:tc>
              <w:tc>
                <w:tcPr>
                  <w:tcW w:w="585" w:type="pct"/>
                  <w:tcBorders>
                    <w:tl2br w:val="nil"/>
                    <w:tr2bl w:val="nil"/>
                  </w:tcBorders>
                  <w:noWrap w:val="0"/>
                  <w:vAlign w:val="center"/>
                </w:tcPr>
                <w:p w14:paraId="7A962CFB">
                  <w:pPr>
                    <w:adjustRightInd w:val="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无量纲</w:t>
                  </w:r>
                </w:p>
              </w:tc>
              <w:tc>
                <w:tcPr>
                  <w:tcW w:w="666" w:type="pct"/>
                  <w:tcBorders>
                    <w:tl2br w:val="nil"/>
                    <w:tr2bl w:val="nil"/>
                  </w:tcBorders>
                  <w:noWrap w:val="0"/>
                  <w:vAlign w:val="center"/>
                </w:tcPr>
                <w:p w14:paraId="6EE3A051">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w:t>
                  </w:r>
                </w:p>
              </w:tc>
            </w:tr>
            <w:tr w14:paraId="56864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508A95F3">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386EB577">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3BCADB05">
                  <w:pPr>
                    <w:adjustRightInd w:val="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707" w:type="pct"/>
                  <w:tcBorders>
                    <w:tl2br w:val="nil"/>
                    <w:tr2bl w:val="nil"/>
                  </w:tcBorders>
                  <w:noWrap w:val="0"/>
                  <w:vAlign w:val="center"/>
                </w:tcPr>
                <w:p w14:paraId="5A73256F">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COD</w:t>
                  </w:r>
                </w:p>
              </w:tc>
              <w:tc>
                <w:tcPr>
                  <w:tcW w:w="585" w:type="pct"/>
                  <w:tcBorders>
                    <w:tl2br w:val="nil"/>
                    <w:tr2bl w:val="nil"/>
                  </w:tcBorders>
                  <w:noWrap w:val="0"/>
                  <w:vAlign w:val="center"/>
                </w:tcPr>
                <w:p w14:paraId="7D128B59">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666" w:type="pct"/>
                  <w:tcBorders>
                    <w:tl2br w:val="nil"/>
                    <w:tr2bl w:val="nil"/>
                  </w:tcBorders>
                  <w:noWrap w:val="0"/>
                  <w:vAlign w:val="center"/>
                </w:tcPr>
                <w:p w14:paraId="0198D198">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500</w:t>
                  </w:r>
                </w:p>
              </w:tc>
            </w:tr>
            <w:tr w14:paraId="28596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162A2688">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181E5994">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0A025C50">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0665D5F2">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SS</w:t>
                  </w:r>
                </w:p>
              </w:tc>
              <w:tc>
                <w:tcPr>
                  <w:tcW w:w="585" w:type="pct"/>
                  <w:tcBorders>
                    <w:tl2br w:val="nil"/>
                    <w:tr2bl w:val="nil"/>
                  </w:tcBorders>
                  <w:noWrap w:val="0"/>
                  <w:vAlign w:val="center"/>
                </w:tcPr>
                <w:p w14:paraId="6E66301C">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666" w:type="pct"/>
                  <w:tcBorders>
                    <w:tl2br w:val="nil"/>
                    <w:tr2bl w:val="nil"/>
                  </w:tcBorders>
                  <w:noWrap w:val="0"/>
                  <w:vAlign w:val="center"/>
                </w:tcPr>
                <w:p w14:paraId="6C23F5DF">
                  <w:pPr>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w:t>
                  </w:r>
                  <w:r>
                    <w:rPr>
                      <w:rFonts w:hint="default" w:ascii="Times New Roman" w:hAnsi="Times New Roman" w:eastAsia="宋体" w:cs="Times New Roman"/>
                      <w:color w:val="000000" w:themeColor="text1"/>
                      <w14:textFill>
                        <w14:solidFill>
                          <w14:schemeClr w14:val="tx1"/>
                        </w14:solidFill>
                      </w14:textFill>
                    </w:rPr>
                    <w:t>0</w:t>
                  </w:r>
                </w:p>
              </w:tc>
            </w:tr>
            <w:tr w14:paraId="330C5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34F4E791">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21F3FA39">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4DB3144D">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1F492740">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NH</w:t>
                  </w:r>
                  <w:r>
                    <w:rPr>
                      <w:rFonts w:hint="default" w:ascii="Times New Roman" w:hAnsi="Times New Roman" w:cs="Times New Roman"/>
                      <w:bCs/>
                      <w:color w:val="000000" w:themeColor="text1"/>
                      <w:szCs w:val="21"/>
                      <w:vertAlign w:val="sub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-N</w:t>
                  </w:r>
                </w:p>
              </w:tc>
              <w:tc>
                <w:tcPr>
                  <w:tcW w:w="585" w:type="pct"/>
                  <w:tcBorders>
                    <w:tl2br w:val="nil"/>
                    <w:tr2bl w:val="nil"/>
                  </w:tcBorders>
                  <w:noWrap w:val="0"/>
                  <w:vAlign w:val="center"/>
                </w:tcPr>
                <w:p w14:paraId="3A5DA4DE">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666" w:type="pct"/>
                  <w:tcBorders>
                    <w:tl2br w:val="nil"/>
                    <w:tr2bl w:val="nil"/>
                  </w:tcBorders>
                  <w:noWrap w:val="0"/>
                  <w:vAlign w:val="center"/>
                </w:tcPr>
                <w:p w14:paraId="68BD2F4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5</w:t>
                  </w:r>
                </w:p>
              </w:tc>
            </w:tr>
            <w:tr w14:paraId="78A90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4A761478">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0B641524">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0CE1D45B">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654A3FDC">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TP</w:t>
                  </w:r>
                </w:p>
              </w:tc>
              <w:tc>
                <w:tcPr>
                  <w:tcW w:w="585" w:type="pct"/>
                  <w:tcBorders>
                    <w:tl2br w:val="nil"/>
                    <w:tr2bl w:val="nil"/>
                  </w:tcBorders>
                  <w:noWrap w:val="0"/>
                  <w:vAlign w:val="center"/>
                </w:tcPr>
                <w:p w14:paraId="4D30230E">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666" w:type="pct"/>
                  <w:tcBorders>
                    <w:tl2br w:val="nil"/>
                    <w:tr2bl w:val="nil"/>
                  </w:tcBorders>
                  <w:noWrap w:val="0"/>
                  <w:vAlign w:val="center"/>
                </w:tcPr>
                <w:p w14:paraId="6364C416">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r>
            <w:tr w14:paraId="4DF09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6576563A">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5F18F320">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1B432CF6">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49990DAC">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TN</w:t>
                  </w:r>
                </w:p>
              </w:tc>
              <w:tc>
                <w:tcPr>
                  <w:tcW w:w="585" w:type="pct"/>
                  <w:tcBorders>
                    <w:tl2br w:val="nil"/>
                    <w:tr2bl w:val="nil"/>
                  </w:tcBorders>
                  <w:noWrap w:val="0"/>
                  <w:vAlign w:val="center"/>
                </w:tcPr>
                <w:p w14:paraId="3A94D79B">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666" w:type="pct"/>
                  <w:tcBorders>
                    <w:tl2br w:val="nil"/>
                    <w:tr2bl w:val="nil"/>
                  </w:tcBorders>
                  <w:noWrap w:val="0"/>
                  <w:vAlign w:val="center"/>
                </w:tcPr>
                <w:p w14:paraId="0B2A3301">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0</w:t>
                  </w:r>
                </w:p>
              </w:tc>
            </w:tr>
            <w:tr w14:paraId="7F11B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605" w:type="pct"/>
                  <w:vMerge w:val="restart"/>
                  <w:tcBorders>
                    <w:tl2br w:val="nil"/>
                    <w:tr2bl w:val="nil"/>
                  </w:tcBorders>
                  <w:noWrap w:val="0"/>
                  <w:vAlign w:val="center"/>
                </w:tcPr>
                <w:p w14:paraId="688E3E1D">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污水处理厂排口</w:t>
                  </w:r>
                </w:p>
              </w:tc>
              <w:tc>
                <w:tcPr>
                  <w:tcW w:w="1598" w:type="pct"/>
                  <w:vMerge w:val="restart"/>
                  <w:tcBorders>
                    <w:tl2br w:val="nil"/>
                    <w:tr2bl w:val="nil"/>
                  </w:tcBorders>
                  <w:noWrap w:val="0"/>
                  <w:vAlign w:val="center"/>
                </w:tcPr>
                <w:p w14:paraId="6EC41C5E">
                  <w:pPr>
                    <w:adjustRightIn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《城镇污水处理厂污染排放标准》</w:t>
                  </w:r>
                  <w:r>
                    <w:rPr>
                      <w:rFonts w:hint="default"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GB 18918-2002</w:t>
                  </w:r>
                  <w:r>
                    <w:rPr>
                      <w:rFonts w:hint="default" w:ascii="Times New Roman" w:hAnsi="Times New Roman" w:cs="Times New Roman"/>
                      <w:bCs/>
                      <w:color w:val="000000" w:themeColor="text1"/>
                      <w:szCs w:val="21"/>
                      <w:lang w:eastAsia="zh-CN"/>
                      <w14:textFill>
                        <w14:solidFill>
                          <w14:schemeClr w14:val="tx1"/>
                        </w14:solidFill>
                      </w14:textFill>
                    </w:rPr>
                    <w:t>）</w:t>
                  </w:r>
                </w:p>
              </w:tc>
              <w:tc>
                <w:tcPr>
                  <w:tcW w:w="836" w:type="pct"/>
                  <w:vMerge w:val="restart"/>
                  <w:tcBorders>
                    <w:tl2br w:val="nil"/>
                    <w:tr2bl w:val="nil"/>
                  </w:tcBorders>
                  <w:noWrap w:val="0"/>
                  <w:vAlign w:val="center"/>
                </w:tcPr>
                <w:p w14:paraId="79743D90">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一级A</w:t>
                  </w:r>
                </w:p>
              </w:tc>
              <w:tc>
                <w:tcPr>
                  <w:tcW w:w="707" w:type="pct"/>
                  <w:tcBorders>
                    <w:tl2br w:val="nil"/>
                    <w:tr2bl w:val="nil"/>
                  </w:tcBorders>
                  <w:noWrap w:val="0"/>
                  <w:vAlign w:val="center"/>
                </w:tcPr>
                <w:p w14:paraId="42DC3A43">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pH</w:t>
                  </w:r>
                </w:p>
              </w:tc>
              <w:tc>
                <w:tcPr>
                  <w:tcW w:w="585" w:type="pct"/>
                  <w:tcBorders>
                    <w:tl2br w:val="nil"/>
                    <w:tr2bl w:val="nil"/>
                  </w:tcBorders>
                  <w:noWrap w:val="0"/>
                  <w:vAlign w:val="center"/>
                </w:tcPr>
                <w:p w14:paraId="2DBF9ADD">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无量纲</w:t>
                  </w:r>
                </w:p>
              </w:tc>
              <w:tc>
                <w:tcPr>
                  <w:tcW w:w="666" w:type="pct"/>
                  <w:tcBorders>
                    <w:tl2br w:val="nil"/>
                    <w:tr2bl w:val="nil"/>
                  </w:tcBorders>
                  <w:noWrap w:val="0"/>
                  <w:vAlign w:val="center"/>
                </w:tcPr>
                <w:p w14:paraId="70500F02">
                  <w:pPr>
                    <w:autoSpaceDE w:val="0"/>
                    <w:autoSpaceDN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w:t>
                  </w:r>
                </w:p>
              </w:tc>
            </w:tr>
            <w:tr w14:paraId="7C359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4DA192B8">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4F071FC8">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20F283CC">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55162388">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SS</w:t>
                  </w:r>
                </w:p>
              </w:tc>
              <w:tc>
                <w:tcPr>
                  <w:tcW w:w="585" w:type="pct"/>
                  <w:tcBorders>
                    <w:tl2br w:val="nil"/>
                    <w:tr2bl w:val="nil"/>
                  </w:tcBorders>
                  <w:noWrap w:val="0"/>
                  <w:vAlign w:val="center"/>
                </w:tcPr>
                <w:p w14:paraId="616E5B70">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666" w:type="pct"/>
                  <w:tcBorders>
                    <w:tl2br w:val="nil"/>
                    <w:tr2bl w:val="nil"/>
                  </w:tcBorders>
                  <w:noWrap w:val="0"/>
                  <w:vAlign w:val="center"/>
                </w:tcPr>
                <w:p w14:paraId="1D04B0C3">
                  <w:pPr>
                    <w:autoSpaceDE w:val="0"/>
                    <w:autoSpaceDN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r>
            <w:tr w14:paraId="6BAF2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550004F0">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restart"/>
                  <w:tcBorders>
                    <w:tl2br w:val="nil"/>
                    <w:tr2bl w:val="nil"/>
                  </w:tcBorders>
                  <w:noWrap w:val="0"/>
                  <w:vAlign w:val="center"/>
                </w:tcPr>
                <w:p w14:paraId="6CA2A64D">
                  <w:pPr>
                    <w:adjustRightIn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bookmarkStart w:id="9" w:name="OLE_LINK39"/>
                  <w:r>
                    <w:rPr>
                      <w:rFonts w:hint="default" w:ascii="Times New Roman" w:hAnsi="Times New Roman" w:eastAsia="宋体" w:cs="Times New Roman"/>
                      <w:color w:val="000000" w:themeColor="text1"/>
                      <w14:textFill>
                        <w14:solidFill>
                          <w14:schemeClr w14:val="tx1"/>
                        </w14:solidFill>
                      </w14:textFill>
                    </w:rPr>
                    <w:t>太湖地区城镇污水处理厂及重点工业行业主要水污染物排放限值</w:t>
                  </w:r>
                  <w:bookmarkEnd w:id="9"/>
                  <w:r>
                    <w:rPr>
                      <w:rFonts w:hint="default" w:ascii="Times New Roman" w:hAnsi="Times New Roman" w:eastAsia="宋体" w:cs="Times New Roman"/>
                      <w:color w:val="000000" w:themeColor="text1"/>
                      <w14:textFill>
                        <w14:solidFill>
                          <w14:schemeClr w14:val="tx1"/>
                        </w14:solidFill>
                      </w14:textFill>
                    </w:rPr>
                    <w:t>》（DB32/1072-2018）</w:t>
                  </w:r>
                </w:p>
              </w:tc>
              <w:tc>
                <w:tcPr>
                  <w:tcW w:w="836" w:type="pct"/>
                  <w:vMerge w:val="restart"/>
                  <w:tcBorders>
                    <w:tl2br w:val="nil"/>
                    <w:tr2bl w:val="nil"/>
                  </w:tcBorders>
                  <w:noWrap w:val="0"/>
                  <w:vAlign w:val="center"/>
                </w:tcPr>
                <w:p w14:paraId="70BE48D0">
                  <w:pPr>
                    <w:autoSpaceDE w:val="0"/>
                    <w:autoSpaceDN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w:t>
                  </w:r>
                </w:p>
              </w:tc>
              <w:tc>
                <w:tcPr>
                  <w:tcW w:w="707" w:type="pct"/>
                  <w:tcBorders>
                    <w:tl2br w:val="nil"/>
                    <w:tr2bl w:val="nil"/>
                  </w:tcBorders>
                  <w:noWrap w:val="0"/>
                  <w:vAlign w:val="center"/>
                </w:tcPr>
                <w:p w14:paraId="1040D604">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COD</w:t>
                  </w:r>
                </w:p>
              </w:tc>
              <w:tc>
                <w:tcPr>
                  <w:tcW w:w="585" w:type="pct"/>
                  <w:tcBorders>
                    <w:tl2br w:val="nil"/>
                    <w:tr2bl w:val="nil"/>
                  </w:tcBorders>
                  <w:noWrap w:val="0"/>
                  <w:vAlign w:val="center"/>
                </w:tcPr>
                <w:p w14:paraId="49ACDB07">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539AD8F6">
                  <w:pPr>
                    <w:autoSpaceDE w:val="0"/>
                    <w:autoSpaceDN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50</w:t>
                  </w:r>
                </w:p>
              </w:tc>
            </w:tr>
            <w:tr w14:paraId="6CF7F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noWrap w:val="0"/>
                  <w:vAlign w:val="center"/>
                </w:tcPr>
                <w:p w14:paraId="3D180B90">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4E188753">
                  <w:pPr>
                    <w:adjustRightIn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351D4CF2">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38487718">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NH</w:t>
                  </w:r>
                  <w:r>
                    <w:rPr>
                      <w:rFonts w:hint="default" w:ascii="Times New Roman" w:hAnsi="Times New Roman" w:cs="Times New Roman"/>
                      <w:bCs/>
                      <w:color w:val="000000" w:themeColor="text1"/>
                      <w:szCs w:val="21"/>
                      <w:vertAlign w:val="sub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-N</w:t>
                  </w:r>
                </w:p>
              </w:tc>
              <w:tc>
                <w:tcPr>
                  <w:tcW w:w="585" w:type="pct"/>
                  <w:tcBorders>
                    <w:tl2br w:val="nil"/>
                    <w:tr2bl w:val="nil"/>
                  </w:tcBorders>
                  <w:noWrap w:val="0"/>
                  <w:vAlign w:val="center"/>
                </w:tcPr>
                <w:p w14:paraId="71E4A7A4">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7852489B">
                  <w:pPr>
                    <w:autoSpaceDE w:val="0"/>
                    <w:autoSpaceDN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4（6）</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①</w:t>
                  </w:r>
                </w:p>
              </w:tc>
            </w:tr>
            <w:tr w14:paraId="6E403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05" w:type="pct"/>
                  <w:vMerge w:val="continue"/>
                  <w:tcBorders>
                    <w:tl2br w:val="nil"/>
                    <w:tr2bl w:val="nil"/>
                  </w:tcBorders>
                  <w:noWrap w:val="0"/>
                  <w:vAlign w:val="center"/>
                </w:tcPr>
                <w:p w14:paraId="7AA2DECA">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2E52C3D5">
                  <w:pPr>
                    <w:adjustRightIn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761AF842">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1166CD3B">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TP</w:t>
                  </w:r>
                </w:p>
              </w:tc>
              <w:tc>
                <w:tcPr>
                  <w:tcW w:w="585" w:type="pct"/>
                  <w:tcBorders>
                    <w:tl2br w:val="nil"/>
                    <w:tr2bl w:val="nil"/>
                  </w:tcBorders>
                  <w:noWrap w:val="0"/>
                  <w:vAlign w:val="center"/>
                </w:tcPr>
                <w:p w14:paraId="50E582E1">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326C33A2">
                  <w:pPr>
                    <w:autoSpaceDE w:val="0"/>
                    <w:autoSpaceDN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0.5</w:t>
                  </w:r>
                </w:p>
              </w:tc>
            </w:tr>
            <w:tr w14:paraId="5E8D2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605" w:type="pct"/>
                  <w:vMerge w:val="continue"/>
                  <w:tcBorders>
                    <w:tl2br w:val="nil"/>
                    <w:tr2bl w:val="nil"/>
                  </w:tcBorders>
                  <w:noWrap w:val="0"/>
                  <w:vAlign w:val="center"/>
                </w:tcPr>
                <w:p w14:paraId="3FDCE0F7">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5AF811CF">
                  <w:pPr>
                    <w:adjustRightIn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1C17642F">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7B7B2043">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TN</w:t>
                  </w:r>
                </w:p>
              </w:tc>
              <w:tc>
                <w:tcPr>
                  <w:tcW w:w="585" w:type="pct"/>
                  <w:tcBorders>
                    <w:tl2br w:val="nil"/>
                    <w:tr2bl w:val="nil"/>
                  </w:tcBorders>
                  <w:noWrap w:val="0"/>
                  <w:vAlign w:val="center"/>
                </w:tcPr>
                <w:p w14:paraId="0CAC760A">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6F13BC18">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12（15）</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①</w:t>
                  </w:r>
                </w:p>
              </w:tc>
            </w:tr>
            <w:tr w14:paraId="17F65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noWrap w:val="0"/>
                  <w:vAlign w:val="center"/>
                </w:tcPr>
                <w:p w14:paraId="54157F0A">
                  <w:pPr>
                    <w:adjustRightInd w:val="0"/>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restart"/>
                  <w:tcBorders>
                    <w:tl2br w:val="nil"/>
                    <w:tr2bl w:val="nil"/>
                  </w:tcBorders>
                  <w:noWrap w:val="0"/>
                  <w:vAlign w:val="center"/>
                </w:tcPr>
                <w:p w14:paraId="0B776422">
                  <w:pPr>
                    <w:pStyle w:val="94"/>
                    <w:spacing w:line="310" w:lineRule="exact"/>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《城镇污水处理厂污染物排放标准》（DB32/4440-2022）</w:t>
                  </w:r>
                </w:p>
                <w:p w14:paraId="22B7790D">
                  <w:pPr>
                    <w:autoSpaceDE w:val="0"/>
                    <w:autoSpaceDN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（2026年3月28日起施行）</w:t>
                  </w:r>
                </w:p>
              </w:tc>
              <w:tc>
                <w:tcPr>
                  <w:tcW w:w="836" w:type="pct"/>
                  <w:vMerge w:val="restart"/>
                  <w:tcBorders>
                    <w:tl2br w:val="nil"/>
                    <w:tr2bl w:val="nil"/>
                  </w:tcBorders>
                  <w:noWrap w:val="0"/>
                  <w:vAlign w:val="center"/>
                </w:tcPr>
                <w:p w14:paraId="02D96931">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表1C标准</w:t>
                  </w:r>
                </w:p>
              </w:tc>
              <w:tc>
                <w:tcPr>
                  <w:tcW w:w="707" w:type="pct"/>
                  <w:tcBorders>
                    <w:tl2br w:val="nil"/>
                    <w:tr2bl w:val="nil"/>
                  </w:tcBorders>
                  <w:noWrap w:val="0"/>
                  <w:vAlign w:val="center"/>
                </w:tcPr>
                <w:p w14:paraId="6C963535">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pH</w:t>
                  </w:r>
                </w:p>
              </w:tc>
              <w:tc>
                <w:tcPr>
                  <w:tcW w:w="585" w:type="pct"/>
                  <w:tcBorders>
                    <w:tl2br w:val="nil"/>
                    <w:tr2bl w:val="nil"/>
                  </w:tcBorders>
                  <w:shd w:val="clear" w:color="auto" w:fill="auto"/>
                  <w:noWrap w:val="0"/>
                  <w:vAlign w:val="center"/>
                </w:tcPr>
                <w:p w14:paraId="348EC934">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无量纲</w:t>
                  </w:r>
                </w:p>
              </w:tc>
              <w:tc>
                <w:tcPr>
                  <w:tcW w:w="1119" w:type="dxa"/>
                  <w:tcBorders>
                    <w:tl2br w:val="nil"/>
                    <w:tr2bl w:val="nil"/>
                  </w:tcBorders>
                  <w:noWrap w:val="0"/>
                  <w:vAlign w:val="center"/>
                </w:tcPr>
                <w:p w14:paraId="58CE63D2">
                  <w:pPr>
                    <w:pStyle w:val="94"/>
                    <w:spacing w:line="31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6～9</w:t>
                  </w:r>
                </w:p>
              </w:tc>
            </w:tr>
            <w:tr w14:paraId="3AA7B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noWrap w:val="0"/>
                  <w:vAlign w:val="center"/>
                </w:tcPr>
                <w:p w14:paraId="6CCDCD07">
                  <w:pPr>
                    <w:jc w:val="center"/>
                    <w:rPr>
                      <w:color w:val="000000" w:themeColor="text1"/>
                      <w14:textFill>
                        <w14:solidFill>
                          <w14:schemeClr w14:val="tx1"/>
                        </w14:solidFill>
                      </w14:textFill>
                    </w:rPr>
                  </w:pPr>
                </w:p>
              </w:tc>
              <w:tc>
                <w:tcPr>
                  <w:tcW w:w="1598" w:type="pct"/>
                  <w:vMerge w:val="continue"/>
                  <w:tcBorders>
                    <w:tl2br w:val="nil"/>
                    <w:tr2bl w:val="nil"/>
                  </w:tcBorders>
                  <w:noWrap w:val="0"/>
                  <w:vAlign w:val="center"/>
                </w:tcPr>
                <w:p w14:paraId="67B86398">
                  <w:pPr>
                    <w:jc w:val="center"/>
                    <w:rPr>
                      <w:color w:val="000000" w:themeColor="text1"/>
                      <w14:textFill>
                        <w14:solidFill>
                          <w14:schemeClr w14:val="tx1"/>
                        </w14:solidFill>
                      </w14:textFill>
                    </w:rPr>
                  </w:pPr>
                </w:p>
              </w:tc>
              <w:tc>
                <w:tcPr>
                  <w:tcW w:w="836" w:type="pct"/>
                  <w:vMerge w:val="continue"/>
                  <w:tcBorders>
                    <w:tl2br w:val="nil"/>
                    <w:tr2bl w:val="nil"/>
                  </w:tcBorders>
                  <w:noWrap w:val="0"/>
                  <w:vAlign w:val="center"/>
                </w:tcPr>
                <w:p w14:paraId="7F186C92">
                  <w:pPr>
                    <w:jc w:val="center"/>
                    <w:rPr>
                      <w:color w:val="000000" w:themeColor="text1"/>
                      <w14:textFill>
                        <w14:solidFill>
                          <w14:schemeClr w14:val="tx1"/>
                        </w14:solidFill>
                      </w14:textFill>
                    </w:rPr>
                  </w:pPr>
                </w:p>
              </w:tc>
              <w:tc>
                <w:tcPr>
                  <w:tcW w:w="707" w:type="pct"/>
                  <w:tcBorders>
                    <w:tl2br w:val="nil"/>
                    <w:tr2bl w:val="nil"/>
                  </w:tcBorders>
                  <w:noWrap w:val="0"/>
                  <w:vAlign w:val="center"/>
                </w:tcPr>
                <w:p w14:paraId="258E89D3">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COD</w:t>
                  </w:r>
                </w:p>
              </w:tc>
              <w:tc>
                <w:tcPr>
                  <w:tcW w:w="585" w:type="pct"/>
                  <w:tcBorders>
                    <w:tl2br w:val="nil"/>
                    <w:tr2bl w:val="nil"/>
                  </w:tcBorders>
                  <w:shd w:val="clear" w:color="auto" w:fill="auto"/>
                  <w:noWrap w:val="0"/>
                  <w:vAlign w:val="center"/>
                </w:tcPr>
                <w:p w14:paraId="016774BD">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16883355">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50</w:t>
                  </w:r>
                </w:p>
              </w:tc>
            </w:tr>
            <w:tr w14:paraId="74420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noWrap w:val="0"/>
                  <w:vAlign w:val="center"/>
                </w:tcPr>
                <w:p w14:paraId="1E26DDB9">
                  <w:pPr>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2D36C1C2">
                  <w:pPr>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20559133">
                  <w:pPr>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10C61BC5">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SS</w:t>
                  </w:r>
                </w:p>
              </w:tc>
              <w:tc>
                <w:tcPr>
                  <w:tcW w:w="585" w:type="pct"/>
                  <w:tcBorders>
                    <w:tl2br w:val="nil"/>
                    <w:tr2bl w:val="nil"/>
                  </w:tcBorders>
                  <w:shd w:val="clear" w:color="auto" w:fill="auto"/>
                  <w:noWrap w:val="0"/>
                  <w:vAlign w:val="center"/>
                </w:tcPr>
                <w:p w14:paraId="740A6ED6">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192FF175">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10</w:t>
                  </w:r>
                </w:p>
              </w:tc>
            </w:tr>
            <w:tr w14:paraId="3067C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noWrap w:val="0"/>
                  <w:vAlign w:val="center"/>
                </w:tcPr>
                <w:p w14:paraId="57BD4A14">
                  <w:pPr>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71966083">
                  <w:pPr>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3C0EF33D">
                  <w:pPr>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646959B8">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NH</w:t>
                  </w:r>
                  <w:r>
                    <w:rPr>
                      <w:rFonts w:hint="default" w:ascii="Times New Roman" w:hAnsi="Times New Roman" w:cs="Times New Roman"/>
                      <w:bCs/>
                      <w:color w:val="000000" w:themeColor="text1"/>
                      <w:szCs w:val="21"/>
                      <w:vertAlign w:val="sub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-N</w:t>
                  </w:r>
                </w:p>
              </w:tc>
              <w:tc>
                <w:tcPr>
                  <w:tcW w:w="585" w:type="pct"/>
                  <w:tcBorders>
                    <w:tl2br w:val="nil"/>
                    <w:tr2bl w:val="nil"/>
                  </w:tcBorders>
                  <w:shd w:val="clear" w:color="auto" w:fill="auto"/>
                  <w:noWrap w:val="0"/>
                  <w:vAlign w:val="center"/>
                </w:tcPr>
                <w:p w14:paraId="6E80BA64">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4BFBA788">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4</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vertAlign w:val="superscript"/>
                      <w:lang w:val="en-US" w:eastAsia="zh-CN"/>
                      <w14:textFill>
                        <w14:solidFill>
                          <w14:schemeClr w14:val="tx1"/>
                        </w14:solidFill>
                      </w14:textFill>
                    </w:rPr>
                    <w:t>②</w:t>
                  </w:r>
                </w:p>
              </w:tc>
            </w:tr>
            <w:tr w14:paraId="109CE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noWrap w:val="0"/>
                  <w:vAlign w:val="center"/>
                </w:tcPr>
                <w:p w14:paraId="707B831B">
                  <w:pPr>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487F3B07">
                  <w:pPr>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5F0039D6">
                  <w:pPr>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2061A4FC">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TP</w:t>
                  </w:r>
                </w:p>
              </w:tc>
              <w:tc>
                <w:tcPr>
                  <w:tcW w:w="585" w:type="pct"/>
                  <w:tcBorders>
                    <w:tl2br w:val="nil"/>
                    <w:tr2bl w:val="nil"/>
                  </w:tcBorders>
                  <w:shd w:val="clear" w:color="auto" w:fill="auto"/>
                  <w:noWrap w:val="0"/>
                  <w:vAlign w:val="center"/>
                </w:tcPr>
                <w:p w14:paraId="2FCC045B">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1E7B3F8C">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0.5</w:t>
                  </w:r>
                </w:p>
              </w:tc>
            </w:tr>
            <w:tr w14:paraId="206E9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noWrap w:val="0"/>
                  <w:vAlign w:val="center"/>
                </w:tcPr>
                <w:p w14:paraId="5AE6AFBF">
                  <w:pPr>
                    <w:jc w:val="center"/>
                    <w:rPr>
                      <w:rFonts w:hint="default" w:ascii="Times New Roman" w:hAnsi="Times New Roman" w:cs="Times New Roman"/>
                      <w:bCs/>
                      <w:color w:val="000000" w:themeColor="text1"/>
                      <w:szCs w:val="21"/>
                      <w14:textFill>
                        <w14:solidFill>
                          <w14:schemeClr w14:val="tx1"/>
                        </w14:solidFill>
                      </w14:textFill>
                    </w:rPr>
                  </w:pPr>
                </w:p>
              </w:tc>
              <w:tc>
                <w:tcPr>
                  <w:tcW w:w="1598" w:type="pct"/>
                  <w:vMerge w:val="continue"/>
                  <w:tcBorders>
                    <w:tl2br w:val="nil"/>
                    <w:tr2bl w:val="nil"/>
                  </w:tcBorders>
                  <w:noWrap w:val="0"/>
                  <w:vAlign w:val="center"/>
                </w:tcPr>
                <w:p w14:paraId="4E34213E">
                  <w:pPr>
                    <w:jc w:val="center"/>
                    <w:rPr>
                      <w:rFonts w:hint="default" w:ascii="Times New Roman" w:hAnsi="Times New Roman" w:cs="Times New Roman"/>
                      <w:bCs/>
                      <w:color w:val="000000" w:themeColor="text1"/>
                      <w:szCs w:val="21"/>
                      <w14:textFill>
                        <w14:solidFill>
                          <w14:schemeClr w14:val="tx1"/>
                        </w14:solidFill>
                      </w14:textFill>
                    </w:rPr>
                  </w:pPr>
                </w:p>
              </w:tc>
              <w:tc>
                <w:tcPr>
                  <w:tcW w:w="836" w:type="pct"/>
                  <w:vMerge w:val="continue"/>
                  <w:tcBorders>
                    <w:tl2br w:val="nil"/>
                    <w:tr2bl w:val="nil"/>
                  </w:tcBorders>
                  <w:noWrap w:val="0"/>
                  <w:vAlign w:val="center"/>
                </w:tcPr>
                <w:p w14:paraId="46A2157A">
                  <w:pPr>
                    <w:jc w:val="center"/>
                    <w:rPr>
                      <w:rFonts w:hint="default" w:ascii="Times New Roman" w:hAnsi="Times New Roman" w:cs="Times New Roman"/>
                      <w:bCs/>
                      <w:color w:val="000000" w:themeColor="text1"/>
                      <w:szCs w:val="21"/>
                      <w14:textFill>
                        <w14:solidFill>
                          <w14:schemeClr w14:val="tx1"/>
                        </w14:solidFill>
                      </w14:textFill>
                    </w:rPr>
                  </w:pPr>
                </w:p>
              </w:tc>
              <w:tc>
                <w:tcPr>
                  <w:tcW w:w="707" w:type="pct"/>
                  <w:tcBorders>
                    <w:tl2br w:val="nil"/>
                    <w:tr2bl w:val="nil"/>
                  </w:tcBorders>
                  <w:noWrap w:val="0"/>
                  <w:vAlign w:val="center"/>
                </w:tcPr>
                <w:p w14:paraId="220C1A6D">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TN</w:t>
                  </w:r>
                </w:p>
              </w:tc>
              <w:tc>
                <w:tcPr>
                  <w:tcW w:w="585" w:type="pct"/>
                  <w:tcBorders>
                    <w:tl2br w:val="nil"/>
                    <w:tr2bl w:val="nil"/>
                  </w:tcBorders>
                  <w:shd w:val="clear" w:color="auto" w:fill="auto"/>
                  <w:noWrap w:val="0"/>
                  <w:vAlign w:val="center"/>
                </w:tcPr>
                <w:p w14:paraId="74338496">
                  <w:pPr>
                    <w:adjustRightIn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mg/L</w:t>
                  </w:r>
                </w:p>
              </w:tc>
              <w:tc>
                <w:tcPr>
                  <w:tcW w:w="1119" w:type="dxa"/>
                  <w:tcBorders>
                    <w:tl2br w:val="nil"/>
                    <w:tr2bl w:val="nil"/>
                  </w:tcBorders>
                  <w:noWrap w:val="0"/>
                  <w:vAlign w:val="center"/>
                </w:tcPr>
                <w:p w14:paraId="35BCEADA">
                  <w:pPr>
                    <w:pStyle w:val="94"/>
                    <w:spacing w:line="31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12</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vertAlign w:val="superscript"/>
                      <w:lang w:val="en-US" w:eastAsia="zh-CN"/>
                      <w14:textFill>
                        <w14:solidFill>
                          <w14:schemeClr w14:val="tx1"/>
                        </w14:solidFill>
                      </w14:textFill>
                    </w:rPr>
                    <w:t>②</w:t>
                  </w:r>
                </w:p>
              </w:tc>
            </w:tr>
          </w:tbl>
          <w:p w14:paraId="0AB8413C">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*注：①括号外数值为水温＞12℃时的控制指标，括号内数值为水温≤12℃时的控制指标。</w:t>
            </w:r>
          </w:p>
          <w:p w14:paraId="50452E6F">
            <w:pPr>
              <w:ind w:firstLine="420"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②每年11月1日至次年3月31日执行括号内排放限值。</w:t>
            </w:r>
          </w:p>
          <w:p w14:paraId="52774EDB">
            <w:pPr>
              <w:pStyle w:val="84"/>
              <w:spacing w:before="46" w:line="359" w:lineRule="auto"/>
              <w:ind w:left="105" w:right="2" w:firstLine="48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项目</w:t>
            </w:r>
            <w:r>
              <w:rPr>
                <w:rFonts w:hint="eastAsia" w:ascii="Times New Roman" w:hAnsi="Times New Roman" w:cs="Times New Roman"/>
                <w:color w:val="000000" w:themeColor="text1"/>
                <w:sz w:val="24"/>
                <w:lang w:val="en-US" w:eastAsia="zh-CN"/>
                <w14:textFill>
                  <w14:solidFill>
                    <w14:schemeClr w14:val="tx1"/>
                  </w14:solidFill>
                </w14:textFill>
              </w:rPr>
              <w:t>综合废水</w:t>
            </w:r>
            <w:r>
              <w:rPr>
                <w:rFonts w:hint="default" w:ascii="Times New Roman" w:hAnsi="Times New Roman" w:cs="Times New Roman"/>
                <w:color w:val="000000" w:themeColor="text1"/>
                <w:spacing w:val="-1"/>
                <w14:textFill>
                  <w14:solidFill>
                    <w14:schemeClr w14:val="tx1"/>
                  </w14:solidFill>
                </w14:textFill>
              </w:rPr>
              <w:t>经企业的污水处理</w:t>
            </w:r>
            <w:r>
              <w:rPr>
                <w:rFonts w:hint="default" w:ascii="Times New Roman" w:hAnsi="Times New Roman" w:cs="Times New Roman"/>
                <w:color w:val="000000" w:themeColor="text1"/>
                <w:spacing w:val="-1"/>
                <w:lang w:val="en-US" w:eastAsia="zh-CN"/>
                <w14:textFill>
                  <w14:solidFill>
                    <w14:schemeClr w14:val="tx1"/>
                  </w14:solidFill>
                </w14:textFill>
              </w:rPr>
              <w:t>站</w:t>
            </w:r>
            <w:r>
              <w:rPr>
                <w:rFonts w:hint="default" w:ascii="Times New Roman" w:hAnsi="Times New Roman" w:cs="Times New Roman"/>
                <w:color w:val="000000" w:themeColor="text1"/>
                <w:spacing w:val="-1"/>
                <w14:textFill>
                  <w14:solidFill>
                    <w14:schemeClr w14:val="tx1"/>
                  </w14:solidFill>
                </w14:textFill>
              </w:rPr>
              <w:t>处理后</w:t>
            </w:r>
            <w:r>
              <w:rPr>
                <w:rFonts w:hint="default" w:ascii="Times New Roman" w:hAnsi="Times New Roman" w:cs="Times New Roman"/>
                <w:color w:val="000000" w:themeColor="text1"/>
                <w:spacing w:val="-1"/>
                <w:lang w:val="en-US" w:eastAsia="zh-CN"/>
                <w14:textFill>
                  <w14:solidFill>
                    <w14:schemeClr w14:val="tx1"/>
                  </w14:solidFill>
                </w14:textFill>
              </w:rPr>
              <w:t>回</w:t>
            </w:r>
            <w:r>
              <w:rPr>
                <w:rFonts w:hint="default" w:ascii="Times New Roman" w:hAnsi="Times New Roman" w:cs="Times New Roman"/>
                <w:color w:val="000000" w:themeColor="text1"/>
                <w:spacing w:val="-1"/>
                <w14:textFill>
                  <w14:solidFill>
                    <w14:schemeClr w14:val="tx1"/>
                  </w14:solidFill>
                </w14:textFill>
              </w:rPr>
              <w:t>用到</w:t>
            </w:r>
            <w:r>
              <w:rPr>
                <w:rFonts w:hint="eastAsia" w:ascii="Times New Roman" w:hAnsi="Times New Roman" w:cs="Times New Roman"/>
                <w:color w:val="000000" w:themeColor="text1"/>
                <w:spacing w:val="-1"/>
                <w:lang w:val="en-US" w:eastAsia="zh-CN"/>
                <w14:textFill>
                  <w14:solidFill>
                    <w14:schemeClr w14:val="tx1"/>
                  </w14:solidFill>
                </w14:textFill>
              </w:rPr>
              <w:t>喷淋</w:t>
            </w:r>
            <w:r>
              <w:rPr>
                <w:rFonts w:hint="default" w:ascii="Times New Roman" w:hAnsi="Times New Roman" w:cs="Times New Roman"/>
                <w:color w:val="000000" w:themeColor="text1"/>
                <w:spacing w:val="-1"/>
                <w:lang w:val="en-US" w:eastAsia="zh-CN"/>
                <w14:textFill>
                  <w14:solidFill>
                    <w14:schemeClr w14:val="tx1"/>
                  </w14:solidFill>
                </w14:textFill>
              </w:rPr>
              <w:t>清洗</w:t>
            </w:r>
            <w:r>
              <w:rPr>
                <w:rFonts w:hint="default" w:ascii="Times New Roman" w:hAnsi="Times New Roman" w:cs="Times New Roman"/>
                <w:color w:val="000000" w:themeColor="text1"/>
                <w:spacing w:val="-1"/>
                <w14:textFill>
                  <w14:solidFill>
                    <w14:schemeClr w14:val="tx1"/>
                  </w14:solidFill>
                </w14:textFill>
              </w:rPr>
              <w:t>工艺，</w:t>
            </w:r>
            <w:r>
              <w:rPr>
                <w:rFonts w:hint="default" w:ascii="Times New Roman" w:hAnsi="Times New Roman" w:cs="Times New Roman"/>
                <w:color w:val="000000" w:themeColor="text1"/>
                <w:spacing w:val="-2"/>
                <w14:textFill>
                  <w14:solidFill>
                    <w14:schemeClr w14:val="tx1"/>
                  </w14:solidFill>
                </w14:textFill>
              </w:rPr>
              <w:t>无行</w:t>
            </w:r>
            <w:r>
              <w:rPr>
                <w:rFonts w:hint="default" w:ascii="Times New Roman" w:hAnsi="Times New Roman" w:cs="Times New Roman"/>
                <w:color w:val="000000" w:themeColor="text1"/>
                <w:spacing w:val="-7"/>
                <w14:textFill>
                  <w14:solidFill>
                    <w14:schemeClr w14:val="tx1"/>
                  </w14:solidFill>
                </w14:textFill>
              </w:rPr>
              <w:t>业标准，回用水水质</w:t>
            </w:r>
            <w:r>
              <w:rPr>
                <w:rFonts w:hint="eastAsia" w:ascii="Times New Roman" w:hAnsi="Times New Roman" w:cs="Times New Roman"/>
                <w:color w:val="000000" w:themeColor="text1"/>
                <w:spacing w:val="-7"/>
                <w:lang w:eastAsia="zh-CN"/>
                <w14:textFill>
                  <w14:solidFill>
                    <w14:schemeClr w14:val="tx1"/>
                  </w14:solidFill>
                </w14:textFill>
              </w:rPr>
              <w:t>（</w:t>
            </w:r>
            <w:r>
              <w:rPr>
                <w:rFonts w:hint="eastAsia" w:ascii="Times New Roman" w:hAnsi="Times New Roman" w:cs="Times New Roman"/>
                <w:color w:val="000000" w:themeColor="text1"/>
                <w:spacing w:val="-7"/>
                <w:lang w:val="en-US" w:eastAsia="zh-CN"/>
                <w14:textFill>
                  <w14:solidFill>
                    <w14:schemeClr w14:val="tx1"/>
                  </w14:solidFill>
                </w14:textFill>
              </w:rPr>
              <w:t>COD、氨氮、TP、TN、溶解性总固体、硫酸盐、石油类、LAS等</w:t>
            </w:r>
            <w:r>
              <w:rPr>
                <w:rFonts w:hint="eastAsia" w:ascii="Times New Roman" w:hAnsi="Times New Roman" w:cs="Times New Roman"/>
                <w:color w:val="000000" w:themeColor="text1"/>
                <w:spacing w:val="-7"/>
                <w:lang w:eastAsia="zh-CN"/>
                <w14:textFill>
                  <w14:solidFill>
                    <w14:schemeClr w14:val="tx1"/>
                  </w14:solidFill>
                </w14:textFill>
              </w:rPr>
              <w:t>）</w:t>
            </w:r>
            <w:r>
              <w:rPr>
                <w:rFonts w:hint="default" w:ascii="Times New Roman" w:hAnsi="Times New Roman" w:cs="Times New Roman"/>
                <w:color w:val="000000" w:themeColor="text1"/>
                <w:spacing w:val="-7"/>
                <w14:textFill>
                  <w14:solidFill>
                    <w14:schemeClr w14:val="tx1"/>
                  </w14:solidFill>
                </w14:textFill>
              </w:rPr>
              <w:t>执行《城市污水再生利用 工业用水水质》（GB/T 19923-2024</w:t>
            </w:r>
            <w:r>
              <w:rPr>
                <w:rFonts w:hint="default" w:ascii="Times New Roman" w:hAnsi="Times New Roman" w:cs="Times New Roman"/>
                <w:color w:val="000000" w:themeColor="text1"/>
                <w:spacing w:val="-8"/>
                <w14:textFill>
                  <w14:solidFill>
                    <w14:schemeClr w14:val="tx1"/>
                  </w14:solidFill>
                </w14:textFill>
              </w:rPr>
              <w:t>）</w:t>
            </w:r>
            <w:r>
              <w:rPr>
                <w:rFonts w:hint="default" w:ascii="Times New Roman" w:hAnsi="Times New Roman" w:cs="Times New Roman"/>
                <w:color w:val="000000" w:themeColor="text1"/>
                <w:spacing w:val="-7"/>
                <w14:textFill>
                  <w14:solidFill>
                    <w14:schemeClr w14:val="tx1"/>
                  </w14:solidFill>
                </w14:textFill>
              </w:rPr>
              <w:t>表</w:t>
            </w:r>
            <w:r>
              <w:rPr>
                <w:rFonts w:hint="default" w:ascii="Times New Roman" w:hAnsi="Times New Roman" w:eastAsia="Times New Roman" w:cs="Times New Roman"/>
                <w:color w:val="000000" w:themeColor="text1"/>
                <w:spacing w:val="-7"/>
                <w14:textFill>
                  <w14:solidFill>
                    <w14:schemeClr w14:val="tx1"/>
                  </w14:solidFill>
                </w14:textFill>
              </w:rPr>
              <w:t>1</w:t>
            </w:r>
            <w:r>
              <w:rPr>
                <w:rFonts w:hint="default" w:ascii="Times New Roman" w:hAnsi="Times New Roman" w:cs="Times New Roman"/>
                <w:color w:val="000000" w:themeColor="text1"/>
                <w:spacing w:val="-7"/>
                <w14:textFill>
                  <w14:solidFill>
                    <w14:schemeClr w14:val="tx1"/>
                  </w14:solidFill>
                </w14:textFill>
              </w:rPr>
              <w:t>中直流冷却水、洗涤用水</w:t>
            </w:r>
            <w:r>
              <w:rPr>
                <w:rFonts w:hint="eastAsia" w:ascii="Times New Roman" w:hAnsi="Times New Roman" w:cs="Times New Roman"/>
                <w:color w:val="000000" w:themeColor="text1"/>
                <w:spacing w:val="-7"/>
                <w:lang w:val="en-US" w:eastAsia="zh-CN"/>
                <w14:textFill>
                  <w14:solidFill>
                    <w14:schemeClr w14:val="tx1"/>
                  </w14:solidFill>
                </w14:textFill>
              </w:rPr>
              <w:t>标准，总铜执行《污水排入城镇下水道水质标准》（GB/T 31962-2015）中标准限值，SS执行企业自定标准限值，水质较干净，满足本项目喷淋清洗水质要求，具体见下表</w:t>
            </w:r>
            <w:r>
              <w:rPr>
                <w:rFonts w:hint="default" w:ascii="Times New Roman" w:hAnsi="Times New Roman" w:cs="Times New Roman"/>
                <w:color w:val="000000" w:themeColor="text1"/>
                <w:spacing w:val="-7"/>
                <w14:textFill>
                  <w14:solidFill>
                    <w14:schemeClr w14:val="tx1"/>
                  </w14:solidFill>
                </w14:textFill>
              </w:rPr>
              <w:t>。</w:t>
            </w:r>
          </w:p>
          <w:p w14:paraId="12345F7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4"/>
                <w14:textOutline w14:w="4358" w14:cap="sq" w14:cmpd="sng">
                  <w14:solidFill>
                    <w14:srgbClr w14:val="000000"/>
                  </w14:solidFill>
                  <w14:prstDash w14:val="solid"/>
                  <w14:bevel/>
                </w14:textOutline>
                <w14:textFill>
                  <w14:solidFill>
                    <w14:schemeClr w14:val="tx1"/>
                  </w14:solidFill>
                </w14:textFill>
              </w:rPr>
              <w:t>表</w:t>
            </w:r>
            <w:r>
              <w:rPr>
                <w:rFonts w:hint="default" w:ascii="Times New Roman" w:hAnsi="Times New Roman" w:eastAsia="宋体" w:cs="Times New Roman"/>
                <w:color w:val="000000" w:themeColor="text1"/>
                <w:spacing w:val="-55"/>
                <w14:textFill>
                  <w14:solidFill>
                    <w14:schemeClr w14:val="tx1"/>
                  </w14:solidFill>
                </w14:textFill>
              </w:rPr>
              <w:t xml:space="preserve"> </w:t>
            </w:r>
            <w:r>
              <w:rPr>
                <w:rFonts w:hint="default" w:ascii="Times New Roman" w:hAnsi="Times New Roman" w:eastAsia="宋体" w:cs="Times New Roman"/>
                <w:b/>
                <w:bCs/>
                <w:color w:val="000000" w:themeColor="text1"/>
                <w:spacing w:val="-4"/>
                <w14:textFill>
                  <w14:solidFill>
                    <w14:schemeClr w14:val="tx1"/>
                  </w14:solidFill>
                </w14:textFill>
              </w:rPr>
              <w:t>3-</w:t>
            </w:r>
            <w:r>
              <w:rPr>
                <w:rFonts w:hint="eastAsia" w:ascii="Times New Roman" w:hAnsi="Times New Roman" w:cs="Times New Roman"/>
                <w:b/>
                <w:bCs/>
                <w:color w:val="000000" w:themeColor="text1"/>
                <w:spacing w:val="-4"/>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8"/>
                <w14:textFill>
                  <w14:solidFill>
                    <w14:schemeClr w14:val="tx1"/>
                  </w14:solidFill>
                </w14:textFill>
              </w:rPr>
              <w:t xml:space="preserve">  </w:t>
            </w:r>
            <w:r>
              <w:rPr>
                <w:rFonts w:hint="default" w:ascii="Times New Roman" w:hAnsi="Times New Roman" w:eastAsia="宋体" w:cs="Times New Roman"/>
                <w:color w:val="000000" w:themeColor="text1"/>
                <w:spacing w:val="-4"/>
                <w14:textOutline w14:w="4358" w14:cap="sq" w14:cmpd="sng">
                  <w14:solidFill>
                    <w14:srgbClr w14:val="000000"/>
                  </w14:solidFill>
                  <w14:prstDash w14:val="solid"/>
                  <w14:bevel/>
                </w14:textOutline>
                <w14:textFill>
                  <w14:solidFill>
                    <w14:schemeClr w14:val="tx1"/>
                  </w14:solidFill>
                </w14:textFill>
              </w:rPr>
              <w:t>回用水水质标准</w:t>
            </w:r>
          </w:p>
          <w:tbl>
            <w:tblPr>
              <w:tblStyle w:val="85"/>
              <w:tblW w:w="4995"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984"/>
              <w:gridCol w:w="787"/>
              <w:gridCol w:w="476"/>
              <w:gridCol w:w="652"/>
              <w:gridCol w:w="652"/>
              <w:gridCol w:w="652"/>
              <w:gridCol w:w="792"/>
              <w:gridCol w:w="649"/>
              <w:gridCol w:w="652"/>
              <w:gridCol w:w="642"/>
              <w:gridCol w:w="652"/>
            </w:tblGrid>
            <w:tr w14:paraId="01A9EB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594" w:type="pct"/>
                  <w:tcBorders>
                    <w:tl2br w:val="nil"/>
                    <w:tr2bl w:val="nil"/>
                  </w:tcBorders>
                  <w:vAlign w:val="center"/>
                </w:tcPr>
                <w:p w14:paraId="1C818D5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项目</w:t>
                  </w:r>
                </w:p>
              </w:tc>
              <w:tc>
                <w:tcPr>
                  <w:tcW w:w="571" w:type="pct"/>
                  <w:tcBorders>
                    <w:tl2br w:val="nil"/>
                    <w:tr2bl w:val="nil"/>
                  </w:tcBorders>
                  <w:vAlign w:val="center"/>
                </w:tcPr>
                <w:p w14:paraId="7AF8445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pH</w:t>
                  </w:r>
                  <w:r>
                    <w:rPr>
                      <w:rFonts w:hint="default" w:ascii="Times New Roman" w:hAnsi="Times New Roman" w:eastAsia="宋体" w:cs="Times New Roman"/>
                      <w:b/>
                      <w:bCs/>
                      <w:color w:val="000000" w:themeColor="text1"/>
                      <w:spacing w:val="9"/>
                      <w:sz w:val="21"/>
                      <w:szCs w:val="21"/>
                      <w14:textFill>
                        <w14:solidFill>
                          <w14:schemeClr w14:val="tx1"/>
                        </w14:solidFill>
                      </w14:textFill>
                    </w:rPr>
                    <w:t>（无量纲）</w:t>
                  </w:r>
                </w:p>
              </w:tc>
              <w:tc>
                <w:tcPr>
                  <w:tcW w:w="457" w:type="pct"/>
                  <w:tcBorders>
                    <w:tl2br w:val="nil"/>
                    <w:tr2bl w:val="nil"/>
                  </w:tcBorders>
                  <w:vAlign w:val="center"/>
                </w:tcPr>
                <w:p w14:paraId="14656F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COD</w:t>
                  </w:r>
                </w:p>
              </w:tc>
              <w:tc>
                <w:tcPr>
                  <w:tcW w:w="276" w:type="pct"/>
                  <w:tcBorders>
                    <w:tl2br w:val="nil"/>
                    <w:tr2bl w:val="nil"/>
                  </w:tcBorders>
                  <w:vAlign w:val="center"/>
                </w:tcPr>
                <w:p w14:paraId="1ED7F7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SS</w:t>
                  </w:r>
                </w:p>
              </w:tc>
              <w:tc>
                <w:tcPr>
                  <w:tcW w:w="378" w:type="pct"/>
                  <w:tcBorders>
                    <w:tl2br w:val="nil"/>
                    <w:tr2bl w:val="nil"/>
                  </w:tcBorders>
                  <w:shd w:val="clear" w:color="auto" w:fill="auto"/>
                  <w:vAlign w:val="center"/>
                </w:tcPr>
                <w:p w14:paraId="1D5B643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7"/>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t>氨氮</w:t>
                  </w:r>
                </w:p>
              </w:tc>
              <w:tc>
                <w:tcPr>
                  <w:tcW w:w="378" w:type="pct"/>
                  <w:tcBorders>
                    <w:tl2br w:val="nil"/>
                    <w:tr2bl w:val="nil"/>
                  </w:tcBorders>
                  <w:shd w:val="clear" w:color="auto" w:fill="auto"/>
                  <w:vAlign w:val="center"/>
                </w:tcPr>
                <w:p w14:paraId="5ACA36E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7"/>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t>TP</w:t>
                  </w:r>
                </w:p>
              </w:tc>
              <w:tc>
                <w:tcPr>
                  <w:tcW w:w="378" w:type="pct"/>
                  <w:tcBorders>
                    <w:tl2br w:val="nil"/>
                    <w:tr2bl w:val="nil"/>
                  </w:tcBorders>
                  <w:shd w:val="clear" w:color="auto" w:fill="auto"/>
                  <w:vAlign w:val="center"/>
                </w:tcPr>
                <w:p w14:paraId="3BE646C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7"/>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t>TN</w:t>
                  </w:r>
                </w:p>
              </w:tc>
              <w:tc>
                <w:tcPr>
                  <w:tcW w:w="459" w:type="pct"/>
                  <w:tcBorders>
                    <w:tl2br w:val="nil"/>
                    <w:tr2bl w:val="nil"/>
                  </w:tcBorders>
                  <w:vAlign w:val="center"/>
                </w:tcPr>
                <w:p w14:paraId="4E6CFB2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溶解性总固体</w:t>
                  </w:r>
                </w:p>
              </w:tc>
              <w:tc>
                <w:tcPr>
                  <w:tcW w:w="376" w:type="pct"/>
                  <w:tcBorders>
                    <w:tl2br w:val="nil"/>
                    <w:tr2bl w:val="nil"/>
                  </w:tcBorders>
                  <w:shd w:val="clear" w:color="auto" w:fill="auto"/>
                  <w:vAlign w:val="center"/>
                </w:tcPr>
                <w:p w14:paraId="765E543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7"/>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t>总铜</w:t>
                  </w:r>
                </w:p>
              </w:tc>
              <w:tc>
                <w:tcPr>
                  <w:tcW w:w="378" w:type="pct"/>
                  <w:tcBorders>
                    <w:tl2br w:val="nil"/>
                    <w:tr2bl w:val="nil"/>
                  </w:tcBorders>
                  <w:shd w:val="clear" w:color="auto" w:fill="auto"/>
                  <w:vAlign w:val="center"/>
                </w:tcPr>
                <w:p w14:paraId="2750E67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7"/>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t>硫酸盐</w:t>
                  </w:r>
                </w:p>
              </w:tc>
              <w:tc>
                <w:tcPr>
                  <w:tcW w:w="372" w:type="pct"/>
                  <w:tcBorders>
                    <w:tl2br w:val="nil"/>
                    <w:tr2bl w:val="nil"/>
                  </w:tcBorders>
                  <w:vAlign w:val="center"/>
                </w:tcPr>
                <w:p w14:paraId="1071C6EC">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t>石油类</w:t>
                  </w:r>
                </w:p>
              </w:tc>
              <w:tc>
                <w:tcPr>
                  <w:tcW w:w="378" w:type="pct"/>
                  <w:tcBorders>
                    <w:tl2br w:val="nil"/>
                    <w:tr2bl w:val="nil"/>
                  </w:tcBorders>
                  <w:vAlign w:val="center"/>
                </w:tcPr>
                <w:p w14:paraId="2F9ECC1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7"/>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7"/>
                      <w:sz w:val="21"/>
                      <w:szCs w:val="21"/>
                      <w:lang w:val="en-US" w:eastAsia="zh-CN"/>
                      <w14:textFill>
                        <w14:solidFill>
                          <w14:schemeClr w14:val="tx1"/>
                        </w14:solidFill>
                      </w14:textFill>
                    </w:rPr>
                    <w:t>LAS</w:t>
                  </w:r>
                </w:p>
              </w:tc>
            </w:tr>
            <w:tr w14:paraId="74022B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94" w:type="pct"/>
                  <w:tcBorders>
                    <w:tl2br w:val="nil"/>
                    <w:tr2bl w:val="nil"/>
                  </w:tcBorders>
                  <w:vAlign w:val="center"/>
                </w:tcPr>
                <w:p w14:paraId="13857E7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标准值（</w:t>
                  </w:r>
                  <w:r>
                    <w:rPr>
                      <w:rFonts w:hint="default" w:ascii="Times New Roman" w:hAnsi="Times New Roman" w:eastAsia="宋体" w:cs="Times New Roman"/>
                      <w:color w:val="000000" w:themeColor="text1"/>
                      <w:sz w:val="21"/>
                      <w:szCs w:val="21"/>
                      <w14:textFill>
                        <w14:solidFill>
                          <w14:schemeClr w14:val="tx1"/>
                        </w14:solidFill>
                      </w14:textFill>
                    </w:rPr>
                    <w:t>mg</w:t>
                  </w:r>
                  <w:r>
                    <w:rPr>
                      <w:rFonts w:hint="default" w:ascii="Times New Roman" w:hAnsi="Times New Roman" w:eastAsia="宋体" w:cs="Times New Roman"/>
                      <w:color w:val="000000" w:themeColor="text1"/>
                      <w:spacing w:val="7"/>
                      <w:sz w:val="21"/>
                      <w:szCs w:val="21"/>
                      <w14:textFill>
                        <w14:solidFill>
                          <w14:schemeClr w14:val="tx1"/>
                        </w14:solidFill>
                      </w14:textFill>
                    </w:rPr>
                    <w:t>/L）</w:t>
                  </w:r>
                </w:p>
              </w:tc>
              <w:tc>
                <w:tcPr>
                  <w:tcW w:w="571" w:type="pct"/>
                  <w:tcBorders>
                    <w:tl2br w:val="nil"/>
                    <w:tr2bl w:val="nil"/>
                  </w:tcBorders>
                  <w:vAlign w:val="center"/>
                </w:tcPr>
                <w:p w14:paraId="44F3105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6.</w:t>
                  </w: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9.0</w:t>
                  </w:r>
                </w:p>
              </w:tc>
              <w:tc>
                <w:tcPr>
                  <w:tcW w:w="457" w:type="pct"/>
                  <w:tcBorders>
                    <w:tl2br w:val="nil"/>
                    <w:tr2bl w:val="nil"/>
                  </w:tcBorders>
                  <w:vAlign w:val="center"/>
                </w:tcPr>
                <w:p w14:paraId="70046EBE">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2"/>
                      <w:sz w:val="21"/>
                      <w:szCs w:val="21"/>
                      <w14:textFill>
                        <w14:solidFill>
                          <w14:schemeClr w14:val="tx1"/>
                        </w14:solidFill>
                      </w14:textFill>
                    </w:rPr>
                    <w:t>0</w:t>
                  </w:r>
                </w:p>
              </w:tc>
              <w:tc>
                <w:tcPr>
                  <w:tcW w:w="276" w:type="pct"/>
                  <w:tcBorders>
                    <w:tl2br w:val="nil"/>
                    <w:tr2bl w:val="nil"/>
                  </w:tcBorders>
                  <w:vAlign w:val="center"/>
                </w:tcPr>
                <w:p w14:paraId="5FCB0C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78" w:type="pct"/>
                  <w:tcBorders>
                    <w:tl2br w:val="nil"/>
                    <w:tr2bl w:val="nil"/>
                  </w:tcBorders>
                  <w:shd w:val="clear" w:color="auto" w:fill="auto"/>
                  <w:vAlign w:val="center"/>
                </w:tcPr>
                <w:p w14:paraId="0AC50D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5</w:t>
                  </w:r>
                </w:p>
              </w:tc>
              <w:tc>
                <w:tcPr>
                  <w:tcW w:w="378" w:type="pct"/>
                  <w:tcBorders>
                    <w:tl2br w:val="nil"/>
                    <w:tr2bl w:val="nil"/>
                  </w:tcBorders>
                  <w:shd w:val="clear" w:color="auto" w:fill="auto"/>
                  <w:vAlign w:val="center"/>
                </w:tcPr>
                <w:p w14:paraId="5E7EB16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0.5</w:t>
                  </w:r>
                </w:p>
              </w:tc>
              <w:tc>
                <w:tcPr>
                  <w:tcW w:w="378" w:type="pct"/>
                  <w:tcBorders>
                    <w:tl2br w:val="nil"/>
                    <w:tr2bl w:val="nil"/>
                  </w:tcBorders>
                  <w:shd w:val="clear" w:color="auto" w:fill="auto"/>
                  <w:vAlign w:val="center"/>
                </w:tcPr>
                <w:p w14:paraId="5703FBF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15</w:t>
                  </w:r>
                </w:p>
              </w:tc>
              <w:tc>
                <w:tcPr>
                  <w:tcW w:w="459" w:type="pct"/>
                  <w:tcBorders>
                    <w:tl2br w:val="nil"/>
                    <w:tr2bl w:val="nil"/>
                  </w:tcBorders>
                  <w:vAlign w:val="center"/>
                </w:tcPr>
                <w:p w14:paraId="063E82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1</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4"/>
                      <w:sz w:val="21"/>
                      <w:szCs w:val="21"/>
                      <w14:textFill>
                        <w14:solidFill>
                          <w14:schemeClr w14:val="tx1"/>
                        </w14:solidFill>
                      </w14:textFill>
                    </w:rPr>
                    <w:t>00</w:t>
                  </w:r>
                </w:p>
              </w:tc>
              <w:tc>
                <w:tcPr>
                  <w:tcW w:w="376" w:type="pct"/>
                  <w:tcBorders>
                    <w:tl2br w:val="nil"/>
                    <w:tr2bl w:val="nil"/>
                  </w:tcBorders>
                  <w:shd w:val="clear" w:color="auto" w:fill="auto"/>
                  <w:vAlign w:val="center"/>
                </w:tcPr>
                <w:p w14:paraId="608D5E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2</w:t>
                  </w:r>
                </w:p>
              </w:tc>
              <w:tc>
                <w:tcPr>
                  <w:tcW w:w="378" w:type="pct"/>
                  <w:tcBorders>
                    <w:tl2br w:val="nil"/>
                    <w:tr2bl w:val="nil"/>
                  </w:tcBorders>
                  <w:shd w:val="clear" w:color="auto" w:fill="auto"/>
                  <w:vAlign w:val="center"/>
                </w:tcPr>
                <w:p w14:paraId="20EEE7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60</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0</w:t>
                  </w:r>
                </w:p>
              </w:tc>
              <w:tc>
                <w:tcPr>
                  <w:tcW w:w="372" w:type="pct"/>
                  <w:tcBorders>
                    <w:tl2br w:val="nil"/>
                    <w:tr2bl w:val="nil"/>
                  </w:tcBorders>
                  <w:vAlign w:val="center"/>
                </w:tcPr>
                <w:p w14:paraId="7AD3E3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1.0</w:t>
                  </w:r>
                </w:p>
              </w:tc>
              <w:tc>
                <w:tcPr>
                  <w:tcW w:w="378" w:type="pct"/>
                  <w:tcBorders>
                    <w:tl2br w:val="nil"/>
                    <w:tr2bl w:val="nil"/>
                  </w:tcBorders>
                  <w:vAlign w:val="center"/>
                </w:tcPr>
                <w:p w14:paraId="37A8E42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0.5</w:t>
                  </w:r>
                </w:p>
              </w:tc>
            </w:tr>
          </w:tbl>
          <w:p w14:paraId="0C7D03EC">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3、噪声</w:t>
            </w:r>
          </w:p>
          <w:p w14:paraId="71072A94">
            <w:pPr>
              <w:spacing w:line="360" w:lineRule="auto"/>
              <w:ind w:firstLine="480"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位于</w:t>
            </w:r>
            <w:r>
              <w:rPr>
                <w:rFonts w:hint="default" w:ascii="Times New Roman" w:hAnsi="Times New Roman" w:eastAsia="宋体" w:cs="Times New Roman"/>
                <w:color w:val="000000" w:themeColor="text1"/>
                <w:sz w:val="24"/>
                <w:lang w:eastAsia="zh-CN"/>
                <w14:textFill>
                  <w14:solidFill>
                    <w14:schemeClr w14:val="tx1"/>
                  </w14:solidFill>
                </w14:textFill>
              </w:rPr>
              <w:t>江苏省</w:t>
            </w:r>
            <w:r>
              <w:rPr>
                <w:rFonts w:hint="eastAsia" w:ascii="Times New Roman" w:hAnsi="Times New Roman" w:eastAsia="宋体" w:cs="Times New Roman"/>
                <w:color w:val="000000" w:themeColor="text1"/>
                <w:sz w:val="24"/>
                <w:lang w:eastAsia="zh-CN"/>
                <w14:textFill>
                  <w14:solidFill>
                    <w14:schemeClr w14:val="tx1"/>
                  </w14:solidFill>
                </w14:textFill>
              </w:rPr>
              <w:t>常州市江苏省金坛经济开发区晨风路900号16号楼101室，</w:t>
            </w:r>
            <w:r>
              <w:rPr>
                <w:rFonts w:hint="eastAsia"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所在地</w:t>
            </w:r>
            <w:r>
              <w:rPr>
                <w:rFonts w:hint="eastAsia" w:ascii="Times New Roman" w:hAnsi="Times New Roman" w:eastAsia="宋体" w:cs="Times New Roman"/>
                <w:color w:val="000000" w:themeColor="text1"/>
                <w:sz w:val="24"/>
                <w:lang w:val="en-US" w:eastAsia="zh-CN"/>
                <w14:textFill>
                  <w14:solidFill>
                    <w14:schemeClr w14:val="tx1"/>
                  </w14:solidFill>
                </w14:textFill>
              </w:rPr>
              <w:t>为工业用地，根据《声环境功能区划分技术规范》（GB/T 15190-2014），</w:t>
            </w:r>
            <w:r>
              <w:rPr>
                <w:rFonts w:hint="default" w:ascii="Times New Roman" w:hAnsi="Times New Roman" w:eastAsia="宋体" w:cs="Times New Roman"/>
                <w:color w:val="000000" w:themeColor="text1"/>
                <w:sz w:val="24"/>
                <w14:textFill>
                  <w14:solidFill>
                    <w14:schemeClr w14:val="tx1"/>
                  </w14:solidFill>
                </w14:textFill>
              </w:rPr>
              <w:t>厂界噪声执行《工业企业厂界环境噪声排放标准》（GB12348-2008）中的</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类标准，具体标准限值见下表。</w:t>
            </w:r>
          </w:p>
          <w:p w14:paraId="3B257909">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eastAsia" w:ascii="Times New Roman" w:hAnsi="Times New Roman" w:eastAsia="宋体" w:cs="Times New Roman"/>
                <w:b/>
                <w:color w:val="000000" w:themeColor="text1"/>
                <w:sz w:val="24"/>
                <w:lang w:val="en-US" w:eastAsia="zh-CN"/>
                <w14:textFill>
                  <w14:solidFill>
                    <w14:schemeClr w14:val="tx1"/>
                  </w14:solidFill>
                </w14:textFill>
              </w:rPr>
              <w:t>11</w:t>
            </w:r>
            <w:r>
              <w:rPr>
                <w:rFonts w:hint="default" w:ascii="Times New Roman" w:hAnsi="Times New Roman" w:eastAsia="宋体" w:cs="Times New Roman"/>
                <w:b/>
                <w:color w:val="000000" w:themeColor="text1"/>
                <w:sz w:val="24"/>
                <w14:textFill>
                  <w14:solidFill>
                    <w14:schemeClr w14:val="tx1"/>
                  </w14:solidFill>
                </w14:textFill>
              </w:rPr>
              <w:t xml:space="preserve">  噪声排放标准限值</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63"/>
              <w:gridCol w:w="3037"/>
              <w:gridCol w:w="1508"/>
              <w:gridCol w:w="1175"/>
              <w:gridCol w:w="1641"/>
            </w:tblGrid>
            <w:tr w14:paraId="16690F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vMerge w:val="restart"/>
                  <w:tcBorders>
                    <w:tl2br w:val="nil"/>
                    <w:tr2bl w:val="nil"/>
                  </w:tcBorders>
                  <w:vAlign w:val="center"/>
                </w:tcPr>
                <w:p w14:paraId="32CEC2D1">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厂界名</w:t>
                  </w:r>
                </w:p>
              </w:tc>
              <w:tc>
                <w:tcPr>
                  <w:tcW w:w="1760" w:type="pct"/>
                  <w:vMerge w:val="restart"/>
                  <w:tcBorders>
                    <w:tl2br w:val="nil"/>
                    <w:tr2bl w:val="nil"/>
                  </w:tcBorders>
                  <w:vAlign w:val="center"/>
                </w:tcPr>
                <w:p w14:paraId="0B2BA901">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执行标准</w:t>
                  </w:r>
                </w:p>
              </w:tc>
              <w:tc>
                <w:tcPr>
                  <w:tcW w:w="874" w:type="pct"/>
                  <w:vMerge w:val="restart"/>
                  <w:tcBorders>
                    <w:tl2br w:val="nil"/>
                    <w:tr2bl w:val="nil"/>
                  </w:tcBorders>
                  <w:vAlign w:val="center"/>
                </w:tcPr>
                <w:p w14:paraId="09F10864">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级别</w:t>
                  </w:r>
                </w:p>
              </w:tc>
              <w:tc>
                <w:tcPr>
                  <w:tcW w:w="681" w:type="pct"/>
                  <w:vMerge w:val="restart"/>
                  <w:tcBorders>
                    <w:tl2br w:val="nil"/>
                    <w:tr2bl w:val="nil"/>
                  </w:tcBorders>
                  <w:vAlign w:val="center"/>
                </w:tcPr>
                <w:p w14:paraId="06762097">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单位</w:t>
                  </w:r>
                </w:p>
              </w:tc>
              <w:tc>
                <w:tcPr>
                  <w:tcW w:w="951" w:type="pct"/>
                  <w:tcBorders>
                    <w:tl2br w:val="nil"/>
                    <w:tr2bl w:val="nil"/>
                  </w:tcBorders>
                  <w:vAlign w:val="center"/>
                </w:tcPr>
                <w:p w14:paraId="5E1108EF">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标准限值</w:t>
                  </w:r>
                </w:p>
              </w:tc>
            </w:tr>
            <w:tr w14:paraId="36C85C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vMerge w:val="continue"/>
                  <w:tcBorders>
                    <w:tl2br w:val="nil"/>
                    <w:tr2bl w:val="nil"/>
                  </w:tcBorders>
                  <w:vAlign w:val="center"/>
                </w:tcPr>
                <w:p w14:paraId="6CF035CF">
                  <w:pPr>
                    <w:widowControl/>
                    <w:jc w:val="center"/>
                    <w:rPr>
                      <w:rFonts w:hint="default" w:ascii="Times New Roman" w:hAnsi="Times New Roman" w:eastAsia="宋体" w:cs="Times New Roman"/>
                      <w:b/>
                      <w:color w:val="000000" w:themeColor="text1"/>
                      <w:szCs w:val="21"/>
                      <w14:textFill>
                        <w14:solidFill>
                          <w14:schemeClr w14:val="tx1"/>
                        </w14:solidFill>
                      </w14:textFill>
                    </w:rPr>
                  </w:pPr>
                </w:p>
              </w:tc>
              <w:tc>
                <w:tcPr>
                  <w:tcW w:w="1760" w:type="pct"/>
                  <w:vMerge w:val="continue"/>
                  <w:tcBorders>
                    <w:tl2br w:val="nil"/>
                    <w:tr2bl w:val="nil"/>
                  </w:tcBorders>
                  <w:vAlign w:val="center"/>
                </w:tcPr>
                <w:p w14:paraId="10007E50">
                  <w:pPr>
                    <w:widowControl/>
                    <w:jc w:val="center"/>
                    <w:rPr>
                      <w:rFonts w:hint="default" w:ascii="Times New Roman" w:hAnsi="Times New Roman" w:eastAsia="宋体" w:cs="Times New Roman"/>
                      <w:b/>
                      <w:color w:val="000000" w:themeColor="text1"/>
                      <w:szCs w:val="21"/>
                      <w14:textFill>
                        <w14:solidFill>
                          <w14:schemeClr w14:val="tx1"/>
                        </w14:solidFill>
                      </w14:textFill>
                    </w:rPr>
                  </w:pPr>
                </w:p>
              </w:tc>
              <w:tc>
                <w:tcPr>
                  <w:tcW w:w="874" w:type="pct"/>
                  <w:vMerge w:val="continue"/>
                  <w:tcBorders>
                    <w:tl2br w:val="nil"/>
                    <w:tr2bl w:val="nil"/>
                  </w:tcBorders>
                  <w:vAlign w:val="center"/>
                </w:tcPr>
                <w:p w14:paraId="794BAFA6">
                  <w:pPr>
                    <w:widowControl/>
                    <w:jc w:val="center"/>
                    <w:rPr>
                      <w:rFonts w:hint="default" w:ascii="Times New Roman" w:hAnsi="Times New Roman" w:eastAsia="宋体" w:cs="Times New Roman"/>
                      <w:b/>
                      <w:color w:val="000000" w:themeColor="text1"/>
                      <w:szCs w:val="21"/>
                      <w14:textFill>
                        <w14:solidFill>
                          <w14:schemeClr w14:val="tx1"/>
                        </w14:solidFill>
                      </w14:textFill>
                    </w:rPr>
                  </w:pPr>
                </w:p>
              </w:tc>
              <w:tc>
                <w:tcPr>
                  <w:tcW w:w="681" w:type="pct"/>
                  <w:vMerge w:val="continue"/>
                  <w:tcBorders>
                    <w:tl2br w:val="nil"/>
                    <w:tr2bl w:val="nil"/>
                  </w:tcBorders>
                  <w:vAlign w:val="center"/>
                </w:tcPr>
                <w:p w14:paraId="76AD7911">
                  <w:pPr>
                    <w:widowControl/>
                    <w:jc w:val="center"/>
                    <w:rPr>
                      <w:rFonts w:hint="default" w:ascii="Times New Roman" w:hAnsi="Times New Roman" w:eastAsia="宋体" w:cs="Times New Roman"/>
                      <w:b/>
                      <w:color w:val="000000" w:themeColor="text1"/>
                      <w:szCs w:val="21"/>
                      <w14:textFill>
                        <w14:solidFill>
                          <w14:schemeClr w14:val="tx1"/>
                        </w14:solidFill>
                      </w14:textFill>
                    </w:rPr>
                  </w:pPr>
                </w:p>
              </w:tc>
              <w:tc>
                <w:tcPr>
                  <w:tcW w:w="951" w:type="pct"/>
                  <w:tcBorders>
                    <w:tl2br w:val="nil"/>
                    <w:tr2bl w:val="nil"/>
                  </w:tcBorders>
                  <w:vAlign w:val="center"/>
                </w:tcPr>
                <w:p w14:paraId="76D36718">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昼</w:t>
                  </w:r>
                </w:p>
              </w:tc>
            </w:tr>
            <w:tr w14:paraId="181056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tcBorders>
                    <w:tl2br w:val="nil"/>
                    <w:tr2bl w:val="nil"/>
                  </w:tcBorders>
                  <w:vAlign w:val="center"/>
                </w:tcPr>
                <w:p w14:paraId="0EB73064">
                  <w:pPr>
                    <w:autoSpaceDE w:val="0"/>
                    <w:autoSpaceDN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东、南、西</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760" w:type="pct"/>
                  <w:tcBorders>
                    <w:tl2br w:val="nil"/>
                    <w:tr2bl w:val="nil"/>
                  </w:tcBorders>
                  <w:vAlign w:val="center"/>
                </w:tcPr>
                <w:p w14:paraId="2630403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《工业企业厂界环境噪声排放标准》（GB12348－2008）</w:t>
                  </w:r>
                </w:p>
              </w:tc>
              <w:tc>
                <w:tcPr>
                  <w:tcW w:w="874" w:type="pct"/>
                  <w:tcBorders>
                    <w:tl2br w:val="nil"/>
                    <w:tr2bl w:val="nil"/>
                  </w:tcBorders>
                  <w:vAlign w:val="center"/>
                </w:tcPr>
                <w:p w14:paraId="5EC22943">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类功能区标准</w:t>
                  </w:r>
                </w:p>
              </w:tc>
              <w:tc>
                <w:tcPr>
                  <w:tcW w:w="681" w:type="pct"/>
                  <w:tcBorders>
                    <w:tl2br w:val="nil"/>
                    <w:tr2bl w:val="nil"/>
                  </w:tcBorders>
                  <w:vAlign w:val="center"/>
                </w:tcPr>
                <w:p w14:paraId="7CCA0BD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dB（A）</w:t>
                  </w:r>
                </w:p>
              </w:tc>
              <w:tc>
                <w:tcPr>
                  <w:tcW w:w="951" w:type="pct"/>
                  <w:tcBorders>
                    <w:tl2br w:val="nil"/>
                    <w:tr2bl w:val="nil"/>
                  </w:tcBorders>
                  <w:vAlign w:val="center"/>
                </w:tcPr>
                <w:p w14:paraId="5CF6F145">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bl>
          <w:p w14:paraId="4D023954">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4、固体废物</w:t>
            </w:r>
          </w:p>
          <w:p w14:paraId="175CDA7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（1）一般固废</w:t>
            </w:r>
            <w:r>
              <w:rPr>
                <w:rFonts w:hint="default" w:ascii="Times New Roman" w:hAnsi="Times New Roman" w:eastAsia="宋体" w:cs="Times New Roman"/>
                <w:color w:val="000000" w:themeColor="text1"/>
                <w:sz w:val="24"/>
                <w:lang w:val="en-US" w:eastAsia="zh-CN"/>
                <w14:textFill>
                  <w14:solidFill>
                    <w14:schemeClr w14:val="tx1"/>
                  </w14:solidFill>
                </w14:textFill>
              </w:rPr>
              <w:t>满足防渗漏、防雨淋、防扬尘的环境管理要求</w:t>
            </w:r>
            <w:r>
              <w:rPr>
                <w:rFonts w:hint="default" w:ascii="Times New Roman" w:hAnsi="Times New Roman" w:eastAsia="宋体" w:cs="Times New Roman"/>
                <w:color w:val="000000" w:themeColor="text1"/>
                <w:sz w:val="24"/>
                <w14:textFill>
                  <w14:solidFill>
                    <w14:schemeClr w14:val="tx1"/>
                  </w14:solidFill>
                </w14:textFill>
              </w:rPr>
              <w:t>；</w:t>
            </w:r>
          </w:p>
          <w:p w14:paraId="4553F0C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（2）危险废物执行《危险废物贮存污染控制标准》（GB18597-20</w:t>
            </w:r>
            <w:r>
              <w:rPr>
                <w:rFonts w:hint="default" w:ascii="Times New Roman" w:hAnsi="Times New Roman" w:eastAsia="宋体" w:cs="Times New Roman"/>
                <w:color w:val="000000" w:themeColor="text1"/>
                <w:sz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14:textFill>
                  <w14:solidFill>
                    <w14:schemeClr w14:val="tx1"/>
                  </w14:solidFill>
                </w14:textFill>
              </w:rPr>
              <w:t>），同时执行《省生态环境厅关于进一步加强危险废物环境管理工作的通知》（苏环办［2021］207号）</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省生态环境厅关于印发《江苏省固体废物全过程环境监管工作意见》的通知</w:t>
            </w:r>
            <w:r>
              <w:rPr>
                <w:rFonts w:hint="eastAsia" w:ascii="Times New Roman" w:hAnsi="Times New Roman" w:eastAsia="宋体" w:cs="Times New Roman"/>
                <w:color w:val="000000" w:themeColor="text1"/>
                <w:sz w:val="24"/>
                <w:lang w:eastAsia="zh-CN"/>
                <w14:textFill>
                  <w14:solidFill>
                    <w14:schemeClr w14:val="tx1"/>
                  </w14:solidFill>
                </w14:textFill>
              </w:rPr>
              <w:t>》（苏环办〔2024〕16号 ）</w:t>
            </w:r>
            <w:r>
              <w:rPr>
                <w:rFonts w:hint="default" w:ascii="Times New Roman" w:hAnsi="Times New Roman" w:eastAsia="宋体" w:cs="Times New Roman"/>
                <w:color w:val="000000" w:themeColor="text1"/>
                <w:sz w:val="24"/>
                <w14:textFill>
                  <w14:solidFill>
                    <w14:schemeClr w14:val="tx1"/>
                  </w14:solidFill>
                </w14:textFill>
              </w:rPr>
              <w:t>的要求。</w:t>
            </w:r>
          </w:p>
        </w:tc>
      </w:tr>
    </w:tbl>
    <w:p w14:paraId="1C75A836">
      <w:p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3824"/>
      </w:tblGrid>
      <w:tr w14:paraId="1CF2E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150" w:type="pct"/>
            <w:tcMar>
              <w:left w:w="28" w:type="dxa"/>
              <w:right w:w="28" w:type="dxa"/>
            </w:tcMar>
            <w:vAlign w:val="center"/>
          </w:tcPr>
          <w:p w14:paraId="0EE10ECC">
            <w:pPr>
              <w:adjustRightInd w:val="0"/>
              <w:snapToGrid w:val="0"/>
              <w:jc w:val="center"/>
              <w:rPr>
                <w:rFonts w:hint="default" w:ascii="Times New Roman" w:hAnsi="Times New Roman" w:eastAsia="宋体" w:cs="Times New Roman"/>
                <w:bCs/>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总量控制指标</w:t>
            </w:r>
          </w:p>
        </w:tc>
        <w:tc>
          <w:tcPr>
            <w:tcW w:w="4849" w:type="pct"/>
            <w:vAlign w:val="center"/>
          </w:tcPr>
          <w:p w14:paraId="7FA02445">
            <w:pPr>
              <w:keepNext w:val="0"/>
              <w:keepLines w:val="0"/>
              <w:pageBreakBefore w:val="0"/>
              <w:numPr>
                <w:ilvl w:val="0"/>
                <w:numId w:val="0"/>
              </w:numPr>
              <w:kinsoku/>
              <w:wordWrap/>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1、总量控制指标</w:t>
            </w:r>
          </w:p>
          <w:p w14:paraId="0171AC11">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本项目污染物总量控制指标及来源途径见下表。</w:t>
            </w:r>
          </w:p>
          <w:p w14:paraId="25442AAA">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eastAsia" w:ascii="Times New Roman" w:hAnsi="Times New Roman" w:eastAsia="宋体" w:cs="Times New Roman"/>
                <w:b/>
                <w:color w:val="000000" w:themeColor="text1"/>
                <w:sz w:val="24"/>
                <w:lang w:val="en-US" w:eastAsia="zh-CN"/>
                <w14:textFill>
                  <w14:solidFill>
                    <w14:schemeClr w14:val="tx1"/>
                  </w14:solidFill>
                </w14:textFill>
              </w:rPr>
              <w:t>12</w:t>
            </w:r>
            <w:r>
              <w:rPr>
                <w:rFonts w:hint="default" w:ascii="Times New Roman" w:hAnsi="Times New Roman" w:eastAsia="宋体" w:cs="Times New Roman"/>
                <w:b/>
                <w:color w:val="000000" w:themeColor="text1"/>
                <w:sz w:val="24"/>
                <w14:textFill>
                  <w14:solidFill>
                    <w14:schemeClr w14:val="tx1"/>
                  </w14:solidFill>
                </w14:textFill>
              </w:rPr>
              <w:t xml:space="preserve">  建设项目全厂污染物排放总量表（单位：t/a）</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93"/>
              <w:gridCol w:w="570"/>
              <w:gridCol w:w="1725"/>
              <w:gridCol w:w="1365"/>
              <w:gridCol w:w="985"/>
              <w:gridCol w:w="5"/>
              <w:gridCol w:w="980"/>
              <w:gridCol w:w="985"/>
              <w:gridCol w:w="1215"/>
              <w:gridCol w:w="1155"/>
              <w:gridCol w:w="1110"/>
              <w:gridCol w:w="1440"/>
              <w:gridCol w:w="1351"/>
            </w:tblGrid>
            <w:tr w14:paraId="7A4E2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988" w:type="dxa"/>
                  <w:gridSpan w:val="3"/>
                  <w:vMerge w:val="restart"/>
                  <w:vAlign w:val="center"/>
                </w:tcPr>
                <w:p w14:paraId="54D94436">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污染物名称</w:t>
                  </w:r>
                </w:p>
              </w:tc>
              <w:tc>
                <w:tcPr>
                  <w:tcW w:w="1365" w:type="dxa"/>
                  <w:vAlign w:val="center"/>
                </w:tcPr>
                <w:p w14:paraId="5FE1D738">
                  <w:pPr>
                    <w:jc w:val="cente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现有项目</w:t>
                  </w:r>
                </w:p>
              </w:tc>
              <w:tc>
                <w:tcPr>
                  <w:tcW w:w="2955" w:type="dxa"/>
                  <w:gridSpan w:val="4"/>
                  <w:vAlign w:val="center"/>
                </w:tcPr>
                <w:p w14:paraId="74BEDD45">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本项目</w:t>
                  </w:r>
                </w:p>
              </w:tc>
              <w:tc>
                <w:tcPr>
                  <w:tcW w:w="1215" w:type="dxa"/>
                  <w:vMerge w:val="restart"/>
                  <w:vAlign w:val="center"/>
                </w:tcPr>
                <w:p w14:paraId="22BEDDD3">
                  <w:pPr>
                    <w:jc w:val="cente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以新带老量</w:t>
                  </w:r>
                </w:p>
              </w:tc>
              <w:tc>
                <w:tcPr>
                  <w:tcW w:w="2265" w:type="dxa"/>
                  <w:gridSpan w:val="2"/>
                  <w:vAlign w:val="center"/>
                </w:tcPr>
                <w:p w14:paraId="6ABCD66E">
                  <w:pPr>
                    <w:jc w:val="cente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全厂排放量</w:t>
                  </w:r>
                </w:p>
              </w:tc>
              <w:tc>
                <w:tcPr>
                  <w:tcW w:w="1440" w:type="dxa"/>
                  <w:vMerge w:val="restart"/>
                  <w:vAlign w:val="center"/>
                </w:tcPr>
                <w:p w14:paraId="035EB3A0">
                  <w:pPr>
                    <w:jc w:val="cente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排放增减量</w:t>
                  </w:r>
                </w:p>
              </w:tc>
              <w:tc>
                <w:tcPr>
                  <w:tcW w:w="1351" w:type="dxa"/>
                  <w:vMerge w:val="restart"/>
                  <w:vAlign w:val="center"/>
                </w:tcPr>
                <w:p w14:paraId="1E06EFA6">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最终排入外环境量</w:t>
                  </w:r>
                </w:p>
              </w:tc>
            </w:tr>
            <w:tr w14:paraId="7944D8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988" w:type="dxa"/>
                  <w:gridSpan w:val="3"/>
                  <w:vMerge w:val="continue"/>
                  <w:vAlign w:val="center"/>
                </w:tcPr>
                <w:p w14:paraId="37DB850C">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365" w:type="dxa"/>
                  <w:vAlign w:val="center"/>
                </w:tcPr>
                <w:p w14:paraId="73A1E4FF">
                  <w:pPr>
                    <w:jc w:val="cente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许可排放量</w:t>
                  </w:r>
                </w:p>
              </w:tc>
              <w:tc>
                <w:tcPr>
                  <w:tcW w:w="985" w:type="dxa"/>
                  <w:shd w:val="clear" w:color="auto" w:fill="auto"/>
                  <w:vAlign w:val="center"/>
                </w:tcPr>
                <w:p w14:paraId="052F714F">
                  <w:pPr>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产生量</w:t>
                  </w:r>
                </w:p>
              </w:tc>
              <w:tc>
                <w:tcPr>
                  <w:tcW w:w="985" w:type="dxa"/>
                  <w:gridSpan w:val="2"/>
                  <w:shd w:val="clear" w:color="auto" w:fill="auto"/>
                  <w:vAlign w:val="center"/>
                </w:tcPr>
                <w:p w14:paraId="5493E48B">
                  <w:pPr>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削减量</w:t>
                  </w:r>
                </w:p>
              </w:tc>
              <w:tc>
                <w:tcPr>
                  <w:tcW w:w="985" w:type="dxa"/>
                  <w:shd w:val="clear" w:color="auto" w:fill="auto"/>
                  <w:vAlign w:val="center"/>
                </w:tcPr>
                <w:p w14:paraId="34A91B41">
                  <w:pPr>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排放量</w:t>
                  </w:r>
                </w:p>
              </w:tc>
              <w:tc>
                <w:tcPr>
                  <w:tcW w:w="1215" w:type="dxa"/>
                  <w:vMerge w:val="continue"/>
                  <w:vAlign w:val="center"/>
                </w:tcPr>
                <w:p w14:paraId="0CD74B36">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155" w:type="dxa"/>
                  <w:vAlign w:val="center"/>
                </w:tcPr>
                <w:p w14:paraId="292B7C80">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控制因子</w:t>
                  </w:r>
                </w:p>
              </w:tc>
              <w:tc>
                <w:tcPr>
                  <w:tcW w:w="1110" w:type="dxa"/>
                  <w:vAlign w:val="center"/>
                </w:tcPr>
                <w:p w14:paraId="66C725F8">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考核因子</w:t>
                  </w:r>
                </w:p>
              </w:tc>
              <w:tc>
                <w:tcPr>
                  <w:tcW w:w="1440" w:type="dxa"/>
                  <w:vMerge w:val="continue"/>
                  <w:vAlign w:val="center"/>
                </w:tcPr>
                <w:p w14:paraId="27B57BDE">
                  <w:pPr>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351" w:type="dxa"/>
                  <w:vMerge w:val="continue"/>
                  <w:vAlign w:val="center"/>
                </w:tcPr>
                <w:p w14:paraId="5E7DB419">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2E1419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7" w:hRule="atLeast"/>
              </w:trPr>
              <w:tc>
                <w:tcPr>
                  <w:tcW w:w="1263" w:type="dxa"/>
                  <w:gridSpan w:val="2"/>
                  <w:vMerge w:val="restart"/>
                  <w:vAlign w:val="center"/>
                </w:tcPr>
                <w:p w14:paraId="467E830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生活污水</w:t>
                  </w:r>
                </w:p>
              </w:tc>
              <w:tc>
                <w:tcPr>
                  <w:tcW w:w="1725" w:type="dxa"/>
                  <w:vAlign w:val="center"/>
                </w:tcPr>
                <w:p w14:paraId="28C774BC">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水量</w:t>
                  </w:r>
                </w:p>
              </w:tc>
              <w:tc>
                <w:tcPr>
                  <w:tcW w:w="1365" w:type="dxa"/>
                  <w:shd w:val="clear" w:color="auto" w:fill="auto"/>
                  <w:vAlign w:val="center"/>
                </w:tcPr>
                <w:p w14:paraId="257E2E60">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shd w:val="clear" w:color="auto" w:fill="auto"/>
                  <w:vAlign w:val="center"/>
                </w:tcPr>
                <w:p w14:paraId="64F3646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240</w:t>
                  </w:r>
                </w:p>
              </w:tc>
              <w:tc>
                <w:tcPr>
                  <w:tcW w:w="985" w:type="dxa"/>
                  <w:gridSpan w:val="2"/>
                  <w:vAlign w:val="center"/>
                </w:tcPr>
                <w:p w14:paraId="79B0B0E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527DAF8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240</w:t>
                  </w:r>
                </w:p>
              </w:tc>
              <w:tc>
                <w:tcPr>
                  <w:tcW w:w="1215" w:type="dxa"/>
                  <w:vAlign w:val="center"/>
                </w:tcPr>
                <w:p w14:paraId="4A2741E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1155" w:type="dxa"/>
                  <w:vAlign w:val="center"/>
                </w:tcPr>
                <w:p w14:paraId="43364E4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360</w:t>
                  </w:r>
                </w:p>
              </w:tc>
              <w:tc>
                <w:tcPr>
                  <w:tcW w:w="1110" w:type="dxa"/>
                  <w:vAlign w:val="center"/>
                </w:tcPr>
                <w:p w14:paraId="527146C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shd w:val="clear" w:color="auto" w:fill="auto"/>
                  <w:vAlign w:val="center"/>
                </w:tcPr>
                <w:p w14:paraId="56636B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+360</w:t>
                  </w:r>
                </w:p>
              </w:tc>
              <w:tc>
                <w:tcPr>
                  <w:tcW w:w="1351" w:type="dxa"/>
                  <w:vAlign w:val="center"/>
                </w:tcPr>
                <w:p w14:paraId="6DF169F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360</w:t>
                  </w:r>
                </w:p>
              </w:tc>
            </w:tr>
            <w:tr w14:paraId="2E4B3E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78A959F9">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13CDDA21">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COD</w:t>
                  </w:r>
                </w:p>
              </w:tc>
              <w:tc>
                <w:tcPr>
                  <w:tcW w:w="1365" w:type="dxa"/>
                  <w:shd w:val="clear" w:color="auto" w:fill="auto"/>
                  <w:vAlign w:val="center"/>
                </w:tcPr>
                <w:p w14:paraId="396F0B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shd w:val="clear" w:color="auto" w:fill="auto"/>
                  <w:vAlign w:val="center"/>
                </w:tcPr>
                <w:p w14:paraId="5FD884E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0.096</w:t>
                  </w:r>
                </w:p>
              </w:tc>
              <w:tc>
                <w:tcPr>
                  <w:tcW w:w="985" w:type="dxa"/>
                  <w:gridSpan w:val="2"/>
                  <w:vAlign w:val="center"/>
                </w:tcPr>
                <w:p w14:paraId="4B3AC84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495731B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0.096</w:t>
                  </w:r>
                </w:p>
              </w:tc>
              <w:tc>
                <w:tcPr>
                  <w:tcW w:w="1215" w:type="dxa"/>
                  <w:shd w:val="clear" w:color="auto" w:fill="auto"/>
                  <w:vAlign w:val="center"/>
                </w:tcPr>
                <w:p w14:paraId="65AE920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1155" w:type="dxa"/>
                  <w:shd w:val="clear" w:color="auto" w:fill="auto"/>
                  <w:vAlign w:val="center"/>
                </w:tcPr>
                <w:p w14:paraId="6408913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0.144</w:t>
                  </w:r>
                </w:p>
              </w:tc>
              <w:tc>
                <w:tcPr>
                  <w:tcW w:w="1110" w:type="dxa"/>
                  <w:vAlign w:val="center"/>
                </w:tcPr>
                <w:p w14:paraId="41B367D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shd w:val="clear" w:color="auto" w:fill="auto"/>
                  <w:vAlign w:val="center"/>
                </w:tcPr>
                <w:p w14:paraId="2B5197C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0.144</w:t>
                  </w:r>
                </w:p>
              </w:tc>
              <w:tc>
                <w:tcPr>
                  <w:tcW w:w="1351" w:type="dxa"/>
                  <w:vAlign w:val="center"/>
                </w:tcPr>
                <w:p w14:paraId="5FB59B2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0.018</w:t>
                  </w:r>
                </w:p>
              </w:tc>
            </w:tr>
            <w:tr w14:paraId="732E65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5B98EAAC">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717C24D7">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SS</w:t>
                  </w:r>
                </w:p>
              </w:tc>
              <w:tc>
                <w:tcPr>
                  <w:tcW w:w="1365" w:type="dxa"/>
                  <w:shd w:val="clear" w:color="auto" w:fill="auto"/>
                  <w:vAlign w:val="center"/>
                </w:tcPr>
                <w:p w14:paraId="2BB1E0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shd w:val="clear" w:color="auto" w:fill="auto"/>
                  <w:vAlign w:val="center"/>
                </w:tcPr>
                <w:p w14:paraId="77C4AC5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985" w:type="dxa"/>
                  <w:gridSpan w:val="2"/>
                  <w:vAlign w:val="center"/>
                </w:tcPr>
                <w:p w14:paraId="726D242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64F148A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1215" w:type="dxa"/>
                  <w:shd w:val="clear" w:color="auto" w:fill="auto"/>
                  <w:vAlign w:val="center"/>
                </w:tcPr>
                <w:p w14:paraId="0287788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-0.024</w:t>
                  </w:r>
                </w:p>
              </w:tc>
              <w:tc>
                <w:tcPr>
                  <w:tcW w:w="1155" w:type="dxa"/>
                  <w:shd w:val="clear" w:color="auto" w:fill="auto"/>
                  <w:vAlign w:val="center"/>
                </w:tcPr>
                <w:p w14:paraId="3E18DBF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10" w:type="dxa"/>
                  <w:vAlign w:val="center"/>
                </w:tcPr>
                <w:p w14:paraId="211344C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0.072</w:t>
                  </w:r>
                </w:p>
              </w:tc>
              <w:tc>
                <w:tcPr>
                  <w:tcW w:w="1440" w:type="dxa"/>
                  <w:shd w:val="clear" w:color="auto" w:fill="auto"/>
                  <w:vAlign w:val="center"/>
                </w:tcPr>
                <w:p w14:paraId="6168BDC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0.072</w:t>
                  </w:r>
                </w:p>
              </w:tc>
              <w:tc>
                <w:tcPr>
                  <w:tcW w:w="1351" w:type="dxa"/>
                  <w:vAlign w:val="center"/>
                </w:tcPr>
                <w:p w14:paraId="07BC941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0.0036</w:t>
                  </w:r>
                </w:p>
              </w:tc>
            </w:tr>
            <w:tr w14:paraId="431FCA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70CC1ED1">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0915AE4C">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NH</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-N</w:t>
                  </w:r>
                </w:p>
              </w:tc>
              <w:tc>
                <w:tcPr>
                  <w:tcW w:w="1365" w:type="dxa"/>
                  <w:shd w:val="clear" w:color="auto" w:fill="auto"/>
                  <w:vAlign w:val="center"/>
                </w:tcPr>
                <w:p w14:paraId="4F2B48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shd w:val="clear" w:color="auto" w:fill="auto"/>
                  <w:vAlign w:val="center"/>
                </w:tcPr>
                <w:p w14:paraId="0F84156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985" w:type="dxa"/>
                  <w:gridSpan w:val="2"/>
                  <w:vAlign w:val="center"/>
                </w:tcPr>
                <w:p w14:paraId="1F7B228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0A12A19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1215" w:type="dxa"/>
                  <w:shd w:val="clear" w:color="auto" w:fill="auto"/>
                  <w:vAlign w:val="center"/>
                </w:tcPr>
                <w:p w14:paraId="47980B3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-0.0036</w:t>
                  </w:r>
                </w:p>
              </w:tc>
              <w:tc>
                <w:tcPr>
                  <w:tcW w:w="1155" w:type="dxa"/>
                  <w:shd w:val="clear" w:color="auto" w:fill="auto"/>
                  <w:vAlign w:val="center"/>
                </w:tcPr>
                <w:p w14:paraId="65F1030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0.0108</w:t>
                  </w:r>
                </w:p>
              </w:tc>
              <w:tc>
                <w:tcPr>
                  <w:tcW w:w="1110" w:type="dxa"/>
                  <w:vAlign w:val="center"/>
                </w:tcPr>
                <w:p w14:paraId="6087E30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shd w:val="clear" w:color="auto" w:fill="auto"/>
                  <w:vAlign w:val="center"/>
                </w:tcPr>
                <w:p w14:paraId="3B9A460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0.0108</w:t>
                  </w:r>
                </w:p>
              </w:tc>
              <w:tc>
                <w:tcPr>
                  <w:tcW w:w="1351" w:type="dxa"/>
                  <w:vAlign w:val="center"/>
                </w:tcPr>
                <w:p w14:paraId="0F83673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0.00144</w:t>
                  </w:r>
                </w:p>
              </w:tc>
            </w:tr>
            <w:tr w14:paraId="3BD2EF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7C2B0EC3">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1F708598">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TP</w:t>
                  </w:r>
                </w:p>
              </w:tc>
              <w:tc>
                <w:tcPr>
                  <w:tcW w:w="1365" w:type="dxa"/>
                  <w:shd w:val="clear" w:color="auto" w:fill="auto"/>
                  <w:vAlign w:val="center"/>
                </w:tcPr>
                <w:p w14:paraId="6E21446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shd w:val="clear" w:color="auto" w:fill="auto"/>
                  <w:vAlign w:val="center"/>
                </w:tcPr>
                <w:p w14:paraId="2AD1235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0.00048</w:t>
                  </w:r>
                </w:p>
              </w:tc>
              <w:tc>
                <w:tcPr>
                  <w:tcW w:w="985" w:type="dxa"/>
                  <w:gridSpan w:val="2"/>
                  <w:vAlign w:val="center"/>
                </w:tcPr>
                <w:p w14:paraId="4EB2B1F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1A832EE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0.00048</w:t>
                  </w:r>
                </w:p>
              </w:tc>
              <w:tc>
                <w:tcPr>
                  <w:tcW w:w="1215" w:type="dxa"/>
                  <w:shd w:val="clear" w:color="auto" w:fill="auto"/>
                  <w:vAlign w:val="center"/>
                </w:tcPr>
                <w:p w14:paraId="01B97D8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-0.00024</w:t>
                  </w:r>
                </w:p>
              </w:tc>
              <w:tc>
                <w:tcPr>
                  <w:tcW w:w="1155" w:type="dxa"/>
                  <w:shd w:val="clear" w:color="auto" w:fill="auto"/>
                  <w:vAlign w:val="center"/>
                </w:tcPr>
                <w:p w14:paraId="01DC5A0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0.00072</w:t>
                  </w:r>
                </w:p>
              </w:tc>
              <w:tc>
                <w:tcPr>
                  <w:tcW w:w="1110" w:type="dxa"/>
                  <w:vAlign w:val="center"/>
                </w:tcPr>
                <w:p w14:paraId="44679BC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shd w:val="clear" w:color="auto" w:fill="auto"/>
                  <w:vAlign w:val="center"/>
                </w:tcPr>
                <w:p w14:paraId="716696E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0.00072</w:t>
                  </w:r>
                </w:p>
              </w:tc>
              <w:tc>
                <w:tcPr>
                  <w:tcW w:w="1351" w:type="dxa"/>
                  <w:vAlign w:val="center"/>
                </w:tcPr>
                <w:p w14:paraId="5DA04A4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0.00018</w:t>
                  </w:r>
                </w:p>
              </w:tc>
            </w:tr>
            <w:tr w14:paraId="18DFBD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4ECFABC8">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09CB0B21">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TN</w:t>
                  </w:r>
                </w:p>
              </w:tc>
              <w:tc>
                <w:tcPr>
                  <w:tcW w:w="1365" w:type="dxa"/>
                  <w:shd w:val="clear" w:color="auto" w:fill="auto"/>
                  <w:vAlign w:val="center"/>
                </w:tcPr>
                <w:p w14:paraId="3364DD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shd w:val="clear" w:color="auto" w:fill="auto"/>
                  <w:vAlign w:val="center"/>
                </w:tcPr>
                <w:p w14:paraId="77A7170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0.0096</w:t>
                  </w:r>
                </w:p>
              </w:tc>
              <w:tc>
                <w:tcPr>
                  <w:tcW w:w="985" w:type="dxa"/>
                  <w:gridSpan w:val="2"/>
                  <w:vAlign w:val="center"/>
                </w:tcPr>
                <w:p w14:paraId="6526C17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606F5E0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0.0096</w:t>
                  </w:r>
                </w:p>
              </w:tc>
              <w:tc>
                <w:tcPr>
                  <w:tcW w:w="1215" w:type="dxa"/>
                  <w:shd w:val="clear" w:color="auto" w:fill="auto"/>
                  <w:vAlign w:val="center"/>
                </w:tcPr>
                <w:p w14:paraId="42FBA23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-0.0048</w:t>
                  </w:r>
                </w:p>
              </w:tc>
              <w:tc>
                <w:tcPr>
                  <w:tcW w:w="1155" w:type="dxa"/>
                  <w:shd w:val="clear" w:color="auto" w:fill="auto"/>
                  <w:vAlign w:val="center"/>
                </w:tcPr>
                <w:p w14:paraId="0180988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0.0144</w:t>
                  </w:r>
                </w:p>
              </w:tc>
              <w:tc>
                <w:tcPr>
                  <w:tcW w:w="1110" w:type="dxa"/>
                  <w:vAlign w:val="center"/>
                </w:tcPr>
                <w:p w14:paraId="091D5B3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shd w:val="clear" w:color="auto" w:fill="auto"/>
                  <w:vAlign w:val="center"/>
                </w:tcPr>
                <w:p w14:paraId="5F53D1D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0.0144</w:t>
                  </w:r>
                </w:p>
              </w:tc>
              <w:tc>
                <w:tcPr>
                  <w:tcW w:w="1351" w:type="dxa"/>
                  <w:vAlign w:val="center"/>
                </w:tcPr>
                <w:p w14:paraId="23AA248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0.00432</w:t>
                  </w:r>
                </w:p>
              </w:tc>
            </w:tr>
            <w:tr w14:paraId="56FBD8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93" w:type="dxa"/>
                  <w:vMerge w:val="restart"/>
                  <w:vAlign w:val="center"/>
                </w:tcPr>
                <w:p w14:paraId="6DE25DC8">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大气污染物</w:t>
                  </w:r>
                </w:p>
              </w:tc>
              <w:tc>
                <w:tcPr>
                  <w:tcW w:w="570" w:type="dxa"/>
                  <w:vMerge w:val="restart"/>
                  <w:vAlign w:val="center"/>
                </w:tcPr>
                <w:p w14:paraId="39D2C4BA">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有组织</w:t>
                  </w:r>
                </w:p>
              </w:tc>
              <w:tc>
                <w:tcPr>
                  <w:tcW w:w="1725" w:type="dxa"/>
                  <w:shd w:val="clear" w:color="auto" w:fill="auto"/>
                  <w:vAlign w:val="center"/>
                </w:tcPr>
                <w:p w14:paraId="18D6E80C">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硫酸雾</w:t>
                  </w:r>
                </w:p>
              </w:tc>
              <w:tc>
                <w:tcPr>
                  <w:tcW w:w="1365" w:type="dxa"/>
                  <w:vAlign w:val="center"/>
                </w:tcPr>
                <w:p w14:paraId="7E7EE1BD">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985" w:type="dxa"/>
                  <w:shd w:val="clear" w:color="auto" w:fill="auto"/>
                  <w:vAlign w:val="center"/>
                </w:tcPr>
                <w:p w14:paraId="40986AC8">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0.143</w:t>
                  </w:r>
                </w:p>
              </w:tc>
              <w:tc>
                <w:tcPr>
                  <w:tcW w:w="985" w:type="dxa"/>
                  <w:gridSpan w:val="2"/>
                  <w:shd w:val="clear" w:color="auto" w:fill="auto"/>
                  <w:vAlign w:val="center"/>
                </w:tcPr>
                <w:p w14:paraId="3D326764">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0.129</w:t>
                  </w:r>
                </w:p>
              </w:tc>
              <w:tc>
                <w:tcPr>
                  <w:tcW w:w="985" w:type="dxa"/>
                  <w:shd w:val="clear" w:color="auto" w:fill="auto"/>
                  <w:vAlign w:val="center"/>
                </w:tcPr>
                <w:p w14:paraId="7F12760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c>
                <w:tcPr>
                  <w:tcW w:w="1215" w:type="dxa"/>
                  <w:shd w:val="clear" w:color="auto" w:fill="auto"/>
                  <w:vAlign w:val="center"/>
                </w:tcPr>
                <w:p w14:paraId="4AD1B08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1155" w:type="dxa"/>
                  <w:shd w:val="clear" w:color="auto" w:fill="auto"/>
                  <w:vAlign w:val="center"/>
                </w:tcPr>
                <w:p w14:paraId="4A09BC9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110" w:type="dxa"/>
                  <w:vAlign w:val="center"/>
                </w:tcPr>
                <w:p w14:paraId="21A1B69A">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0.003</w:t>
                  </w:r>
                </w:p>
              </w:tc>
              <w:tc>
                <w:tcPr>
                  <w:tcW w:w="1440" w:type="dxa"/>
                  <w:shd w:val="clear" w:color="auto" w:fill="auto"/>
                  <w:vAlign w:val="center"/>
                </w:tcPr>
                <w:p w14:paraId="5EDD3DBD">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c>
                <w:tcPr>
                  <w:tcW w:w="1351" w:type="dxa"/>
                  <w:shd w:val="clear" w:color="auto" w:fill="auto"/>
                  <w:vAlign w:val="center"/>
                </w:tcPr>
                <w:p w14:paraId="7A01695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r>
            <w:tr w14:paraId="574ACA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93" w:type="dxa"/>
                  <w:vMerge w:val="continue"/>
                  <w:vAlign w:val="center"/>
                </w:tcPr>
                <w:p w14:paraId="230B3CD8">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70" w:type="dxa"/>
                  <w:vMerge w:val="continue"/>
                  <w:vAlign w:val="center"/>
                </w:tcPr>
                <w:p w14:paraId="46546E7B">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shd w:val="clear" w:color="auto" w:fill="auto"/>
                  <w:vAlign w:val="center"/>
                </w:tcPr>
                <w:p w14:paraId="37C4B26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VOCs（</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以</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计</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365" w:type="dxa"/>
                  <w:shd w:val="clear" w:color="auto" w:fill="auto"/>
                  <w:vAlign w:val="center"/>
                </w:tcPr>
                <w:p w14:paraId="174E57B9">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985" w:type="dxa"/>
                  <w:shd w:val="clear" w:color="auto" w:fill="auto"/>
                  <w:vAlign w:val="center"/>
                </w:tcPr>
                <w:p w14:paraId="59F7A681">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0.289</w:t>
                  </w:r>
                </w:p>
              </w:tc>
              <w:tc>
                <w:tcPr>
                  <w:tcW w:w="985" w:type="dxa"/>
                  <w:gridSpan w:val="2"/>
                  <w:shd w:val="clear" w:color="auto" w:fill="auto"/>
                  <w:vAlign w:val="center"/>
                </w:tcPr>
                <w:p w14:paraId="255DF83D">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0.26</w:t>
                  </w:r>
                </w:p>
              </w:tc>
              <w:tc>
                <w:tcPr>
                  <w:tcW w:w="985" w:type="dxa"/>
                  <w:shd w:val="clear" w:color="auto" w:fill="auto"/>
                  <w:vAlign w:val="center"/>
                </w:tcPr>
                <w:p w14:paraId="51181B8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0.029</w:t>
                  </w:r>
                </w:p>
              </w:tc>
              <w:tc>
                <w:tcPr>
                  <w:tcW w:w="1215" w:type="dxa"/>
                  <w:shd w:val="clear" w:color="auto" w:fill="auto"/>
                  <w:vAlign w:val="center"/>
                </w:tcPr>
                <w:p w14:paraId="37B824C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1155" w:type="dxa"/>
                  <w:shd w:val="clear" w:color="auto" w:fill="auto"/>
                  <w:vAlign w:val="center"/>
                </w:tcPr>
                <w:p w14:paraId="5649E72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0.024</w:t>
                  </w:r>
                </w:p>
              </w:tc>
              <w:tc>
                <w:tcPr>
                  <w:tcW w:w="1110" w:type="dxa"/>
                  <w:vAlign w:val="center"/>
                </w:tcPr>
                <w:p w14:paraId="2A4B56C0">
                  <w:pPr>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440" w:type="dxa"/>
                  <w:shd w:val="clear" w:color="auto" w:fill="auto"/>
                  <w:vAlign w:val="center"/>
                </w:tcPr>
                <w:p w14:paraId="6637DF8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0.029</w:t>
                  </w:r>
                </w:p>
              </w:tc>
              <w:tc>
                <w:tcPr>
                  <w:tcW w:w="1351" w:type="dxa"/>
                  <w:shd w:val="clear" w:color="auto" w:fill="auto"/>
                  <w:vAlign w:val="center"/>
                </w:tcPr>
                <w:p w14:paraId="1294A16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0.029</w:t>
                  </w:r>
                </w:p>
              </w:tc>
            </w:tr>
            <w:tr w14:paraId="7E74FC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7" w:hRule="atLeast"/>
              </w:trPr>
              <w:tc>
                <w:tcPr>
                  <w:tcW w:w="693" w:type="dxa"/>
                  <w:vMerge w:val="continue"/>
                  <w:vAlign w:val="center"/>
                </w:tcPr>
                <w:p w14:paraId="6C76CB45">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70" w:type="dxa"/>
                  <w:vMerge w:val="continue"/>
                  <w:vAlign w:val="center"/>
                </w:tcPr>
                <w:p w14:paraId="2476CB3E">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shd w:val="clear" w:color="auto" w:fill="auto"/>
                  <w:vAlign w:val="center"/>
                </w:tcPr>
                <w:p w14:paraId="247B101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1365" w:type="dxa"/>
                  <w:shd w:val="clear" w:color="auto" w:fill="auto"/>
                  <w:vAlign w:val="center"/>
                </w:tcPr>
                <w:p w14:paraId="64A7C0E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985" w:type="dxa"/>
                  <w:shd w:val="clear" w:color="auto" w:fill="auto"/>
                  <w:vAlign w:val="center"/>
                </w:tcPr>
                <w:p w14:paraId="57343EDD">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0.124</w:t>
                  </w:r>
                </w:p>
              </w:tc>
              <w:tc>
                <w:tcPr>
                  <w:tcW w:w="985" w:type="dxa"/>
                  <w:gridSpan w:val="2"/>
                  <w:shd w:val="clear" w:color="auto" w:fill="auto"/>
                  <w:vAlign w:val="center"/>
                </w:tcPr>
                <w:p w14:paraId="3A705EFA">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0.112</w:t>
                  </w:r>
                </w:p>
              </w:tc>
              <w:tc>
                <w:tcPr>
                  <w:tcW w:w="985" w:type="dxa"/>
                  <w:shd w:val="clear" w:color="auto" w:fill="auto"/>
                  <w:vAlign w:val="center"/>
                </w:tcPr>
                <w:p w14:paraId="0B2BEBD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1215" w:type="dxa"/>
                  <w:shd w:val="clear" w:color="auto" w:fill="auto"/>
                  <w:vAlign w:val="center"/>
                </w:tcPr>
                <w:p w14:paraId="4231CE57">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1155" w:type="dxa"/>
                  <w:shd w:val="clear" w:color="auto" w:fill="auto"/>
                  <w:vAlign w:val="center"/>
                </w:tcPr>
                <w:p w14:paraId="3145CF49">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110" w:type="dxa"/>
                  <w:vAlign w:val="center"/>
                </w:tcPr>
                <w:p w14:paraId="7C6915EA">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0.010</w:t>
                  </w:r>
                </w:p>
              </w:tc>
              <w:tc>
                <w:tcPr>
                  <w:tcW w:w="1440" w:type="dxa"/>
                  <w:shd w:val="clear" w:color="auto" w:fill="auto"/>
                  <w:vAlign w:val="center"/>
                </w:tcPr>
                <w:p w14:paraId="082C183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1351" w:type="dxa"/>
                  <w:shd w:val="clear" w:color="auto" w:fill="auto"/>
                  <w:vAlign w:val="center"/>
                </w:tcPr>
                <w:p w14:paraId="4B2E28E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r>
            <w:tr w14:paraId="44C0EC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93" w:type="dxa"/>
                  <w:vMerge w:val="continue"/>
                  <w:vAlign w:val="center"/>
                </w:tcPr>
                <w:p w14:paraId="78E940E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70" w:type="dxa"/>
                  <w:vMerge w:val="restart"/>
                  <w:vAlign w:val="center"/>
                </w:tcPr>
                <w:p w14:paraId="6C5F0D63">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无组织</w:t>
                  </w:r>
                </w:p>
              </w:tc>
              <w:tc>
                <w:tcPr>
                  <w:tcW w:w="1725" w:type="dxa"/>
                  <w:shd w:val="clear" w:color="auto" w:fill="auto"/>
                  <w:vAlign w:val="center"/>
                </w:tcPr>
                <w:p w14:paraId="540F9879">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硫酸雾</w:t>
                  </w:r>
                </w:p>
              </w:tc>
              <w:tc>
                <w:tcPr>
                  <w:tcW w:w="1365" w:type="dxa"/>
                  <w:shd w:val="clear" w:color="auto" w:fill="auto"/>
                  <w:vAlign w:val="center"/>
                </w:tcPr>
                <w:p w14:paraId="4DBB231B">
                  <w:pPr>
                    <w:spacing w:line="276"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985" w:type="dxa"/>
                  <w:shd w:val="clear" w:color="auto" w:fill="auto"/>
                  <w:vAlign w:val="center"/>
                </w:tcPr>
                <w:p w14:paraId="7D24F0CC">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985" w:type="dxa"/>
                  <w:gridSpan w:val="2"/>
                  <w:shd w:val="clear" w:color="auto" w:fill="auto"/>
                  <w:vAlign w:val="center"/>
                </w:tcPr>
                <w:p w14:paraId="1596AAB5">
                  <w:pPr>
                    <w:spacing w:line="276"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1458E481">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1215" w:type="dxa"/>
                  <w:shd w:val="clear" w:color="auto" w:fill="auto"/>
                  <w:vAlign w:val="center"/>
                </w:tcPr>
                <w:p w14:paraId="3F3D16AF">
                  <w:pPr>
                    <w:spacing w:line="276"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1155" w:type="dxa"/>
                  <w:shd w:val="clear" w:color="auto" w:fill="auto"/>
                  <w:vAlign w:val="center"/>
                </w:tcPr>
                <w:p w14:paraId="3079671D">
                  <w:pPr>
                    <w:spacing w:line="276"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110" w:type="dxa"/>
                  <w:vAlign w:val="center"/>
                </w:tcPr>
                <w:p w14:paraId="190AEADC">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1440" w:type="dxa"/>
                  <w:shd w:val="clear" w:color="auto" w:fill="auto"/>
                  <w:vAlign w:val="center"/>
                </w:tcPr>
                <w:p w14:paraId="4C0D7FC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1351" w:type="dxa"/>
                  <w:shd w:val="clear" w:color="auto" w:fill="auto"/>
                  <w:vAlign w:val="center"/>
                </w:tcPr>
                <w:p w14:paraId="042DCE9D">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r>
            <w:tr w14:paraId="64350F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93" w:type="dxa"/>
                  <w:vMerge w:val="continue"/>
                  <w:vAlign w:val="center"/>
                </w:tcPr>
                <w:p w14:paraId="184D68CE">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70" w:type="dxa"/>
                  <w:vMerge w:val="continue"/>
                  <w:vAlign w:val="center"/>
                </w:tcPr>
                <w:p w14:paraId="5573B54B">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shd w:val="clear" w:color="auto" w:fill="auto"/>
                  <w:vAlign w:val="center"/>
                </w:tcPr>
                <w:p w14:paraId="566325A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VOCs（</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以</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计</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365" w:type="dxa"/>
                  <w:shd w:val="clear" w:color="auto" w:fill="auto"/>
                  <w:vAlign w:val="center"/>
                </w:tcPr>
                <w:p w14:paraId="167778A2">
                  <w:pPr>
                    <w:spacing w:line="276"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3530DDCD">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985" w:type="dxa"/>
                  <w:gridSpan w:val="2"/>
                  <w:shd w:val="clear" w:color="auto" w:fill="auto"/>
                  <w:vAlign w:val="center"/>
                </w:tcPr>
                <w:p w14:paraId="4823FC72">
                  <w:pPr>
                    <w:spacing w:line="276"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76407F64">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1215" w:type="dxa"/>
                  <w:shd w:val="clear" w:color="auto" w:fill="auto"/>
                  <w:vAlign w:val="center"/>
                </w:tcPr>
                <w:p w14:paraId="1C00C1C1">
                  <w:pPr>
                    <w:spacing w:line="276"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155" w:type="dxa"/>
                  <w:shd w:val="clear" w:color="auto" w:fill="auto"/>
                  <w:vAlign w:val="center"/>
                </w:tcPr>
                <w:p w14:paraId="27BC1441">
                  <w:pPr>
                    <w:spacing w:line="276"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1110" w:type="dxa"/>
                  <w:vAlign w:val="center"/>
                </w:tcPr>
                <w:p w14:paraId="628FBA25">
                  <w:pPr>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440" w:type="dxa"/>
                  <w:shd w:val="clear" w:color="auto" w:fill="auto"/>
                  <w:vAlign w:val="center"/>
                </w:tcPr>
                <w:p w14:paraId="1B85E9B2">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1351" w:type="dxa"/>
                  <w:shd w:val="clear" w:color="auto" w:fill="auto"/>
                  <w:vAlign w:val="center"/>
                </w:tcPr>
                <w:p w14:paraId="76BC0F95">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r>
            <w:tr w14:paraId="652935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93" w:type="dxa"/>
                  <w:vMerge w:val="continue"/>
                  <w:vAlign w:val="center"/>
                </w:tcPr>
                <w:p w14:paraId="4D1D574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70" w:type="dxa"/>
                  <w:vMerge w:val="continue"/>
                  <w:vAlign w:val="center"/>
                </w:tcPr>
                <w:p w14:paraId="42B2BA17">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shd w:val="clear" w:color="auto" w:fill="auto"/>
                  <w:vAlign w:val="center"/>
                </w:tcPr>
                <w:p w14:paraId="6D522C4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1365" w:type="dxa"/>
                  <w:shd w:val="clear" w:color="auto" w:fill="auto"/>
                  <w:vAlign w:val="center"/>
                </w:tcPr>
                <w:p w14:paraId="7A09F6C4">
                  <w:pPr>
                    <w:spacing w:line="276"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757D2707">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c>
                <w:tcPr>
                  <w:tcW w:w="985" w:type="dxa"/>
                  <w:gridSpan w:val="2"/>
                  <w:shd w:val="clear" w:color="auto" w:fill="auto"/>
                  <w:vAlign w:val="center"/>
                </w:tcPr>
                <w:p w14:paraId="2A3149FC">
                  <w:pPr>
                    <w:spacing w:line="276"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985" w:type="dxa"/>
                  <w:shd w:val="clear" w:color="auto" w:fill="auto"/>
                  <w:vAlign w:val="center"/>
                </w:tcPr>
                <w:p w14:paraId="32669742">
                  <w:pPr>
                    <w:spacing w:line="276"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c>
                <w:tcPr>
                  <w:tcW w:w="1215" w:type="dxa"/>
                  <w:shd w:val="clear" w:color="auto" w:fill="auto"/>
                  <w:vAlign w:val="center"/>
                </w:tcPr>
                <w:p w14:paraId="5AA4559C">
                  <w:pPr>
                    <w:spacing w:line="276"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155" w:type="dxa"/>
                  <w:shd w:val="clear" w:color="auto" w:fill="auto"/>
                  <w:vAlign w:val="center"/>
                </w:tcPr>
                <w:p w14:paraId="3AE89FC4">
                  <w:pPr>
                    <w:spacing w:line="276"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110" w:type="dxa"/>
                  <w:vAlign w:val="center"/>
                </w:tcPr>
                <w:p w14:paraId="2337AED8">
                  <w:pPr>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c>
                <w:tcPr>
                  <w:tcW w:w="1440" w:type="dxa"/>
                  <w:shd w:val="clear" w:color="auto" w:fill="auto"/>
                  <w:vAlign w:val="center"/>
                </w:tcPr>
                <w:p w14:paraId="0B3035D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c>
                <w:tcPr>
                  <w:tcW w:w="1351" w:type="dxa"/>
                  <w:shd w:val="clear" w:color="auto" w:fill="auto"/>
                  <w:vAlign w:val="center"/>
                </w:tcPr>
                <w:p w14:paraId="63C85419">
                  <w:pPr>
                    <w:spacing w:line="276"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r>
            <w:tr w14:paraId="170A68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restart"/>
                  <w:vAlign w:val="center"/>
                </w:tcPr>
                <w:p w14:paraId="1A419657">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固废</w:t>
                  </w:r>
                </w:p>
              </w:tc>
              <w:tc>
                <w:tcPr>
                  <w:tcW w:w="1725" w:type="dxa"/>
                  <w:vAlign w:val="center"/>
                </w:tcPr>
                <w:p w14:paraId="613E76F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危险固废</w:t>
                  </w:r>
                </w:p>
              </w:tc>
              <w:tc>
                <w:tcPr>
                  <w:tcW w:w="1365" w:type="dxa"/>
                  <w:vAlign w:val="center"/>
                </w:tcPr>
                <w:p w14:paraId="5247DCFC">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vAlign w:val="center"/>
                </w:tcPr>
                <w:p w14:paraId="030E07F0">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99.63</w:t>
                  </w:r>
                </w:p>
              </w:tc>
              <w:tc>
                <w:tcPr>
                  <w:tcW w:w="985" w:type="dxa"/>
                  <w:gridSpan w:val="2"/>
                  <w:shd w:val="clear" w:color="auto" w:fill="auto"/>
                  <w:vAlign w:val="center"/>
                </w:tcPr>
                <w:p w14:paraId="117903B1">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99.63</w:t>
                  </w:r>
                </w:p>
              </w:tc>
              <w:tc>
                <w:tcPr>
                  <w:tcW w:w="985" w:type="dxa"/>
                  <w:vAlign w:val="center"/>
                </w:tcPr>
                <w:p w14:paraId="29F5FF17">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215" w:type="dxa"/>
                  <w:vAlign w:val="center"/>
                </w:tcPr>
                <w:p w14:paraId="2148DCBD">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155" w:type="dxa"/>
                  <w:vAlign w:val="center"/>
                </w:tcPr>
                <w:p w14:paraId="62666654">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110" w:type="dxa"/>
                  <w:vAlign w:val="center"/>
                </w:tcPr>
                <w:p w14:paraId="773E7DD1">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440" w:type="dxa"/>
                  <w:vAlign w:val="center"/>
                </w:tcPr>
                <w:p w14:paraId="6A047B61">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351" w:type="dxa"/>
                  <w:vAlign w:val="center"/>
                </w:tcPr>
                <w:p w14:paraId="59BBF62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r w14:paraId="3D65E7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1FE47461">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25EDCBDB">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一般固废</w:t>
                  </w:r>
                </w:p>
              </w:tc>
              <w:tc>
                <w:tcPr>
                  <w:tcW w:w="1365" w:type="dxa"/>
                  <w:vAlign w:val="center"/>
                </w:tcPr>
                <w:p w14:paraId="018346C0">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85" w:type="dxa"/>
                  <w:vAlign w:val="center"/>
                </w:tcPr>
                <w:p w14:paraId="7451BC65">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21.526</w:t>
                  </w:r>
                </w:p>
              </w:tc>
              <w:tc>
                <w:tcPr>
                  <w:tcW w:w="985" w:type="dxa"/>
                  <w:gridSpan w:val="2"/>
                  <w:shd w:val="clear" w:color="auto" w:fill="auto"/>
                  <w:vAlign w:val="center"/>
                </w:tcPr>
                <w:p w14:paraId="2F71BE1A">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21.526</w:t>
                  </w:r>
                </w:p>
              </w:tc>
              <w:tc>
                <w:tcPr>
                  <w:tcW w:w="985" w:type="dxa"/>
                  <w:vAlign w:val="center"/>
                </w:tcPr>
                <w:p w14:paraId="1D4ECDC3">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215" w:type="dxa"/>
                  <w:vAlign w:val="center"/>
                </w:tcPr>
                <w:p w14:paraId="32FF1350">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155" w:type="dxa"/>
                  <w:vAlign w:val="center"/>
                </w:tcPr>
                <w:p w14:paraId="3F64BE5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110" w:type="dxa"/>
                  <w:vAlign w:val="center"/>
                </w:tcPr>
                <w:p w14:paraId="53E50D02">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440" w:type="dxa"/>
                  <w:vAlign w:val="center"/>
                </w:tcPr>
                <w:p w14:paraId="33EE7389">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351" w:type="dxa"/>
                  <w:vAlign w:val="center"/>
                </w:tcPr>
                <w:p w14:paraId="6D5C6A88">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r w14:paraId="12A023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3" w:type="dxa"/>
                  <w:gridSpan w:val="2"/>
                  <w:vMerge w:val="continue"/>
                  <w:vAlign w:val="center"/>
                </w:tcPr>
                <w:p w14:paraId="55EA9B10">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725" w:type="dxa"/>
                  <w:vAlign w:val="center"/>
                </w:tcPr>
                <w:p w14:paraId="1207F008">
                  <w:pPr>
                    <w:ind w:left="-105" w:leftChars="-50" w:right="-105" w:rightChars="-5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生活垃圾</w:t>
                  </w:r>
                </w:p>
              </w:tc>
              <w:tc>
                <w:tcPr>
                  <w:tcW w:w="1365" w:type="dxa"/>
                  <w:vAlign w:val="center"/>
                </w:tcPr>
                <w:p w14:paraId="32E7FB4A">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90" w:type="dxa"/>
                  <w:gridSpan w:val="2"/>
                  <w:vAlign w:val="center"/>
                </w:tcPr>
                <w:p w14:paraId="37814C1D">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980" w:type="dxa"/>
                  <w:shd w:val="clear" w:color="auto" w:fill="auto"/>
                  <w:vAlign w:val="center"/>
                </w:tcPr>
                <w:p w14:paraId="0C1BDFFA">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985" w:type="dxa"/>
                  <w:vAlign w:val="center"/>
                </w:tcPr>
                <w:p w14:paraId="7C4D1CE8">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215" w:type="dxa"/>
                  <w:vAlign w:val="center"/>
                </w:tcPr>
                <w:p w14:paraId="4E8472D5">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155" w:type="dxa"/>
                  <w:vAlign w:val="center"/>
                </w:tcPr>
                <w:p w14:paraId="45E39405">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110" w:type="dxa"/>
                  <w:vAlign w:val="center"/>
                </w:tcPr>
                <w:p w14:paraId="7377BDC0">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440" w:type="dxa"/>
                  <w:vAlign w:val="center"/>
                </w:tcPr>
                <w:p w14:paraId="14C1B9ED">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1351" w:type="dxa"/>
                  <w:vAlign w:val="center"/>
                </w:tcPr>
                <w:p w14:paraId="02326A73">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bl>
          <w:p w14:paraId="4AFAD980">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、总量平衡方案</w:t>
            </w:r>
          </w:p>
          <w:p w14:paraId="21B3D7E4">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（1）大气污染物</w:t>
            </w:r>
          </w:p>
          <w:p w14:paraId="76C8BA63">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废气：根据《常州市建设项目主要污染物排放总量指标审核及管理实施细则》（常政办发</w:t>
            </w:r>
            <w:r>
              <w:rPr>
                <w:rFonts w:hint="eastAsia" w:ascii="Times New Roman" w:hAnsi="Times New Roman" w:eastAsia="宋体" w:cs="Times New Roman"/>
                <w:color w:val="000000" w:themeColor="text1"/>
                <w:sz w:val="24"/>
                <w:lang w:val="en-US" w:eastAsia="zh-CN"/>
                <w14:textFill>
                  <w14:solidFill>
                    <w14:schemeClr w14:val="tx1"/>
                  </w14:solidFill>
                </w14:textFill>
              </w:rPr>
              <w:t>〔2015〕104号）</w:t>
            </w:r>
            <w:r>
              <w:rPr>
                <w:rFonts w:hint="default" w:ascii="Times New Roman" w:hAnsi="Times New Roman" w:eastAsia="宋体" w:cs="Times New Roman"/>
                <w:color w:val="000000" w:themeColor="text1"/>
                <w:sz w:val="24"/>
                <w:lang w:val="en-US" w:eastAsia="zh-CN"/>
                <w14:textFill>
                  <w14:solidFill>
                    <w14:schemeClr w14:val="tx1"/>
                  </w14:solidFill>
                </w14:textFill>
              </w:rPr>
              <w:t>规定：“新、改、扩建排放烟粉尘、挥发性有机物的项目，实行现役源2倍削减量替代或关闭类项目1.5倍削减量替代”。</w:t>
            </w:r>
          </w:p>
          <w:p w14:paraId="08B8925B">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大气污染物排放总量控制指标为：VOCs：0.</w:t>
            </w:r>
            <w:r>
              <w:rPr>
                <w:rFonts w:hint="eastAsia" w:ascii="Times New Roman" w:hAnsi="Times New Roman" w:eastAsia="宋体" w:cs="Times New Roman"/>
                <w:color w:val="000000" w:themeColor="text1"/>
                <w:sz w:val="24"/>
                <w:lang w:val="en-US" w:eastAsia="zh-CN"/>
                <w14:textFill>
                  <w14:solidFill>
                    <w14:schemeClr w14:val="tx1"/>
                  </w14:solidFill>
                </w14:textFill>
              </w:rPr>
              <w:t>044</w:t>
            </w:r>
            <w:r>
              <w:rPr>
                <w:rFonts w:hint="default" w:ascii="Times New Roman" w:hAnsi="Times New Roman" w:eastAsia="宋体" w:cs="Times New Roman"/>
                <w:color w:val="000000" w:themeColor="text1"/>
                <w:sz w:val="24"/>
                <w:lang w:val="en-US" w:eastAsia="zh-CN"/>
                <w14:textFill>
                  <w14:solidFill>
                    <w14:schemeClr w14:val="tx1"/>
                  </w14:solidFill>
                </w14:textFill>
              </w:rPr>
              <w:t>t/a（其中，有组织排放0.</w:t>
            </w:r>
            <w:r>
              <w:rPr>
                <w:rFonts w:hint="eastAsia" w:ascii="Times New Roman" w:hAnsi="Times New Roman" w:eastAsia="宋体" w:cs="Times New Roman"/>
                <w:color w:val="000000" w:themeColor="text1"/>
                <w:sz w:val="24"/>
                <w:lang w:val="en-US" w:eastAsia="zh-CN"/>
                <w14:textFill>
                  <w14:solidFill>
                    <w14:schemeClr w14:val="tx1"/>
                  </w14:solidFill>
                </w14:textFill>
              </w:rPr>
              <w:t>029</w:t>
            </w:r>
            <w:r>
              <w:rPr>
                <w:rFonts w:hint="default" w:ascii="Times New Roman" w:hAnsi="Times New Roman" w:eastAsia="宋体" w:cs="Times New Roman"/>
                <w:color w:val="000000" w:themeColor="text1"/>
                <w:sz w:val="24"/>
                <w:lang w:val="en-US" w:eastAsia="zh-CN"/>
                <w14:textFill>
                  <w14:solidFill>
                    <w14:schemeClr w14:val="tx1"/>
                  </w14:solidFill>
                </w14:textFill>
              </w:rPr>
              <w:t>t/a、无组织排放0.</w:t>
            </w:r>
            <w:r>
              <w:rPr>
                <w:rFonts w:hint="eastAsia" w:ascii="Times New Roman" w:hAnsi="Times New Roman" w:eastAsia="宋体" w:cs="Times New Roman"/>
                <w:color w:val="000000" w:themeColor="text1"/>
                <w:sz w:val="24"/>
                <w:lang w:val="en-US" w:eastAsia="zh-CN"/>
                <w14:textFill>
                  <w14:solidFill>
                    <w14:schemeClr w14:val="tx1"/>
                  </w14:solidFill>
                </w14:textFill>
              </w:rPr>
              <w:t>015</w:t>
            </w:r>
            <w:r>
              <w:rPr>
                <w:rFonts w:hint="default" w:ascii="Times New Roman" w:hAnsi="Times New Roman" w:eastAsia="宋体" w:cs="Times New Roman"/>
                <w:color w:val="000000" w:themeColor="text1"/>
                <w:sz w:val="24"/>
                <w:lang w:val="en-US" w:eastAsia="zh-CN"/>
                <w14:textFill>
                  <w14:solidFill>
                    <w14:schemeClr w14:val="tx1"/>
                  </w14:solidFill>
                </w14:textFill>
              </w:rPr>
              <w:t>t/a），故本项目需申请总量为：VOCs：0.</w:t>
            </w:r>
            <w:r>
              <w:rPr>
                <w:rFonts w:hint="eastAsia" w:ascii="Times New Roman" w:hAnsi="Times New Roman" w:eastAsia="宋体" w:cs="Times New Roman"/>
                <w:color w:val="000000" w:themeColor="text1"/>
                <w:sz w:val="24"/>
                <w:lang w:val="en-US" w:eastAsia="zh-CN"/>
                <w14:textFill>
                  <w14:solidFill>
                    <w14:schemeClr w14:val="tx1"/>
                  </w14:solidFill>
                </w14:textFill>
              </w:rPr>
              <w:t>044</w:t>
            </w:r>
            <w:r>
              <w:rPr>
                <w:rFonts w:hint="default" w:ascii="Times New Roman" w:hAnsi="Times New Roman" w:eastAsia="宋体" w:cs="Times New Roman"/>
                <w:color w:val="000000" w:themeColor="text1"/>
                <w:sz w:val="24"/>
                <w:lang w:val="en-US" w:eastAsia="zh-CN"/>
                <w14:textFill>
                  <w14:solidFill>
                    <w14:schemeClr w14:val="tx1"/>
                  </w14:solidFill>
                </w14:textFill>
              </w:rPr>
              <w:t>t/a，拟在金坛区内进行平衡。</w:t>
            </w:r>
          </w:p>
          <w:p w14:paraId="7061F77A">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（2）水污染物</w:t>
            </w:r>
          </w:p>
          <w:p w14:paraId="14FB4D6E">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本项目生活污水</w:t>
            </w:r>
            <w:r>
              <w:rPr>
                <w:rFonts w:hint="default" w:ascii="Times New Roman" w:hAnsi="Times New Roman" w:eastAsia="宋体" w:cs="Times New Roman"/>
                <w:bCs/>
                <w:color w:val="000000" w:themeColor="text1"/>
                <w:sz w:val="24"/>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4"/>
                <w:lang w:val="en-US" w:eastAsia="zh-CN"/>
                <w14:textFill>
                  <w14:solidFill>
                    <w14:schemeClr w14:val="tx1"/>
                  </w14:solidFill>
                </w14:textFill>
              </w:rPr>
              <w:t>常州市金坛区第二污水厂集中处理。项目建成后废水排放总量为</w:t>
            </w:r>
            <w:r>
              <w:rPr>
                <w:rFonts w:hint="eastAsia" w:ascii="Times New Roman" w:hAnsi="Times New Roman" w:eastAsia="宋体" w:cs="Times New Roman"/>
                <w:color w:val="000000" w:themeColor="text1"/>
                <w:sz w:val="24"/>
                <w:lang w:val="en-US" w:eastAsia="zh-CN"/>
                <w14:textFill>
                  <w14:solidFill>
                    <w14:schemeClr w14:val="tx1"/>
                  </w14:solidFill>
                </w14:textFill>
              </w:rPr>
              <w:t>360</w:t>
            </w:r>
            <w:r>
              <w:rPr>
                <w:rFonts w:hint="default" w:ascii="Times New Roman" w:hAnsi="Times New Roman" w:eastAsia="宋体" w:cs="Times New Roman"/>
                <w:color w:val="000000" w:themeColor="text1"/>
                <w:sz w:val="24"/>
                <w:lang w:val="en-US" w:eastAsia="zh-CN"/>
                <w14:textFill>
                  <w14:solidFill>
                    <w14:schemeClr w14:val="tx1"/>
                  </w14:solidFill>
                </w14:textFill>
              </w:rPr>
              <w:t>t/a，水污染物排放总量在常州市金坛区第二污水厂内平衡。</w:t>
            </w:r>
          </w:p>
          <w:p w14:paraId="3734C8C2">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（3）固体废弃物</w:t>
            </w:r>
          </w:p>
          <w:p w14:paraId="0C89685E">
            <w:pPr>
              <w:adjustRightInd w:val="0"/>
              <w:snapToGrid w:val="0"/>
              <w:spacing w:before="120" w:beforeLines="50"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本项目固体废弃物全部“零”排放，不会产生二次污染，故不申请总量。</w:t>
            </w:r>
          </w:p>
        </w:tc>
      </w:tr>
    </w:tbl>
    <w:p w14:paraId="33D8180B">
      <w:pPr>
        <w:pStyle w:val="33"/>
        <w:rPr>
          <w:rFonts w:hint="default"/>
          <w:color w:val="000000" w:themeColor="text1"/>
          <w14:textFill>
            <w14:solidFill>
              <w14:schemeClr w14:val="tx1"/>
            </w14:solidFill>
          </w14:textFill>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7FF9A496">
      <w:pPr>
        <w:pStyle w:val="2"/>
        <w:numPr>
          <w:ilvl w:val="0"/>
          <w:numId w:val="3"/>
        </w:numPr>
        <w:ind w:left="420" w:leftChars="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主要环境影响和保护措施</w:t>
      </w:r>
    </w:p>
    <w:tbl>
      <w:tblPr>
        <w:tblStyle w:val="27"/>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8722"/>
      </w:tblGrid>
      <w:tr w14:paraId="404B3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noWrap w:val="0"/>
            <w:tcMar>
              <w:left w:w="28" w:type="dxa"/>
              <w:right w:w="28" w:type="dxa"/>
            </w:tcMar>
            <w:vAlign w:val="center"/>
          </w:tcPr>
          <w:p w14:paraId="1EC3489A">
            <w:pPr>
              <w:pStyle w:val="24"/>
              <w:adjustRightInd w:val="0"/>
              <w:snapToGrid w:val="0"/>
              <w:spacing w:before="0" w:beforeAutospacing="0" w:after="0" w:afterAutospacing="0"/>
              <w:jc w:val="center"/>
              <w:rPr>
                <w:rFonts w:hint="default" w:ascii="Times New Roman" w:hAnsi="Times New Roman" w:cs="Times New Roman"/>
                <w:bCs/>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施工期环境保护措施</w:t>
            </w:r>
          </w:p>
        </w:tc>
        <w:tc>
          <w:tcPr>
            <w:tcW w:w="8722" w:type="dxa"/>
            <w:noWrap w:val="0"/>
            <w:vAlign w:val="center"/>
          </w:tcPr>
          <w:p w14:paraId="5FE08CC6">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施工期环境影响简要分析：</w:t>
            </w:r>
          </w:p>
          <w:p w14:paraId="412E43D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常州市鼎一电子有限公司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使用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联东U谷金坛科技产业园内的</w:t>
            </w:r>
            <w:r>
              <w:rPr>
                <w:rFonts w:hint="default" w:ascii="Times New Roman" w:hAnsi="Times New Roman" w:eastAsia="宋体" w:cs="Times New Roman"/>
                <w:color w:val="000000" w:themeColor="text1"/>
                <w:sz w:val="24"/>
                <w:lang w:val="en-US" w:eastAsia="zh-CN"/>
                <w14:textFill>
                  <w14:solidFill>
                    <w14:schemeClr w14:val="tx1"/>
                  </w14:solidFill>
                </w14:textFill>
              </w:rPr>
              <w:t>现有</w:t>
            </w:r>
            <w:r>
              <w:rPr>
                <w:rFonts w:hint="eastAsia" w:ascii="Times New Roman" w:hAnsi="Times New Roman" w:eastAsia="宋体" w:cs="Times New Roman"/>
                <w:color w:val="000000" w:themeColor="text1"/>
                <w:sz w:val="24"/>
                <w:lang w:val="en-US" w:eastAsia="zh-CN"/>
                <w14:textFill>
                  <w14:solidFill>
                    <w14:schemeClr w14:val="tx1"/>
                  </w14:solidFill>
                </w14:textFill>
              </w:rPr>
              <w:t>标准</w:t>
            </w:r>
            <w:r>
              <w:rPr>
                <w:rFonts w:hint="default" w:ascii="Times New Roman" w:hAnsi="Times New Roman" w:eastAsia="宋体" w:cs="Times New Roman"/>
                <w:color w:val="000000" w:themeColor="text1"/>
                <w:sz w:val="24"/>
                <w:lang w:val="en-US" w:eastAsia="zh-CN"/>
                <w14:textFill>
                  <w14:solidFill>
                    <w14:schemeClr w14:val="tx1"/>
                  </w14:solidFill>
                </w14:textFill>
              </w:rPr>
              <w:t>厂房</w:t>
            </w:r>
            <w:r>
              <w:rPr>
                <w:rFonts w:hint="default" w:ascii="Times New Roman" w:hAnsi="Times New Roman" w:eastAsia="宋体" w:cs="Times New Roman"/>
                <w:color w:val="000000" w:themeColor="text1"/>
                <w:sz w:val="24"/>
                <w14:textFill>
                  <w14:solidFill>
                    <w14:schemeClr w14:val="tx1"/>
                  </w14:solidFill>
                </w14:textFill>
              </w:rPr>
              <w:t>，本项目在该车间内进行生产，施工期主要是在现有的生产车间内进行设备的安装和调试，</w:t>
            </w:r>
            <w:r>
              <w:rPr>
                <w:rFonts w:hint="eastAsia" w:ascii="Times New Roman" w:hAnsi="Times New Roman" w:eastAsia="宋体" w:cs="Times New Roman"/>
                <w:color w:val="000000" w:themeColor="text1"/>
                <w:sz w:val="24"/>
                <w:lang w:val="en-US" w:eastAsia="zh-CN"/>
                <w14:textFill>
                  <w14:solidFill>
                    <w14:schemeClr w14:val="tx1"/>
                  </w14:solidFill>
                </w14:textFill>
              </w:rPr>
              <w:t>以及对厂房进行适用性改造，主要包括废气处理系统、废水处理设施、制纯水系统的管道敷设和设备安装，</w:t>
            </w:r>
            <w:r>
              <w:rPr>
                <w:rFonts w:hint="default" w:ascii="Times New Roman" w:hAnsi="Times New Roman" w:eastAsia="宋体" w:cs="Times New Roman"/>
                <w:color w:val="000000" w:themeColor="text1"/>
                <w:sz w:val="24"/>
                <w14:textFill>
                  <w14:solidFill>
                    <w14:schemeClr w14:val="tx1"/>
                  </w14:solidFill>
                </w14:textFill>
              </w:rPr>
              <w:t>不涉及厂房施工建设，</w:t>
            </w:r>
            <w:r>
              <w:rPr>
                <w:rFonts w:hint="eastAsia" w:ascii="Times New Roman" w:hAnsi="Times New Roman" w:eastAsia="宋体" w:cs="Times New Roman"/>
                <w:color w:val="000000" w:themeColor="text1"/>
                <w:sz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14:textFill>
                  <w14:solidFill>
                    <w14:schemeClr w14:val="tx1"/>
                  </w14:solidFill>
                </w14:textFill>
              </w:rPr>
              <w:t>无施工粉尘、噪声以及建筑垃圾产生。</w:t>
            </w:r>
          </w:p>
          <w:p w14:paraId="2E82BCF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本项目施工期主要是运输设备的汽车进出产生少量的汽车尾气，不予考虑；管道敷设和设备安装产生的噪声，由于这些施工是在现有的生产车间内进行的，经过厂房的隔声后不会对附近产生噪声影响。</w:t>
            </w:r>
          </w:p>
          <w:p w14:paraId="7AD97D6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所以本项目的施工期过程简单，对周边环境影响较小。</w:t>
            </w:r>
          </w:p>
          <w:p w14:paraId="03889E2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以下就噪声及固废对环境的影响加以分析，并提出相应的防治措施。</w:t>
            </w:r>
          </w:p>
          <w:p w14:paraId="451AD5C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（1）施工期噪声影响分析及防治</w:t>
            </w:r>
          </w:p>
          <w:p w14:paraId="59D794E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由于安装设备一般于白天作业，应加强对设备安装的管理和操作人员的环境意识教育，严格控制设备运输及安装过程中噪声，降低对周围环境的噪声影响。</w:t>
            </w:r>
          </w:p>
          <w:p w14:paraId="11FF96B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（2）施工期固废影响分析及防治对策</w:t>
            </w:r>
          </w:p>
          <w:p w14:paraId="26733B63">
            <w:pPr>
              <w:spacing w:line="360" w:lineRule="auto"/>
              <w:ind w:firstLine="48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tc>
      </w:tr>
      <w:tr w14:paraId="4F7A5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noWrap w:val="0"/>
            <w:tcMar>
              <w:left w:w="28" w:type="dxa"/>
              <w:right w:w="28" w:type="dxa"/>
            </w:tcMar>
            <w:vAlign w:val="center"/>
          </w:tcPr>
          <w:p w14:paraId="3F65D48A">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
                <w:bCs w:val="0"/>
                <w:color w:val="000000" w:themeColor="text1"/>
                <w:sz w:val="24"/>
                <w14:textFill>
                  <w14:solidFill>
                    <w14:schemeClr w14:val="tx1"/>
                  </w14:solidFill>
                </w14:textFill>
              </w:rPr>
              <w:t>运营期环境影响和保护措施</w:t>
            </w:r>
          </w:p>
        </w:tc>
        <w:tc>
          <w:tcPr>
            <w:tcW w:w="8722" w:type="dxa"/>
            <w:noWrap w:val="0"/>
            <w:vAlign w:val="center"/>
          </w:tcPr>
          <w:p w14:paraId="43AC8EB1">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一、废气</w:t>
            </w:r>
          </w:p>
          <w:p w14:paraId="280962F4">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大气污染物产生情况</w:t>
            </w:r>
          </w:p>
          <w:p w14:paraId="36990C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本项目废气主要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为酸洗废气和铜保护废气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520E5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有组织废气</w:t>
            </w:r>
          </w:p>
          <w:p w14:paraId="758488FD">
            <w:pPr>
              <w:widowControl/>
              <w:spacing w:line="360" w:lineRule="auto"/>
              <w:ind w:firstLine="482" w:firstLineChars="200"/>
              <w:jc w:val="both"/>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val="0"/>
                <w:color w:val="000000" w:themeColor="text1"/>
                <w:kern w:val="0"/>
                <w:sz w:val="24"/>
                <w:szCs w:val="24"/>
                <w:lang w:val="en-US" w:eastAsia="zh-CN" w:bidi="ar"/>
                <w14:textFill>
                  <w14:solidFill>
                    <w14:schemeClr w14:val="tx1"/>
                  </w14:solidFill>
                </w14:textFill>
              </w:rPr>
              <w:t>酸洗废气</w:t>
            </w:r>
          </w:p>
          <w:p w14:paraId="17B29811">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本项目酸洗过程中使用</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硫酸</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98</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根据建设单位提供资料，</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硫酸</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使用前均需稀释，稀释后硫酸浓度为</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9.83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硫酸稀释过程直接在酸洗槽内进行，过程较短，与酸洗废气一并分析。</w:t>
            </w:r>
          </w:p>
          <w:p w14:paraId="5B96D1BD">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酸洗</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w:t>
            </w:r>
            <w:r>
              <w:rPr>
                <w:rFonts w:hint="default" w:ascii="Times New Roman" w:hAnsi="Times New Roman" w:eastAsia="宋体" w:cs="Times New Roman"/>
                <w:color w:val="000000" w:themeColor="text1"/>
                <w:sz w:val="24"/>
                <w:szCs w:val="24"/>
                <w14:textFill>
                  <w14:solidFill>
                    <w14:schemeClr w14:val="tx1"/>
                  </w14:solidFill>
                </w14:textFill>
              </w:rPr>
              <w:t>物料自然挥发，挥发量采用《环境统计手册》（四川科学技术出版社，1989 年）中酸液蒸发量的计算方法计算：</w:t>
            </w:r>
          </w:p>
          <w:p w14:paraId="391A2EDC">
            <w:pPr>
              <w:keepNext w:val="0"/>
              <w:keepLines w:val="0"/>
              <w:widowControl/>
              <w:suppressLineNumbers w:val="0"/>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Gz＝M（0.000352+0.000786V）×P×F</w:t>
            </w:r>
          </w:p>
          <w:p w14:paraId="51DEB35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式中：Gz—液体的挥发量（kg/h）；</w:t>
            </w:r>
          </w:p>
          <w:p w14:paraId="06AD9B0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M—挥发物的分子量（</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硫酸分子量为</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98.08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0C072B9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V—蒸发液体表面上的空气流速（m/s），应以实测数据为准。无条件实测可取0.2~0.5，本评价取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平均值</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m/s；</w:t>
            </w:r>
          </w:p>
          <w:p w14:paraId="46934BC3">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P—本项目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硫酸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稀释后浓度为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9.83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在25℃条件下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取2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mmHg</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187B2DB8">
            <w:pPr>
              <w:keepNext w:val="0"/>
              <w:keepLines w:val="0"/>
              <w:widowControl/>
              <w:suppressLineNumbers w:val="0"/>
              <w:spacing w:line="360" w:lineRule="auto"/>
              <w:ind w:firstLine="480" w:firstLineChars="200"/>
              <w:jc w:val="both"/>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F</w:t>
            </w:r>
            <w:r>
              <w:rPr>
                <w:rFonts w:hint="eastAsia" w:ascii="宋体" w:hAnsi="宋体" w:eastAsia="宋体" w:cs="宋体"/>
                <w:color w:val="000000" w:themeColor="text1"/>
                <w:kern w:val="0"/>
                <w:sz w:val="24"/>
                <w:szCs w:val="24"/>
                <w:lang w:val="en-US" w:eastAsia="zh-CN" w:bidi="ar"/>
                <w14:textFill>
                  <w14:solidFill>
                    <w14:schemeClr w14:val="tx1"/>
                  </w14:solidFill>
                </w14:textFill>
              </w:rPr>
              <w:t>—液体蒸发表面积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酸洗水槽共计3个，长宽分别为1m、1.2m，单个面积为1.2m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个槽面积为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3.6</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0B11DEF1">
            <w:pPr>
              <w:pStyle w:val="3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2"/>
                <w:lang w:val="en-US" w:eastAsia="zh-CN" w:bidi="ar-SA"/>
                <w14:textFill>
                  <w14:solidFill>
                    <w14:schemeClr w14:val="tx1"/>
                  </w14:solidFill>
                </w14:textFill>
              </w:rPr>
              <w:t>表4-1</w:t>
            </w:r>
            <w:r>
              <w:rPr>
                <w:rFonts w:hint="eastAsia" w:ascii="Times New Roman" w:hAnsi="Times New Roman" w:cs="Times New Roman"/>
                <w:b/>
                <w:bCs/>
                <w:color w:val="000000" w:themeColor="text1"/>
                <w:kern w:val="2"/>
                <w:sz w:val="24"/>
                <w:szCs w:val="22"/>
                <w:lang w:val="en-US" w:eastAsia="zh-CN" w:bidi="ar-SA"/>
                <w14:textFill>
                  <w14:solidFill>
                    <w14:schemeClr w14:val="tx1"/>
                  </w14:solidFill>
                </w14:textFill>
              </w:rPr>
              <w:t xml:space="preserve">  </w:t>
            </w:r>
            <w:r>
              <w:rPr>
                <w:rFonts w:hint="default" w:ascii="Times New Roman" w:hAnsi="Times New Roman" w:cs="Times New Roman"/>
                <w:b/>
                <w:bCs/>
                <w:color w:val="000000" w:themeColor="text1"/>
                <w:kern w:val="2"/>
                <w:sz w:val="24"/>
                <w:szCs w:val="22"/>
                <w:lang w:val="en-US" w:eastAsia="zh-CN" w:bidi="ar-SA"/>
                <w14:textFill>
                  <w14:solidFill>
                    <w14:schemeClr w14:val="tx1"/>
                  </w14:solidFill>
                </w14:textFill>
              </w:rPr>
              <w:t>酸雾废气产</w:t>
            </w:r>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生量一览表</w:t>
            </w:r>
          </w:p>
          <w:tbl>
            <w:tblPr>
              <w:tblStyle w:val="28"/>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767"/>
              <w:gridCol w:w="665"/>
              <w:gridCol w:w="839"/>
              <w:gridCol w:w="921"/>
              <w:gridCol w:w="1023"/>
              <w:gridCol w:w="676"/>
              <w:gridCol w:w="727"/>
              <w:gridCol w:w="788"/>
              <w:gridCol w:w="762"/>
            </w:tblGrid>
            <w:tr w14:paraId="0067B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84" w:type="pct"/>
                  <w:vMerge w:val="restart"/>
                  <w:tcBorders>
                    <w:tl2br w:val="nil"/>
                    <w:tr2bl w:val="nil"/>
                  </w:tcBorders>
                  <w:noWrap w:val="0"/>
                  <w:vAlign w:val="center"/>
                </w:tcPr>
                <w:p w14:paraId="632F5B98">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污染物名称</w:t>
                  </w:r>
                </w:p>
              </w:tc>
              <w:tc>
                <w:tcPr>
                  <w:tcW w:w="451" w:type="pct"/>
                  <w:vMerge w:val="restart"/>
                  <w:tcBorders>
                    <w:tl2br w:val="nil"/>
                    <w:tr2bl w:val="nil"/>
                  </w:tcBorders>
                  <w:noWrap w:val="0"/>
                  <w:vAlign w:val="center"/>
                </w:tcPr>
                <w:p w14:paraId="596E58D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t>M</w:t>
                  </w:r>
                </w:p>
              </w:tc>
              <w:tc>
                <w:tcPr>
                  <w:tcW w:w="391" w:type="pct"/>
                  <w:vMerge w:val="restart"/>
                  <w:tcBorders>
                    <w:tl2br w:val="nil"/>
                    <w:tr2bl w:val="nil"/>
                  </w:tcBorders>
                  <w:noWrap w:val="0"/>
                  <w:vAlign w:val="center"/>
                </w:tcPr>
                <w:p w14:paraId="58BFE729">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槽温(℃)</w:t>
                  </w:r>
                </w:p>
              </w:tc>
              <w:tc>
                <w:tcPr>
                  <w:tcW w:w="493" w:type="pct"/>
                  <w:vMerge w:val="restart"/>
                  <w:tcBorders>
                    <w:tl2br w:val="nil"/>
                    <w:tr2bl w:val="nil"/>
                  </w:tcBorders>
                  <w:noWrap w:val="0"/>
                  <w:vAlign w:val="center"/>
                </w:tcPr>
                <w:p w14:paraId="08935EBD">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t>V</w:t>
                  </w:r>
                </w:p>
                <w:p w14:paraId="27BAFDEA">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(m/s)</w:t>
                  </w:r>
                </w:p>
              </w:tc>
              <w:tc>
                <w:tcPr>
                  <w:tcW w:w="541" w:type="pct"/>
                  <w:vMerge w:val="restart"/>
                  <w:tcBorders>
                    <w:tl2br w:val="nil"/>
                    <w:tr2bl w:val="nil"/>
                  </w:tcBorders>
                  <w:noWrap w:val="0"/>
                  <w:vAlign w:val="center"/>
                </w:tcPr>
                <w:p w14:paraId="05002BA8">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槽液浓</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度</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p>
              </w:tc>
              <w:tc>
                <w:tcPr>
                  <w:tcW w:w="601" w:type="pct"/>
                  <w:vMerge w:val="restart"/>
                  <w:tcBorders>
                    <w:tl2br w:val="nil"/>
                    <w:tr2bl w:val="nil"/>
                  </w:tcBorders>
                  <w:noWrap w:val="0"/>
                  <w:vAlign w:val="center"/>
                </w:tcPr>
                <w:p w14:paraId="2C7A75C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t>P</w:t>
                  </w:r>
                </w:p>
                <w:p w14:paraId="04B17747">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(mmHg</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w:t>
                  </w:r>
                </w:p>
              </w:tc>
              <w:tc>
                <w:tcPr>
                  <w:tcW w:w="397" w:type="pct"/>
                  <w:vMerge w:val="restart"/>
                  <w:tcBorders>
                    <w:tl2br w:val="nil"/>
                    <w:tr2bl w:val="nil"/>
                  </w:tcBorders>
                  <w:noWrap w:val="0"/>
                  <w:vAlign w:val="center"/>
                </w:tcPr>
                <w:p w14:paraId="2B3A393A">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t>F</w:t>
                  </w:r>
                </w:p>
                <w:p w14:paraId="0D1BF20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m</w:t>
                  </w:r>
                  <w:r>
                    <w:rPr>
                      <w:rFonts w:hint="default" w:ascii="Times New Roman" w:hAnsi="Times New Roman" w:cs="Times New Roman"/>
                      <w:b/>
                      <w:bCs/>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t>)</w:t>
                  </w:r>
                </w:p>
              </w:tc>
              <w:tc>
                <w:tcPr>
                  <w:tcW w:w="427" w:type="pct"/>
                  <w:vMerge w:val="restart"/>
                  <w:tcBorders>
                    <w:tl2br w:val="nil"/>
                    <w:tr2bl w:val="nil"/>
                  </w:tcBorders>
                  <w:noWrap w:val="0"/>
                  <w:vAlign w:val="center"/>
                </w:tcPr>
                <w:p w14:paraId="0381CE91">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含水率</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w:t>
                  </w:r>
                </w:p>
              </w:tc>
              <w:tc>
                <w:tcPr>
                  <w:tcW w:w="911" w:type="pct"/>
                  <w:gridSpan w:val="2"/>
                  <w:tcBorders>
                    <w:tl2br w:val="nil"/>
                    <w:tr2bl w:val="nil"/>
                  </w:tcBorders>
                  <w:noWrap w:val="0"/>
                  <w:vAlign w:val="center"/>
                </w:tcPr>
                <w:p w14:paraId="62141BB7">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G</w:t>
                  </w:r>
                  <w:r>
                    <w:rPr>
                      <w:rFonts w:hint="default" w:ascii="Times New Roman" w:hAnsi="Times New Roman" w:cs="Times New Roman"/>
                      <w:b/>
                      <w:bCs/>
                      <w:color w:val="000000" w:themeColor="text1"/>
                      <w:kern w:val="2"/>
                      <w:sz w:val="21"/>
                      <w:szCs w:val="21"/>
                      <w:vertAlign w:val="subscript"/>
                      <w:lang w:val="en-US" w:eastAsia="zh-CN" w:bidi="ar-SA"/>
                      <w14:textFill>
                        <w14:solidFill>
                          <w14:schemeClr w14:val="tx1"/>
                        </w14:solidFill>
                      </w14:textFill>
                    </w:rPr>
                    <w:t>Z酸雾</w:t>
                  </w:r>
                </w:p>
              </w:tc>
            </w:tr>
            <w:tr w14:paraId="39B37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4" w:type="pct"/>
                  <w:vMerge w:val="continue"/>
                  <w:tcBorders>
                    <w:tl2br w:val="nil"/>
                    <w:tr2bl w:val="nil"/>
                  </w:tcBorders>
                  <w:noWrap w:val="0"/>
                  <w:vAlign w:val="center"/>
                </w:tcPr>
                <w:p w14:paraId="0264F1E6">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c>
              <w:tc>
                <w:tcPr>
                  <w:tcW w:w="451" w:type="pct"/>
                  <w:vMerge w:val="continue"/>
                  <w:tcBorders>
                    <w:tl2br w:val="nil"/>
                    <w:tr2bl w:val="nil"/>
                  </w:tcBorders>
                  <w:noWrap w:val="0"/>
                  <w:vAlign w:val="center"/>
                </w:tcPr>
                <w:p w14:paraId="52CA23B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pPr>
                </w:p>
              </w:tc>
              <w:tc>
                <w:tcPr>
                  <w:tcW w:w="391" w:type="pct"/>
                  <w:vMerge w:val="continue"/>
                  <w:tcBorders>
                    <w:tl2br w:val="nil"/>
                    <w:tr2bl w:val="nil"/>
                  </w:tcBorders>
                  <w:noWrap w:val="0"/>
                  <w:vAlign w:val="center"/>
                </w:tcPr>
                <w:p w14:paraId="3F710184">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c>
              <w:tc>
                <w:tcPr>
                  <w:tcW w:w="493" w:type="pct"/>
                  <w:vMerge w:val="continue"/>
                  <w:tcBorders>
                    <w:tl2br w:val="nil"/>
                    <w:tr2bl w:val="nil"/>
                  </w:tcBorders>
                  <w:noWrap w:val="0"/>
                  <w:vAlign w:val="center"/>
                </w:tcPr>
                <w:p w14:paraId="7007CC5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pPr>
                </w:p>
              </w:tc>
              <w:tc>
                <w:tcPr>
                  <w:tcW w:w="541" w:type="pct"/>
                  <w:vMerge w:val="continue"/>
                  <w:tcBorders>
                    <w:tl2br w:val="nil"/>
                    <w:tr2bl w:val="nil"/>
                  </w:tcBorders>
                  <w:noWrap w:val="0"/>
                  <w:vAlign w:val="center"/>
                </w:tcPr>
                <w:p w14:paraId="307AEE8F">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p>
              </w:tc>
              <w:tc>
                <w:tcPr>
                  <w:tcW w:w="601" w:type="pct"/>
                  <w:vMerge w:val="continue"/>
                  <w:tcBorders>
                    <w:tl2br w:val="nil"/>
                    <w:tr2bl w:val="nil"/>
                  </w:tcBorders>
                  <w:noWrap w:val="0"/>
                  <w:vAlign w:val="center"/>
                </w:tcPr>
                <w:p w14:paraId="141608B6">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p>
              </w:tc>
              <w:tc>
                <w:tcPr>
                  <w:tcW w:w="397" w:type="pct"/>
                  <w:vMerge w:val="continue"/>
                  <w:tcBorders>
                    <w:tl2br w:val="nil"/>
                    <w:tr2bl w:val="nil"/>
                  </w:tcBorders>
                  <w:noWrap w:val="0"/>
                  <w:vAlign w:val="center"/>
                </w:tcPr>
                <w:p w14:paraId="14010387">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2"/>
                      <w:sz w:val="21"/>
                      <w:szCs w:val="21"/>
                      <w:vertAlign w:val="baseline"/>
                      <w:lang w:val="en-US" w:eastAsia="zh-CN" w:bidi="ar-SA"/>
                      <w14:textFill>
                        <w14:solidFill>
                          <w14:schemeClr w14:val="tx1"/>
                        </w14:solidFill>
                      </w14:textFill>
                    </w:rPr>
                  </w:pPr>
                </w:p>
              </w:tc>
              <w:tc>
                <w:tcPr>
                  <w:tcW w:w="427" w:type="pct"/>
                  <w:vMerge w:val="continue"/>
                  <w:tcBorders>
                    <w:tl2br w:val="nil"/>
                    <w:tr2bl w:val="nil"/>
                  </w:tcBorders>
                  <w:noWrap w:val="0"/>
                  <w:vAlign w:val="center"/>
                </w:tcPr>
                <w:p w14:paraId="1B95667A">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p>
              </w:tc>
              <w:tc>
                <w:tcPr>
                  <w:tcW w:w="463" w:type="pct"/>
                  <w:tcBorders>
                    <w:tl2br w:val="nil"/>
                    <w:tr2bl w:val="nil"/>
                  </w:tcBorders>
                  <w:noWrap w:val="0"/>
                  <w:vAlign w:val="center"/>
                </w:tcPr>
                <w:p w14:paraId="5C081B43">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kg/h</w:t>
                  </w:r>
                </w:p>
              </w:tc>
              <w:tc>
                <w:tcPr>
                  <w:tcW w:w="448" w:type="pct"/>
                  <w:tcBorders>
                    <w:tl2br w:val="nil"/>
                    <w:tr2bl w:val="nil"/>
                  </w:tcBorders>
                  <w:noWrap w:val="0"/>
                  <w:vAlign w:val="center"/>
                </w:tcPr>
                <w:p w14:paraId="57F3CEDF">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t/a</w:t>
                  </w:r>
                </w:p>
              </w:tc>
            </w:tr>
            <w:tr w14:paraId="504FC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4" w:type="pct"/>
                  <w:tcBorders>
                    <w:tl2br w:val="nil"/>
                    <w:tr2bl w:val="nil"/>
                  </w:tcBorders>
                  <w:noWrap w:val="0"/>
                  <w:vAlign w:val="center"/>
                </w:tcPr>
                <w:p w14:paraId="1B180DB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酸洗过程中的</w:t>
                  </w:r>
                  <w:r>
                    <w:rPr>
                      <w:rFonts w:hint="eastAsia" w:ascii="Times New Roman" w:hAnsi="Times New Roman" w:cs="Times New Roman"/>
                      <w:b w:val="0"/>
                      <w:bCs/>
                      <w:color w:val="000000" w:themeColor="text1"/>
                      <w:kern w:val="2"/>
                      <w:sz w:val="21"/>
                      <w:szCs w:val="21"/>
                      <w:lang w:val="en-US" w:eastAsia="zh-CN" w:bidi="ar-SA"/>
                      <w14:textFill>
                        <w14:solidFill>
                          <w14:schemeClr w14:val="tx1"/>
                        </w14:solidFill>
                      </w14:textFill>
                    </w:rPr>
                    <w:t>硫酸</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雾</w:t>
                  </w:r>
                </w:p>
              </w:tc>
              <w:tc>
                <w:tcPr>
                  <w:tcW w:w="451" w:type="pct"/>
                  <w:tcBorders>
                    <w:tl2br w:val="nil"/>
                    <w:tr2bl w:val="nil"/>
                  </w:tcBorders>
                  <w:noWrap w:val="0"/>
                  <w:vAlign w:val="center"/>
                </w:tcPr>
                <w:p w14:paraId="22781C8D">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98.08</w:t>
                  </w:r>
                </w:p>
              </w:tc>
              <w:tc>
                <w:tcPr>
                  <w:tcW w:w="391" w:type="pct"/>
                  <w:tcBorders>
                    <w:tl2br w:val="nil"/>
                    <w:tr2bl w:val="nil"/>
                  </w:tcBorders>
                  <w:noWrap w:val="0"/>
                  <w:vAlign w:val="center"/>
                </w:tcPr>
                <w:p w14:paraId="0EFB2F0B">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25</w:t>
                  </w:r>
                </w:p>
              </w:tc>
              <w:tc>
                <w:tcPr>
                  <w:tcW w:w="493" w:type="pct"/>
                  <w:tcBorders>
                    <w:tl2br w:val="nil"/>
                    <w:tr2bl w:val="nil"/>
                  </w:tcBorders>
                  <w:noWrap w:val="0"/>
                  <w:vAlign w:val="center"/>
                </w:tcPr>
                <w:p w14:paraId="41B33842">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0.</w:t>
                  </w: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35</w:t>
                  </w:r>
                </w:p>
              </w:tc>
              <w:tc>
                <w:tcPr>
                  <w:tcW w:w="541" w:type="pct"/>
                  <w:tcBorders>
                    <w:tl2br w:val="nil"/>
                    <w:tr2bl w:val="nil"/>
                  </w:tcBorders>
                  <w:noWrap w:val="0"/>
                  <w:vAlign w:val="center"/>
                </w:tcPr>
                <w:p w14:paraId="73BE164C">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9.83</w:t>
                  </w:r>
                </w:p>
              </w:tc>
              <w:tc>
                <w:tcPr>
                  <w:tcW w:w="601" w:type="pct"/>
                  <w:tcBorders>
                    <w:tl2br w:val="nil"/>
                    <w:tr2bl w:val="nil"/>
                  </w:tcBorders>
                  <w:noWrap w:val="0"/>
                  <w:vAlign w:val="center"/>
                </w:tcPr>
                <w:p w14:paraId="418AF5DF">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22.5</w:t>
                  </w:r>
                </w:p>
              </w:tc>
              <w:tc>
                <w:tcPr>
                  <w:tcW w:w="397" w:type="pct"/>
                  <w:tcBorders>
                    <w:tl2br w:val="nil"/>
                    <w:tr2bl w:val="nil"/>
                  </w:tcBorders>
                  <w:noWrap w:val="0"/>
                  <w:vAlign w:val="center"/>
                </w:tcPr>
                <w:p w14:paraId="0979B5A6">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3.6</w:t>
                  </w:r>
                </w:p>
              </w:tc>
              <w:tc>
                <w:tcPr>
                  <w:tcW w:w="427" w:type="pct"/>
                  <w:tcBorders>
                    <w:tl2br w:val="nil"/>
                    <w:tr2bl w:val="nil"/>
                  </w:tcBorders>
                  <w:noWrap w:val="0"/>
                  <w:vAlign w:val="center"/>
                </w:tcPr>
                <w:p w14:paraId="6050D30F">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99</w:t>
                  </w:r>
                  <w:r>
                    <w:rPr>
                      <w:rFonts w:hint="eastAsia" w:ascii="Times New Roman" w:hAnsi="Times New Roman" w:cs="Times New Roman"/>
                      <w:b w:val="0"/>
                      <w:bCs/>
                      <w:color w:val="000000" w:themeColor="text1"/>
                      <w:kern w:val="2"/>
                      <w:sz w:val="21"/>
                      <w:szCs w:val="21"/>
                      <w:vertAlign w:val="superscript"/>
                      <w:lang w:val="en-US" w:eastAsia="zh-CN" w:bidi="ar-SA"/>
                      <w14:textFill>
                        <w14:solidFill>
                          <w14:schemeClr w14:val="tx1"/>
                        </w14:solidFill>
                      </w14:textFill>
                    </w:rPr>
                    <w:t>*</w:t>
                  </w:r>
                </w:p>
              </w:tc>
              <w:tc>
                <w:tcPr>
                  <w:tcW w:w="463" w:type="pct"/>
                  <w:tcBorders>
                    <w:tl2br w:val="nil"/>
                    <w:tr2bl w:val="nil"/>
                  </w:tcBorders>
                  <w:noWrap w:val="0"/>
                  <w:vAlign w:val="center"/>
                </w:tcPr>
                <w:p w14:paraId="4E686DAA">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0.050</w:t>
                  </w:r>
                </w:p>
              </w:tc>
              <w:tc>
                <w:tcPr>
                  <w:tcW w:w="448" w:type="pct"/>
                  <w:tcBorders>
                    <w:tl2br w:val="nil"/>
                    <w:tr2bl w:val="nil"/>
                  </w:tcBorders>
                  <w:noWrap w:val="0"/>
                  <w:vAlign w:val="center"/>
                </w:tcPr>
                <w:p w14:paraId="13AA3054">
                  <w:pPr>
                    <w:pStyle w:val="3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0.150</w:t>
                  </w:r>
                </w:p>
              </w:tc>
            </w:tr>
          </w:tbl>
          <w:p w14:paraId="3300529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注:</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此酸雾是</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硫酸雾</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蒸汽和水蒸气的混合物</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当酸液温度较低时</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水蒸气</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是酸雾的主要成分。随着酸洗浓度的提高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，水蒸气</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的浓度则逐渐降低</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酸蒸汽的净量则逐渐增高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故计算析出的酸雾量往往比用酸量要大</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由于操作温度为25℃</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酸雾中</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水蒸气</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含量定为99%</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p w14:paraId="2CA9B8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综上，本项目工作时间3000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，硫酸雾产生速率为0.050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三个酸洗槽产生量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酸洗废气通过清洗线整体密闭收集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废气捕集率以95%计，</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酸洗废气</w:t>
            </w:r>
            <w:r>
              <w:rPr>
                <w:rFonts w:hint="default" w:ascii="Times New Roman" w:hAnsi="Times New Roman" w:eastAsia="宋体" w:cs="Times New Roman"/>
                <w:color w:val="000000" w:themeColor="text1"/>
                <w:kern w:val="0"/>
                <w:sz w:val="24"/>
                <w:szCs w:val="24"/>
                <w:lang w:bidi="ar"/>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硫酸雾</w:t>
            </w:r>
            <w:r>
              <w:rPr>
                <w:rFonts w:hint="default" w:ascii="Times New Roman" w:hAnsi="Times New Roman" w:eastAsia="宋体" w:cs="Times New Roman"/>
                <w:color w:val="000000" w:themeColor="text1"/>
                <w:kern w:val="0"/>
                <w:sz w:val="24"/>
                <w:szCs w:val="24"/>
                <w:lang w:bidi="ar"/>
                <w14:textFill>
                  <w14:solidFill>
                    <w14:schemeClr w14:val="tx1"/>
                  </w14:solidFill>
                </w14:textFill>
              </w:rPr>
              <w:t>有组织产生量为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0.143</w:t>
            </w:r>
            <w:r>
              <w:rPr>
                <w:rFonts w:hint="default" w:ascii="Times New Roman" w:hAnsi="Times New Roman" w:eastAsia="宋体" w:cs="Times New Roman"/>
                <w:color w:val="000000" w:themeColor="text1"/>
                <w:kern w:val="0"/>
                <w:sz w:val="24"/>
                <w:szCs w:val="24"/>
                <w:lang w:bidi="ar"/>
                <w14:textFill>
                  <w14:solidFill>
                    <w14:schemeClr w14:val="tx1"/>
                  </w14:solidFill>
                </w14:textFill>
              </w:rPr>
              <w:t>t/a。</w:t>
            </w:r>
          </w:p>
          <w:p w14:paraId="3742FF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②铜保护</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废气</w:t>
            </w:r>
          </w:p>
          <w:p w14:paraId="079719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工序需使用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，使用过程中会产生一定量的有机废气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，以非甲烷总烃计。铜保护剂调配过程直接在铜保护槽内进行，过程较短，与铜保护废气一并分析。</w:t>
            </w:r>
          </w:p>
          <w:p w14:paraId="055630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根据VOCs平衡（图2-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产生量为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0.304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；另外铜保护剂含有10%甲醇，考虑甲醇全部挥发，则甲醇产生量为0.130t/a</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7AD6CE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铜保护废气通过清洗线整体密闭收集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废气捕集率以95%计，</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铜保护废气</w:t>
            </w:r>
            <w:r>
              <w:rPr>
                <w:rFonts w:hint="default" w:ascii="Times New Roman" w:hAnsi="Times New Roman" w:eastAsia="宋体" w:cs="Times New Roman"/>
                <w:color w:val="000000" w:themeColor="text1"/>
                <w:kern w:val="0"/>
                <w:sz w:val="24"/>
                <w:szCs w:val="24"/>
                <w:lang w:bidi="ar"/>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0"/>
                <w:sz w:val="24"/>
                <w:szCs w:val="24"/>
                <w:lang w:bidi="ar"/>
                <w14:textFill>
                  <w14:solidFill>
                    <w14:schemeClr w14:val="tx1"/>
                  </w14:solidFill>
                </w14:textFill>
              </w:rPr>
              <w:t>有组织产生量为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0.289</w:t>
            </w:r>
            <w:r>
              <w:rPr>
                <w:rFonts w:hint="default" w:ascii="Times New Roman" w:hAnsi="Times New Roman" w:eastAsia="宋体" w:cs="Times New Roman"/>
                <w:color w:val="000000" w:themeColor="text1"/>
                <w:kern w:val="0"/>
                <w:sz w:val="24"/>
                <w:szCs w:val="24"/>
                <w:lang w:bidi="ar"/>
                <w14:textFill>
                  <w14:solidFill>
                    <w14:schemeClr w14:val="tx1"/>
                  </w14:solidFill>
                </w14:textFill>
              </w:rPr>
              <w:t>t/a</w:t>
            </w:r>
            <w:r>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其中甲醇有组织产生量为0.124t/a</w:t>
            </w:r>
            <w:r>
              <w:rPr>
                <w:rFonts w:hint="default" w:ascii="Times New Roman" w:hAnsi="Times New Roman" w:eastAsia="宋体" w:cs="Times New Roman"/>
                <w:color w:val="000000" w:themeColor="text1"/>
                <w:kern w:val="0"/>
                <w:sz w:val="24"/>
                <w:szCs w:val="24"/>
                <w:lang w:bidi="ar"/>
                <w14:textFill>
                  <w14:solidFill>
                    <w14:schemeClr w14:val="tx1"/>
                  </w14:solidFill>
                </w14:textFill>
              </w:rPr>
              <w:t>。</w:t>
            </w:r>
          </w:p>
          <w:p w14:paraId="5F505F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bCs/>
                <w:color w:val="000000" w:themeColor="text1"/>
                <w:sz w:val="24"/>
                <w:lang w:val="en-US" w:eastAsia="zh-CN"/>
                <w14:textFill>
                  <w14:solidFill>
                    <w14:schemeClr w14:val="tx1"/>
                  </w14:solidFill>
                </w14:textFill>
              </w:rPr>
              <w:t>危废库废气</w:t>
            </w:r>
          </w:p>
          <w:p w14:paraId="3F102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本项目危废主要包括废活性炭、污泥</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浓水</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酸洗废液</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电解除油废液</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铜保护废液等，贮存过程中会产生少量的废气，本项目拟采用密闭桶或吨袋收集存放危废，因此贮存过程中废气产生量极少，</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本次</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不定量分析。</w:t>
            </w:r>
          </w:p>
          <w:p w14:paraId="11D3C7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④污水处理站废气</w:t>
            </w:r>
          </w:p>
          <w:p w14:paraId="608F7A03">
            <w:pPr>
              <w:pStyle w:val="33"/>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
                <w14:textFill>
                  <w14:solidFill>
                    <w14:schemeClr w14:val="tx1"/>
                  </w14:solidFill>
                </w14:textFill>
              </w:rPr>
            </w:pPr>
            <w:r>
              <w:rPr>
                <w:rFonts w:hint="eastAsia" w:ascii="Times New Roman" w:hAnsi="Times New Roman" w:cs="Times New Roman"/>
                <w:b w:val="0"/>
                <w:bCs w:val="0"/>
                <w:color w:val="000000" w:themeColor="text1"/>
                <w:kern w:val="2"/>
                <w:sz w:val="24"/>
                <w:szCs w:val="24"/>
                <w:lang w:val="en-US" w:eastAsia="zh-CN" w:bidi="ar"/>
                <w14:textFill>
                  <w14:solidFill>
                    <w14:schemeClr w14:val="tx1"/>
                  </w14:solidFill>
                </w14:textFill>
              </w:rPr>
              <w:t>本项目生产废水中COD、氨氮等污染物浓度较低，处理水量较小，且污水处理站工艺简单，为中和、絮凝、沉淀、过滤、反渗透等工艺，无生化处理工序，基本无有机废气、恶臭废气等产生，本项目不定量分析。</w:t>
            </w:r>
          </w:p>
          <w:p w14:paraId="1D7773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无组织废气</w:t>
            </w:r>
          </w:p>
          <w:p w14:paraId="0B905A28">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14:textFill>
                  <w14:solidFill>
                    <w14:schemeClr w14:val="tx1"/>
                  </w14:solidFill>
                </w14:textFill>
              </w:rPr>
              <w:t>未捕集到的</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酸洗</w:t>
            </w:r>
            <w:r>
              <w:rPr>
                <w:rFonts w:hint="default" w:ascii="Times New Roman" w:hAnsi="Times New Roman" w:eastAsia="宋体" w:cs="Times New Roman"/>
                <w:b/>
                <w:bCs/>
                <w:color w:val="000000" w:themeColor="text1"/>
                <w:sz w:val="24"/>
                <w:lang w:val="en-US" w:eastAsia="zh-CN"/>
                <w14:textFill>
                  <w14:solidFill>
                    <w14:schemeClr w14:val="tx1"/>
                  </w14:solidFill>
                </w14:textFill>
              </w:rPr>
              <w:t>工序废气</w:t>
            </w:r>
          </w:p>
          <w:p w14:paraId="2816EE60">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%未捕集的</w:t>
            </w:r>
            <w:r>
              <w:rPr>
                <w:rFonts w:hint="eastAsia" w:ascii="Times New Roman" w:hAnsi="Times New Roman" w:eastAsia="宋体" w:cs="Times New Roman"/>
                <w:color w:val="000000" w:themeColor="text1"/>
                <w:sz w:val="24"/>
                <w:lang w:val="en-US" w:eastAsia="zh-CN"/>
                <w14:textFill>
                  <w14:solidFill>
                    <w14:schemeClr w14:val="tx1"/>
                  </w14:solidFill>
                </w14:textFill>
              </w:rPr>
              <w:t>酸洗</w:t>
            </w:r>
            <w:r>
              <w:rPr>
                <w:rFonts w:hint="default" w:ascii="Times New Roman" w:hAnsi="Times New Roman" w:eastAsia="宋体" w:cs="Times New Roman"/>
                <w:color w:val="000000" w:themeColor="text1"/>
                <w:sz w:val="24"/>
                <w:lang w:val="en-US" w:eastAsia="zh-CN"/>
                <w14:textFill>
                  <w14:solidFill>
                    <w14:schemeClr w14:val="tx1"/>
                  </w14:solidFill>
                </w14:textFill>
              </w:rPr>
              <w:t>工序废气（</w:t>
            </w:r>
            <w:r>
              <w:rPr>
                <w:rFonts w:hint="eastAsia" w:ascii="Times New Roman" w:hAnsi="Times New Roman" w:eastAsia="宋体" w:cs="Times New Roman"/>
                <w:color w:val="000000" w:themeColor="text1"/>
                <w:sz w:val="24"/>
                <w:lang w:val="en-US" w:eastAsia="zh-CN"/>
                <w14:textFill>
                  <w14:solidFill>
                    <w14:schemeClr w14:val="tx1"/>
                  </w14:solidFill>
                </w14:textFill>
              </w:rPr>
              <w:t>硫酸雾0.007</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在车间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w:t>
            </w:r>
            <w:r>
              <w:rPr>
                <w:rFonts w:hint="default" w:ascii="Times New Roman" w:hAnsi="Times New Roman" w:eastAsia="宋体" w:cs="Times New Roman"/>
                <w:color w:val="000000" w:themeColor="text1"/>
                <w:sz w:val="24"/>
                <w:szCs w:val="24"/>
                <w14:textFill>
                  <w14:solidFill>
                    <w14:schemeClr w14:val="tx1"/>
                  </w14:solidFill>
                </w14:textFill>
              </w:rPr>
              <w:t>以无组织形式排放。</w:t>
            </w:r>
          </w:p>
          <w:p w14:paraId="2059DE76">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szCs w:val="24"/>
                <w14:textFill>
                  <w14:solidFill>
                    <w14:schemeClr w14:val="tx1"/>
                  </w14:solidFill>
                </w14:textFill>
              </w:rPr>
              <w:t>未捕集到的</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铜保护废气</w:t>
            </w:r>
          </w:p>
          <w:p w14:paraId="72DD2AD0">
            <w:pPr>
              <w:pStyle w:val="1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%未捕集的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铜保护废气</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非甲烷总烃0.015t/a，其中甲醇量为0.006t/a</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在车间以无组织形式排放。</w:t>
            </w:r>
          </w:p>
          <w:p w14:paraId="137C8798">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废气治理措施</w:t>
            </w:r>
          </w:p>
          <w:p w14:paraId="7C6C8C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bidi="ar"/>
                <w14:textFill>
                  <w14:solidFill>
                    <w14:schemeClr w14:val="tx1"/>
                  </w14:solidFill>
                </w14:textFill>
              </w:rPr>
            </w:pPr>
            <w:r>
              <w:rPr>
                <w:rFonts w:hint="eastAsia" w:ascii="Times New Roman" w:hAnsi="Times New Roman" w:eastAsia="宋体" w:cs="Times New Roman"/>
                <w:b/>
                <w:bCs/>
                <w:color w:val="000000" w:themeColor="text1"/>
                <w:sz w:val="24"/>
                <w:szCs w:val="24"/>
                <w:lang w:eastAsia="zh-CN" w:bidi="ar"/>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sz w:val="24"/>
                <w:szCs w:val="24"/>
                <w:lang w:bidi="ar"/>
                <w14:textFill>
                  <w14:solidFill>
                    <w14:schemeClr w14:val="tx1"/>
                  </w14:solidFill>
                </w14:textFill>
              </w:rPr>
              <w:t>废气收集及治理方案</w:t>
            </w:r>
          </w:p>
          <w:p w14:paraId="7ECFEC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酸洗、铜保护</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工序：</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酸洗、铜保护</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工序产生的废气经清洗线整体密闭收集+碱喷淋塔+除雾器+二级活性炭吸附装置</w:t>
            </w:r>
            <w:r>
              <w:rPr>
                <w:rFonts w:hint="default" w:ascii="Times New Roman" w:hAnsi="Times New Roman" w:eastAsia="宋体" w:cs="Times New Roman"/>
                <w:color w:val="000000" w:themeColor="text1"/>
                <w:sz w:val="24"/>
                <w:lang w:val="en-US" w:eastAsia="zh-CN"/>
                <w14:textFill>
                  <w14:solidFill>
                    <w14:schemeClr w14:val="tx1"/>
                  </w14:solidFill>
                </w14:textFill>
              </w:rPr>
              <w:t>收集处理后</w:t>
            </w:r>
            <w:r>
              <w:rPr>
                <w:rFonts w:hint="eastAsia" w:ascii="Times New Roman" w:hAnsi="Times New Roman" w:eastAsia="宋体" w:cs="Times New Roman"/>
                <w:color w:val="000000" w:themeColor="text1"/>
                <w:sz w:val="24"/>
                <w:lang w:val="en-US" w:eastAsia="zh-CN"/>
                <w14:textFill>
                  <w14:solidFill>
                    <w14:schemeClr w14:val="tx1"/>
                  </w14:solidFill>
                </w14:textFill>
              </w:rPr>
              <w:t>通过20m高排气筒（DA001）排放</w:t>
            </w:r>
            <w:r>
              <w:rPr>
                <w:rFonts w:hint="default" w:ascii="Times New Roman" w:hAnsi="Times New Roman" w:eastAsia="宋体" w:cs="Times New Roman"/>
                <w:color w:val="000000" w:themeColor="text1"/>
                <w:sz w:val="24"/>
                <w:lang w:val="en-US" w:eastAsia="zh-CN"/>
                <w14:textFill>
                  <w14:solidFill>
                    <w14:schemeClr w14:val="tx1"/>
                  </w14:solidFill>
                </w14:textFill>
              </w:rPr>
              <w:t>组织排放</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废气</w:t>
            </w:r>
            <w:r>
              <w:rPr>
                <w:rFonts w:hint="default" w:ascii="Times New Roman" w:hAnsi="Times New Roman" w:eastAsia="宋体" w:cs="Times New Roman"/>
                <w:color w:val="000000" w:themeColor="text1"/>
                <w:sz w:val="24"/>
                <w:szCs w:val="24"/>
                <w:lang w:bidi="ar"/>
                <w14:textFill>
                  <w14:solidFill>
                    <w14:schemeClr w14:val="tx1"/>
                  </w14:solidFill>
                </w14:textFill>
              </w:rPr>
              <w:t>收集率</w:t>
            </w:r>
            <w:r>
              <w:rPr>
                <w:rFonts w:hint="default" w:ascii="Times New Roman" w:hAnsi="Times New Roman" w:eastAsia="宋体" w:cs="Times New Roman"/>
                <w:color w:val="000000" w:themeColor="text1"/>
                <w:kern w:val="0"/>
                <w:sz w:val="24"/>
                <w:szCs w:val="24"/>
                <w:lang w:bidi="ar"/>
                <w14:textFill>
                  <w14:solidFill>
                    <w14:schemeClr w14:val="tx1"/>
                  </w14:solidFill>
                </w14:textFill>
              </w:rPr>
              <w:t>9</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有机废气（非甲烷总烃、甲醇）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处理效率</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，硫酸雾处理效率为90%</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00E3698">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w:t>
            </w:r>
            <w:r>
              <w:rPr>
                <w:rFonts w:hint="default" w:ascii="Times New Roman" w:hAnsi="Times New Roman" w:eastAsia="宋体" w:cs="Times New Roman"/>
                <w:color w:val="000000" w:themeColor="text1"/>
                <w:sz w:val="24"/>
                <w14:textFill>
                  <w14:solidFill>
                    <w14:schemeClr w14:val="tx1"/>
                  </w14:solidFill>
                </w14:textFill>
              </w:rPr>
              <w:t>废气处理措施示意图见图4-</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p>
          <w:p w14:paraId="1B045E33">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27955" cy="729615"/>
                  <wp:effectExtent l="0" t="0" r="1079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227955" cy="729615"/>
                          </a:xfrm>
                          <a:prstGeom prst="rect">
                            <a:avLst/>
                          </a:prstGeom>
                          <a:noFill/>
                          <a:ln>
                            <a:noFill/>
                          </a:ln>
                        </pic:spPr>
                      </pic:pic>
                    </a:graphicData>
                  </a:graphic>
                </wp:inline>
              </w:drawing>
            </w:r>
          </w:p>
          <w:p w14:paraId="17376B2B">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图4-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14:textFill>
                  <w14:solidFill>
                    <w14:schemeClr w14:val="tx1"/>
                  </w14:solidFill>
                </w14:textFill>
              </w:rPr>
              <w:t>废气处理工艺流程</w:t>
            </w:r>
          </w:p>
          <w:p w14:paraId="6C0789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废气</w:t>
            </w:r>
            <w:r>
              <w:rPr>
                <w:rFonts w:hint="default" w:ascii="Times New Roman" w:hAnsi="Times New Roman" w:eastAsia="宋体" w:cs="Times New Roman"/>
                <w:b/>
                <w:bCs/>
                <w:color w:val="000000" w:themeColor="text1"/>
                <w:sz w:val="24"/>
                <w:lang w:val="en-US" w:eastAsia="zh-CN"/>
                <w14:textFill>
                  <w14:solidFill>
                    <w14:schemeClr w14:val="tx1"/>
                  </w14:solidFill>
                </w14:textFill>
              </w:rPr>
              <w:t>收集系统风量核算</w:t>
            </w:r>
          </w:p>
          <w:p w14:paraId="4D3F81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本项目根据《简明通风设计手册》（孙一坚主编）</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《大气污染控制技术手册》（马广大主编）</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和《废气处理工程技术手册》</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等相关设计手册，对项目生产过程中的废气进行分类收集。</w:t>
            </w:r>
          </w:p>
          <w:p w14:paraId="2A39C25C">
            <w:pPr>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清洗线中酸洗、铜保护工序产生的硫酸雾和有机废气</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通过</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清洗线整体密闭</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收集，集气效率以9</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%计。</w:t>
            </w:r>
          </w:p>
          <w:p w14:paraId="02E1E1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本项目3套清洗线整体为密闭空间，参考《废气处理工程技术手册》，排风量L（m</w:t>
            </w:r>
            <w:r>
              <w:rPr>
                <w:rFonts w:hint="eastAsia" w:ascii="Times New Roman" w:hAnsi="Times New Roman" w:eastAsia="宋体" w:cs="Times New Roman"/>
                <w:b w:val="0"/>
                <w:bCs w:val="0"/>
                <w:color w:val="000000" w:themeColor="text1"/>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/s）的计算公式为：</w:t>
            </w:r>
          </w:p>
          <w:p w14:paraId="153354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L=n Vf</w:t>
            </w:r>
          </w:p>
          <w:p w14:paraId="1552A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式中</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w:t>
            </w:r>
          </w:p>
          <w:p w14:paraId="14198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L——全面换风量</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 xml:space="preserve"> /h； </w:t>
            </w:r>
          </w:p>
          <w:p w14:paraId="1AED2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n——换气次数</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，20次</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/h；</w:t>
            </w:r>
          </w:p>
          <w:p w14:paraId="47C883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Vf——通风房间体积</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w:t>
            </w:r>
          </w:p>
          <w:p w14:paraId="2A1E3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szCs w:val="24"/>
                <w:lang w:bidi="en-US"/>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bidi="en-US"/>
                <w14:textFill>
                  <w14:solidFill>
                    <w14:schemeClr w14:val="tx1"/>
                  </w14:solidFill>
                </w14:textFill>
              </w:rPr>
              <w:t>表4-</w:t>
            </w:r>
            <w:r>
              <w:rPr>
                <w:rFonts w:hint="eastAsia" w:ascii="Times New Roman" w:hAnsi="Times New Roman" w:eastAsia="宋体" w:cs="Times New Roman"/>
                <w:b/>
                <w:color w:val="000000" w:themeColor="text1"/>
                <w:sz w:val="24"/>
                <w:szCs w:val="24"/>
                <w:lang w:val="en-US" w:eastAsia="zh-CN" w:bidi="en-US"/>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bidi="en-US"/>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bidi="en-US"/>
                <w14:textFill>
                  <w14:solidFill>
                    <w14:schemeClr w14:val="tx1"/>
                  </w14:solidFill>
                </w14:textFill>
              </w:rPr>
              <w:t>本项目废气风量合理性核算表    单位：m</w:t>
            </w:r>
            <w:r>
              <w:rPr>
                <w:rFonts w:hint="default" w:ascii="Times New Roman" w:hAnsi="Times New Roman" w:eastAsia="宋体" w:cs="Times New Roman"/>
                <w:b/>
                <w:color w:val="000000" w:themeColor="text1"/>
                <w:sz w:val="24"/>
                <w:szCs w:val="24"/>
                <w:vertAlign w:val="superscript"/>
                <w:lang w:bidi="en-US"/>
                <w14:textFill>
                  <w14:solidFill>
                    <w14:schemeClr w14:val="tx1"/>
                  </w14:solidFill>
                </w14:textFill>
              </w:rPr>
              <w:t>3</w:t>
            </w:r>
            <w:r>
              <w:rPr>
                <w:rFonts w:hint="default" w:ascii="Times New Roman" w:hAnsi="Times New Roman" w:eastAsia="宋体" w:cs="Times New Roman"/>
                <w:b/>
                <w:color w:val="000000" w:themeColor="text1"/>
                <w:sz w:val="24"/>
                <w:szCs w:val="24"/>
                <w:lang w:bidi="en-US"/>
                <w14:textFill>
                  <w14:solidFill>
                    <w14:schemeClr w14:val="tx1"/>
                  </w14:solidFill>
                </w14:textFill>
              </w:rPr>
              <w:t>/h</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3"/>
              <w:gridCol w:w="1273"/>
              <w:gridCol w:w="877"/>
              <w:gridCol w:w="1144"/>
              <w:gridCol w:w="1316"/>
              <w:gridCol w:w="1404"/>
              <w:gridCol w:w="1176"/>
            </w:tblGrid>
            <w:tr w14:paraId="79A39C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771" w:type="pct"/>
                  <w:noWrap w:val="0"/>
                  <w:vAlign w:val="center"/>
                </w:tcPr>
                <w:p w14:paraId="2CBCC312">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产污设备或工段</w:t>
                  </w:r>
                </w:p>
              </w:tc>
              <w:tc>
                <w:tcPr>
                  <w:tcW w:w="748" w:type="pct"/>
                  <w:noWrap w:val="0"/>
                  <w:vAlign w:val="center"/>
                </w:tcPr>
                <w:p w14:paraId="7F59B63E">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产污设备数量（台/套）</w:t>
                  </w:r>
                </w:p>
              </w:tc>
              <w:tc>
                <w:tcPr>
                  <w:tcW w:w="515" w:type="pct"/>
                  <w:noWrap w:val="0"/>
                  <w:vAlign w:val="center"/>
                </w:tcPr>
                <w:p w14:paraId="2D177062">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收集类型</w:t>
                  </w:r>
                </w:p>
              </w:tc>
              <w:tc>
                <w:tcPr>
                  <w:tcW w:w="672" w:type="pct"/>
                  <w:noWrap w:val="0"/>
                  <w:vAlign w:val="center"/>
                </w:tcPr>
                <w:p w14:paraId="13FA9AEB">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设备尺寸（m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w:t>
                  </w:r>
                </w:p>
              </w:tc>
              <w:tc>
                <w:tcPr>
                  <w:tcW w:w="773" w:type="pct"/>
                  <w:noWrap w:val="0"/>
                  <w:vAlign w:val="center"/>
                </w:tcPr>
                <w:p w14:paraId="2D058954">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换气次数</w:t>
                  </w:r>
                </w:p>
              </w:tc>
              <w:tc>
                <w:tcPr>
                  <w:tcW w:w="825" w:type="pct"/>
                  <w:noWrap w:val="0"/>
                  <w:vAlign w:val="center"/>
                </w:tcPr>
                <w:p w14:paraId="1EF7DD83">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计算风量</w:t>
                  </w:r>
                </w:p>
                <w:p w14:paraId="7ED02086">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/h)</w:t>
                  </w:r>
                </w:p>
              </w:tc>
              <w:tc>
                <w:tcPr>
                  <w:tcW w:w="691" w:type="pct"/>
                  <w:noWrap w:val="0"/>
                  <w:vAlign w:val="center"/>
                </w:tcPr>
                <w:p w14:paraId="07C5F381">
                  <w:pPr>
                    <w:pStyle w:val="54"/>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设计风量(m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/h)</w:t>
                  </w:r>
                </w:p>
              </w:tc>
            </w:tr>
            <w:tr w14:paraId="2E1F54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1" w:type="pct"/>
                  <w:shd w:val="clear" w:color="auto" w:fill="auto"/>
                  <w:noWrap w:val="0"/>
                  <w:vAlign w:val="center"/>
                </w:tcPr>
                <w:p w14:paraId="3A0BF396">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清洗线</w:t>
                  </w:r>
                </w:p>
              </w:tc>
              <w:tc>
                <w:tcPr>
                  <w:tcW w:w="748" w:type="pct"/>
                  <w:noWrap w:val="0"/>
                  <w:vAlign w:val="center"/>
                </w:tcPr>
                <w:p w14:paraId="204961A3">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515" w:type="pct"/>
                  <w:noWrap w:val="0"/>
                  <w:vAlign w:val="center"/>
                </w:tcPr>
                <w:p w14:paraId="3AC6CB4E">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设备密闭</w:t>
                  </w:r>
                </w:p>
              </w:tc>
              <w:tc>
                <w:tcPr>
                  <w:tcW w:w="672" w:type="pct"/>
                  <w:noWrap w:val="0"/>
                  <w:vAlign w:val="center"/>
                </w:tcPr>
                <w:p w14:paraId="7E0C88C3">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15*1.3*1</w:t>
                  </w:r>
                </w:p>
              </w:tc>
              <w:tc>
                <w:tcPr>
                  <w:tcW w:w="773" w:type="pct"/>
                  <w:noWrap w:val="0"/>
                  <w:vAlign w:val="center"/>
                </w:tcPr>
                <w:p w14:paraId="4DE598FB">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w:t>
                  </w:r>
                </w:p>
              </w:tc>
              <w:tc>
                <w:tcPr>
                  <w:tcW w:w="825" w:type="pct"/>
                  <w:noWrap w:val="0"/>
                  <w:vAlign w:val="center"/>
                </w:tcPr>
                <w:p w14:paraId="0C771EBF">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702</w:t>
                  </w:r>
                </w:p>
              </w:tc>
              <w:tc>
                <w:tcPr>
                  <w:tcW w:w="691" w:type="pct"/>
                  <w:noWrap w:val="0"/>
                  <w:vAlign w:val="center"/>
                </w:tcPr>
                <w:p w14:paraId="04BA7A91">
                  <w:pPr>
                    <w:pStyle w:val="54"/>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1000</w:t>
                  </w:r>
                </w:p>
              </w:tc>
            </w:tr>
          </w:tbl>
          <w:p w14:paraId="62085DF8">
            <w:pPr>
              <w:pStyle w:val="7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注：实际建设过程中根据生产设备尺寸及现场安装条件进行调整，但不得降低废气收集效果。</w:t>
            </w:r>
          </w:p>
          <w:p w14:paraId="3F5145AC">
            <w:pPr>
              <w:pStyle w:val="77"/>
              <w:spacing w:line="360" w:lineRule="auto"/>
              <w:ind w:firstLine="48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由上表可知，计算得出的</w:t>
            </w:r>
            <w:r>
              <w:rPr>
                <w:rFonts w:hint="eastAsia" w:cs="Times New Roman"/>
                <w:color w:val="000000" w:themeColor="text1"/>
                <w:sz w:val="24"/>
                <w:szCs w:val="24"/>
                <w:highlight w:val="none"/>
                <w:lang w:val="en-US" w:eastAsia="zh-CN"/>
                <w14:textFill>
                  <w14:solidFill>
                    <w14:schemeClr w14:val="tx1"/>
                  </w14:solidFill>
                </w14:textFill>
              </w:rPr>
              <w:t>排气筒DA001</w:t>
            </w:r>
            <w:r>
              <w:rPr>
                <w:rFonts w:hint="eastAsia" w:ascii="Times New Roman" w:hAnsi="Times New Roman" w:eastAsia="宋体" w:cs="Times New Roman"/>
                <w:color w:val="000000" w:themeColor="text1"/>
                <w:sz w:val="24"/>
                <w:szCs w:val="24"/>
                <w:highlight w:val="none"/>
                <w14:textFill>
                  <w14:solidFill>
                    <w14:schemeClr w14:val="tx1"/>
                  </w14:solidFill>
                </w14:textFill>
              </w:rPr>
              <w:t>风</w:t>
            </w:r>
            <w:r>
              <w:rPr>
                <w:rFonts w:hint="eastAsia"/>
                <w:color w:val="000000" w:themeColor="text1"/>
                <w:sz w:val="24"/>
                <w:szCs w:val="24"/>
                <w:highlight w:val="none"/>
                <w14:textFill>
                  <w14:solidFill>
                    <w14:schemeClr w14:val="tx1"/>
                  </w14:solidFill>
                </w14:textFill>
              </w:rPr>
              <w:t>量</w:t>
            </w:r>
            <w:r>
              <w:rPr>
                <w:rFonts w:hint="eastAsia"/>
                <w:color w:val="000000" w:themeColor="text1"/>
                <w:sz w:val="24"/>
                <w:szCs w:val="24"/>
                <w:highlight w:val="none"/>
                <w:lang w:val="en-US" w:eastAsia="zh-CN"/>
                <w14:textFill>
                  <w14:solidFill>
                    <w14:schemeClr w14:val="tx1"/>
                  </w14:solidFill>
                </w14:textFill>
              </w:rPr>
              <w:t>为702</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/h，设计风量为</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000m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/h</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设备密闭收集</w:t>
            </w:r>
            <w:r>
              <w:rPr>
                <w:rFonts w:hint="eastAsia"/>
                <w:color w:val="000000" w:themeColor="text1"/>
                <w:sz w:val="24"/>
                <w:szCs w:val="24"/>
                <w:highlight w:val="none"/>
                <w14:textFill>
                  <w14:solidFill>
                    <w14:schemeClr w14:val="tx1"/>
                  </w14:solidFill>
                </w14:textFill>
              </w:rPr>
              <w:t>能够满足废气9</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%的收集要求。</w:t>
            </w:r>
          </w:p>
          <w:p w14:paraId="4C6720E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废气处理装置运行原理</w:t>
            </w:r>
          </w:p>
          <w:p w14:paraId="572C7E6E">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A.</w:t>
            </w: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喷淋塔</w:t>
            </w:r>
          </w:p>
          <w:p w14:paraId="5B6E4A16">
            <w:pPr>
              <w:pStyle w:val="77"/>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废气通过引风机的动力进入</w:t>
            </w:r>
            <w:r>
              <w:rPr>
                <w:rFonts w:hint="eastAsia"/>
                <w:color w:val="000000" w:themeColor="text1"/>
                <w:sz w:val="24"/>
                <w:szCs w:val="24"/>
                <w:lang w:val="en-US" w:eastAsia="zh-CN"/>
                <w14:textFill>
                  <w14:solidFill>
                    <w14:schemeClr w14:val="tx1"/>
                  </w14:solidFill>
                </w14:textFill>
              </w:rPr>
              <w:t>碱喷淋塔</w:t>
            </w:r>
            <w:r>
              <w:rPr>
                <w:rFonts w:hint="eastAsia"/>
                <w:color w:val="000000" w:themeColor="text1"/>
                <w:sz w:val="24"/>
                <w:szCs w:val="24"/>
                <w14:textFill>
                  <w14:solidFill>
                    <w14:schemeClr w14:val="tx1"/>
                  </w14:solidFill>
                </w14:textFill>
              </w:rPr>
              <w:t>，当有一定进气速度的</w:t>
            </w:r>
            <w:r>
              <w:rPr>
                <w:rFonts w:hint="eastAsia"/>
                <w:color w:val="000000" w:themeColor="text1"/>
                <w:sz w:val="24"/>
                <w:szCs w:val="24"/>
                <w:lang w:val="en-US" w:eastAsia="zh-CN"/>
                <w14:textFill>
                  <w14:solidFill>
                    <w14:schemeClr w14:val="tx1"/>
                  </w14:solidFill>
                </w14:textFill>
              </w:rPr>
              <w:t>废气</w:t>
            </w:r>
            <w:r>
              <w:rPr>
                <w:rFonts w:hint="eastAsia"/>
                <w:color w:val="000000" w:themeColor="text1"/>
                <w:sz w:val="24"/>
                <w:szCs w:val="24"/>
                <w14:textFill>
                  <w14:solidFill>
                    <w14:schemeClr w14:val="tx1"/>
                  </w14:solidFill>
                </w14:textFill>
              </w:rPr>
              <w:t>经进气管进入</w:t>
            </w:r>
            <w:r>
              <w:rPr>
                <w:rFonts w:hint="eastAsia"/>
                <w:color w:val="000000" w:themeColor="text1"/>
                <w:sz w:val="24"/>
                <w:szCs w:val="24"/>
                <w:lang w:val="en-US" w:eastAsia="zh-CN"/>
                <w14:textFill>
                  <w14:solidFill>
                    <w14:schemeClr w14:val="tx1"/>
                  </w14:solidFill>
                </w14:textFill>
              </w:rPr>
              <w:t>水喷淋塔</w:t>
            </w:r>
            <w:r>
              <w:rPr>
                <w:rFonts w:hint="eastAsia"/>
                <w:color w:val="000000" w:themeColor="text1"/>
                <w:sz w:val="24"/>
                <w:szCs w:val="24"/>
                <w14:textFill>
                  <w14:solidFill>
                    <w14:schemeClr w14:val="tx1"/>
                  </w14:solidFill>
                </w14:textFill>
              </w:rPr>
              <w:t>后，设备的冲击水层改变了气体的运动方向，而气体由于惯性则继续按原方向运动，其中大部分</w:t>
            </w:r>
            <w:r>
              <w:rPr>
                <w:rFonts w:hint="eastAsia"/>
                <w:color w:val="000000" w:themeColor="text1"/>
                <w:sz w:val="24"/>
                <w:szCs w:val="24"/>
                <w:lang w:val="en-US" w:eastAsia="zh-CN"/>
                <w14:textFill>
                  <w14:solidFill>
                    <w14:schemeClr w14:val="tx1"/>
                  </w14:solidFill>
                </w14:textFill>
              </w:rPr>
              <w:t>废气</w:t>
            </w:r>
            <w:r>
              <w:rPr>
                <w:rFonts w:hint="eastAsia"/>
                <w:color w:val="000000" w:themeColor="text1"/>
                <w:sz w:val="24"/>
                <w:szCs w:val="24"/>
                <w14:textFill>
                  <w14:solidFill>
                    <w14:schemeClr w14:val="tx1"/>
                  </w14:solidFill>
                </w14:textFill>
              </w:rPr>
              <w:t>与水</w:t>
            </w:r>
            <w:r>
              <w:rPr>
                <w:rFonts w:hint="eastAsia"/>
                <w:color w:val="000000" w:themeColor="text1"/>
                <w:sz w:val="24"/>
                <w:szCs w:val="24"/>
                <w:lang w:eastAsia="zh-CN"/>
                <w14:textFill>
                  <w14:solidFill>
                    <w14:schemeClr w14:val="tx1"/>
                  </w14:solidFill>
                </w14:textFill>
              </w:rPr>
              <w:t>黏附</w:t>
            </w:r>
            <w:r>
              <w:rPr>
                <w:rFonts w:hint="eastAsia"/>
                <w:color w:val="000000" w:themeColor="text1"/>
                <w:sz w:val="24"/>
                <w:szCs w:val="24"/>
                <w14:textFill>
                  <w14:solidFill>
                    <w14:schemeClr w14:val="tx1"/>
                  </w14:solidFill>
                </w14:textFill>
              </w:rPr>
              <w:t>后便停留在水中，在冲击水浴后，有一部分</w:t>
            </w:r>
            <w:r>
              <w:rPr>
                <w:rFonts w:hint="eastAsia"/>
                <w:color w:val="000000" w:themeColor="text1"/>
                <w:sz w:val="24"/>
                <w:szCs w:val="24"/>
                <w:lang w:val="en-US" w:eastAsia="zh-CN"/>
                <w14:textFill>
                  <w14:solidFill>
                    <w14:schemeClr w14:val="tx1"/>
                  </w14:solidFill>
                </w14:textFill>
              </w:rPr>
              <w:t>废气</w:t>
            </w:r>
            <w:r>
              <w:rPr>
                <w:rFonts w:hint="eastAsia"/>
                <w:color w:val="000000" w:themeColor="text1"/>
                <w:sz w:val="24"/>
                <w:szCs w:val="24"/>
                <w14:textFill>
                  <w14:solidFill>
                    <w14:schemeClr w14:val="tx1"/>
                  </w14:solidFill>
                </w14:textFill>
              </w:rPr>
              <w:t>随气体运动，与冲击水雾并与循环喷淋水相结合，在主体内进一步充分混合，起到中和作用。</w:t>
            </w:r>
          </w:p>
          <w:p w14:paraId="1CD45291">
            <w:pPr>
              <w:pStyle w:val="77"/>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喷淋装置：吸收塔内部喷淋系统是由分配母管和喷嘴组成的网状系统。每台吸收塔再循环泵均对应一个喷淋层，喷淋层上安装空心锥喷嘴，其作用是将</w:t>
            </w:r>
            <w:r>
              <w:rPr>
                <w:rFonts w:hint="eastAsia"/>
                <w:color w:val="000000" w:themeColor="text1"/>
                <w:sz w:val="24"/>
                <w:szCs w:val="24"/>
                <w:lang w:val="en-US" w:eastAsia="zh-CN"/>
                <w14:textFill>
                  <w14:solidFill>
                    <w14:schemeClr w14:val="tx1"/>
                  </w14:solidFill>
                </w14:textFill>
              </w:rPr>
              <w:t>碱</w:t>
            </w:r>
            <w:r>
              <w:rPr>
                <w:rFonts w:hint="eastAsia"/>
                <w:color w:val="000000" w:themeColor="text1"/>
                <w:sz w:val="24"/>
                <w:szCs w:val="24"/>
                <w14:textFill>
                  <w14:solidFill>
                    <w14:schemeClr w14:val="tx1"/>
                  </w14:solidFill>
                </w14:textFill>
              </w:rPr>
              <w:t>喷淋液</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氢氧化钠喷淋液</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雾化。喷淋液由吸收塔再循环泵输送到喷嘴，喷入废气中。喷淋系统能使水液在吸收塔内均匀分布，流经每个喷淋层的流量相等。</w:t>
            </w:r>
          </w:p>
          <w:p w14:paraId="2BF5BC23">
            <w:pPr>
              <w:pStyle w:val="77"/>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除雾装置：采用旋流板除雾器，用于分离废气携带的液滴。吸收塔除雾器布置于吸收塔顶部最后一个喷淋组件的上部。废气通过喷淋层后，再连续流经除雾器时，液滴由于惯性作用，留在挡板上。</w:t>
            </w:r>
          </w:p>
          <w:p w14:paraId="7FA092C6">
            <w:pPr>
              <w:pStyle w:val="77"/>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循环水泵：循环泵安装在喷淋塔旁，用于喷淋塔内的水循环。采用单流和单级卧式离心泵，包括泵壳、叶轮、轴、导轴承、出口弯头、底板、进口、密封盒、轴封、基础框架、地脚螺栓、机械密封和所有的管道、阀门和电机。工作原理是叶轮高速旋转时产生的离心力使流体获得能量，即流体通过叶轮后，压能和动能都能得到提高，从而能够被输送到高处或远处。同时在泵的入口形成负压，使流体能够被不断吸入。</w:t>
            </w:r>
          </w:p>
          <w:p w14:paraId="7B8E29ED">
            <w:pPr>
              <w:pStyle w:val="77"/>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喷淋塔主体：塔体采用PP材料制作，喷淋塔体采用热焊接工艺生产制作，强度高，质量可信，性能良好。</w:t>
            </w:r>
          </w:p>
          <w:p w14:paraId="2328A185">
            <w:pPr>
              <w:pStyle w:val="78"/>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表4-</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喷淋塔</w:t>
            </w:r>
            <w:r>
              <w:rPr>
                <w:rFonts w:hint="eastAsia"/>
                <w:color w:val="000000" w:themeColor="text1"/>
                <w:sz w:val="24"/>
                <w:szCs w:val="24"/>
                <w14:textFill>
                  <w14:solidFill>
                    <w14:schemeClr w14:val="tx1"/>
                  </w14:solidFill>
                </w14:textFill>
              </w:rPr>
              <w:t>装置参数一览表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237"/>
              <w:gridCol w:w="2485"/>
              <w:gridCol w:w="2626"/>
            </w:tblGrid>
            <w:tr w14:paraId="186E1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noWrap w:val="0"/>
                  <w:vAlign w:val="center"/>
                </w:tcPr>
                <w:p w14:paraId="1DCAB1D9">
                  <w:pPr>
                    <w:pStyle w:val="7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废气处理装置</w:t>
                  </w:r>
                </w:p>
              </w:tc>
              <w:tc>
                <w:tcPr>
                  <w:tcW w:w="1315" w:type="pct"/>
                  <w:noWrap w:val="0"/>
                  <w:vAlign w:val="center"/>
                </w:tcPr>
                <w:p w14:paraId="33CE3A81">
                  <w:pPr>
                    <w:pStyle w:val="7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461" w:type="pct"/>
                  <w:noWrap w:val="0"/>
                  <w:vAlign w:val="center"/>
                </w:tcPr>
                <w:p w14:paraId="4A65D124">
                  <w:pPr>
                    <w:pStyle w:val="7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设备参数</w:t>
                  </w:r>
                </w:p>
              </w:tc>
              <w:tc>
                <w:tcPr>
                  <w:tcW w:w="1543" w:type="pct"/>
                  <w:noWrap w:val="0"/>
                  <w:vAlign w:val="center"/>
                </w:tcPr>
                <w:p w14:paraId="00A8D0EB">
                  <w:pPr>
                    <w:pStyle w:val="7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14:paraId="46C73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restart"/>
                  <w:noWrap w:val="0"/>
                  <w:vAlign w:val="center"/>
                </w:tcPr>
                <w:p w14:paraId="520B2266">
                  <w:pPr>
                    <w:pStyle w:val="7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碱</w:t>
                  </w:r>
                  <w:r>
                    <w:rPr>
                      <w:rFonts w:hint="default" w:ascii="Times New Roman" w:hAnsi="Times New Roman" w:cs="Times New Roman"/>
                      <w:color w:val="000000" w:themeColor="text1"/>
                      <w:sz w:val="21"/>
                      <w:szCs w:val="21"/>
                      <w14:textFill>
                        <w14:solidFill>
                          <w14:schemeClr w14:val="tx1"/>
                        </w14:solidFill>
                      </w14:textFill>
                    </w:rPr>
                    <w:t>喷淋</w:t>
                  </w:r>
                  <w:r>
                    <w:rPr>
                      <w:rFonts w:hint="default" w:ascii="Times New Roman" w:hAnsi="Times New Roman" w:cs="Times New Roman"/>
                      <w:color w:val="000000" w:themeColor="text1"/>
                      <w:sz w:val="21"/>
                      <w:szCs w:val="21"/>
                      <w:lang w:val="en-US" w:eastAsia="zh-CN"/>
                      <w14:textFill>
                        <w14:solidFill>
                          <w14:schemeClr w14:val="tx1"/>
                        </w14:solidFill>
                      </w14:textFill>
                    </w:rPr>
                    <w:t>塔</w:t>
                  </w:r>
                </w:p>
              </w:tc>
              <w:tc>
                <w:tcPr>
                  <w:tcW w:w="1315" w:type="pct"/>
                  <w:noWrap w:val="0"/>
                  <w:vAlign w:val="center"/>
                </w:tcPr>
                <w:p w14:paraId="6C083938">
                  <w:pPr>
                    <w:pStyle w:val="7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处理风量</w:t>
                  </w:r>
                </w:p>
              </w:tc>
              <w:tc>
                <w:tcPr>
                  <w:tcW w:w="1461" w:type="pct"/>
                  <w:noWrap w:val="0"/>
                  <w:vAlign w:val="center"/>
                </w:tcPr>
                <w:p w14:paraId="2CE3210D">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Q=</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p>
              </w:tc>
              <w:tc>
                <w:tcPr>
                  <w:tcW w:w="1543" w:type="pct"/>
                  <w:vMerge w:val="restart"/>
                  <w:noWrap w:val="0"/>
                  <w:vAlign w:val="center"/>
                </w:tcPr>
                <w:p w14:paraId="2E310B9C">
                  <w:pPr>
                    <w:widowControl/>
                    <w:jc w:val="center"/>
                    <w:textAlignment w:val="center"/>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设备内流速</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 w:val="21"/>
                      <w:szCs w:val="21"/>
                      <w:lang w:bidi="ar"/>
                      <w14:textFill>
                        <w14:solidFill>
                          <w14:schemeClr w14:val="tx1"/>
                        </w14:solidFill>
                      </w14:textFill>
                    </w:rPr>
                    <w:t>0.7m/s，停留时间</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约为</w:t>
                  </w:r>
                  <w:r>
                    <w:rPr>
                      <w:rFonts w:hint="default" w:ascii="Times New Roman" w:hAnsi="Times New Roman" w:eastAsia="宋体" w:cs="Times New Roman"/>
                      <w:color w:val="000000" w:themeColor="text1"/>
                      <w:kern w:val="0"/>
                      <w:sz w:val="21"/>
                      <w:szCs w:val="21"/>
                      <w:lang w:bidi="ar"/>
                      <w14:textFill>
                        <w14:solidFill>
                          <w14:schemeClr w14:val="tx1"/>
                        </w14:solidFill>
                      </w14:textFill>
                    </w:rPr>
                    <w:t>6</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lang w:bidi="ar"/>
                      <w14:textFill>
                        <w14:solidFill>
                          <w14:schemeClr w14:val="tx1"/>
                        </w14:solidFill>
                      </w14:textFill>
                    </w:rPr>
                    <w:t>S</w:t>
                  </w:r>
                  <w:r>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t>，配备水泵液气比为：2L/m</w:t>
                  </w:r>
                  <w:r>
                    <w:rPr>
                      <w:rFonts w:hint="eastAsia" w:ascii="Times New Roman" w:hAnsi="Times New Roman" w:eastAsia="宋体" w:cs="Times New Roman"/>
                      <w:color w:val="000000" w:themeColor="text1"/>
                      <w:kern w:val="0"/>
                      <w:sz w:val="21"/>
                      <w:szCs w:val="21"/>
                      <w:vertAlign w:val="superscript"/>
                      <w:lang w:eastAsia="zh-CN" w:bidi="ar"/>
                      <w14:textFill>
                        <w14:solidFill>
                          <w14:schemeClr w14:val="tx1"/>
                        </w14:solidFill>
                      </w14:textFill>
                    </w:rPr>
                    <w:t>3</w:t>
                  </w:r>
                </w:p>
              </w:tc>
            </w:tr>
            <w:tr w14:paraId="7A16B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noWrap w:val="0"/>
                  <w:vAlign w:val="center"/>
                </w:tcPr>
                <w:p w14:paraId="2F872FA9">
                  <w:pPr>
                    <w:pStyle w:val="79"/>
                    <w:rPr>
                      <w:rFonts w:hint="default" w:ascii="Times New Roman" w:hAnsi="Times New Roman" w:cs="Times New Roman"/>
                      <w:color w:val="000000" w:themeColor="text1"/>
                      <w:sz w:val="21"/>
                      <w:szCs w:val="21"/>
                      <w14:textFill>
                        <w14:solidFill>
                          <w14:schemeClr w14:val="tx1"/>
                        </w14:solidFill>
                      </w14:textFill>
                    </w:rPr>
                  </w:pPr>
                </w:p>
              </w:tc>
              <w:tc>
                <w:tcPr>
                  <w:tcW w:w="1315" w:type="pct"/>
                  <w:noWrap w:val="0"/>
                  <w:vAlign w:val="center"/>
                </w:tcPr>
                <w:p w14:paraId="01B2441A">
                  <w:pPr>
                    <w:pStyle w:val="7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尺寸</w:t>
                  </w:r>
                </w:p>
              </w:tc>
              <w:tc>
                <w:tcPr>
                  <w:tcW w:w="1461" w:type="pct"/>
                  <w:noWrap w:val="0"/>
                  <w:vAlign w:val="center"/>
                </w:tcPr>
                <w:p w14:paraId="434CEABF">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DN</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6</w:t>
                  </w:r>
                  <w:r>
                    <w:rPr>
                      <w:rFonts w:hint="default" w:ascii="Times New Roman" w:hAnsi="Times New Roman" w:cs="Times New Roman"/>
                      <w:color w:val="000000" w:themeColor="text1"/>
                      <w:kern w:val="0"/>
                      <w:sz w:val="21"/>
                      <w:szCs w:val="21"/>
                      <w:lang w:bidi="ar"/>
                      <w14:textFill>
                        <w14:solidFill>
                          <w14:schemeClr w14:val="tx1"/>
                        </w14:solidFill>
                      </w14:textFill>
                    </w:rPr>
                    <w:t>00*</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30</w:t>
                  </w:r>
                  <w:r>
                    <w:rPr>
                      <w:rFonts w:hint="default" w:ascii="Times New Roman" w:hAnsi="Times New Roman" w:cs="Times New Roman"/>
                      <w:color w:val="000000" w:themeColor="text1"/>
                      <w:kern w:val="0"/>
                      <w:sz w:val="21"/>
                      <w:szCs w:val="21"/>
                      <w:lang w:bidi="ar"/>
                      <w14:textFill>
                        <w14:solidFill>
                          <w14:schemeClr w14:val="tx1"/>
                        </w14:solidFill>
                      </w14:textFill>
                    </w:rPr>
                    <w:t>00mm</w:t>
                  </w:r>
                </w:p>
              </w:tc>
              <w:tc>
                <w:tcPr>
                  <w:tcW w:w="1543" w:type="pct"/>
                  <w:vMerge w:val="continue"/>
                  <w:noWrap w:val="0"/>
                  <w:vAlign w:val="center"/>
                </w:tcPr>
                <w:p w14:paraId="3F436EBD">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48CEB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noWrap w:val="0"/>
                  <w:vAlign w:val="center"/>
                </w:tcPr>
                <w:p w14:paraId="21BE74D1">
                  <w:pPr>
                    <w:pStyle w:val="79"/>
                    <w:rPr>
                      <w:rFonts w:hint="default" w:ascii="Times New Roman" w:hAnsi="Times New Roman" w:cs="Times New Roman"/>
                      <w:color w:val="000000" w:themeColor="text1"/>
                      <w:sz w:val="21"/>
                      <w:szCs w:val="21"/>
                      <w14:textFill>
                        <w14:solidFill>
                          <w14:schemeClr w14:val="tx1"/>
                        </w14:solidFill>
                      </w14:textFill>
                    </w:rPr>
                  </w:pPr>
                </w:p>
              </w:tc>
              <w:tc>
                <w:tcPr>
                  <w:tcW w:w="1315" w:type="pct"/>
                  <w:noWrap w:val="0"/>
                  <w:vAlign w:val="center"/>
                </w:tcPr>
                <w:p w14:paraId="49CD0241">
                  <w:pPr>
                    <w:pStyle w:val="7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材质</w:t>
                  </w:r>
                </w:p>
              </w:tc>
              <w:tc>
                <w:tcPr>
                  <w:tcW w:w="1461" w:type="pct"/>
                  <w:noWrap w:val="0"/>
                  <w:vAlign w:val="center"/>
                </w:tcPr>
                <w:p w14:paraId="77792A0A">
                  <w:pPr>
                    <w:widowControl/>
                    <w:jc w:val="center"/>
                    <w:textAlignment w:val="cente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PP</w:t>
                  </w:r>
                </w:p>
              </w:tc>
              <w:tc>
                <w:tcPr>
                  <w:tcW w:w="1543" w:type="pct"/>
                  <w:vMerge w:val="continue"/>
                  <w:noWrap w:val="0"/>
                  <w:vAlign w:val="center"/>
                </w:tcPr>
                <w:p w14:paraId="07557DAE">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2F380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noWrap w:val="0"/>
                  <w:vAlign w:val="center"/>
                </w:tcPr>
                <w:p w14:paraId="1F629D87">
                  <w:pPr>
                    <w:pStyle w:val="79"/>
                    <w:rPr>
                      <w:rFonts w:hint="default" w:ascii="Times New Roman" w:hAnsi="Times New Roman" w:cs="Times New Roman"/>
                      <w:color w:val="000000" w:themeColor="text1"/>
                      <w:sz w:val="21"/>
                      <w:szCs w:val="21"/>
                      <w14:textFill>
                        <w14:solidFill>
                          <w14:schemeClr w14:val="tx1"/>
                        </w14:solidFill>
                      </w14:textFill>
                    </w:rPr>
                  </w:pPr>
                </w:p>
              </w:tc>
              <w:tc>
                <w:tcPr>
                  <w:tcW w:w="1315" w:type="pct"/>
                  <w:noWrap w:val="0"/>
                  <w:vAlign w:val="center"/>
                </w:tcPr>
                <w:p w14:paraId="183FEFAD">
                  <w:pPr>
                    <w:pStyle w:val="7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配套设备</w:t>
                  </w:r>
                </w:p>
              </w:tc>
              <w:tc>
                <w:tcPr>
                  <w:tcW w:w="1461" w:type="pct"/>
                  <w:noWrap w:val="0"/>
                  <w:vAlign w:val="center"/>
                </w:tcPr>
                <w:p w14:paraId="3A03C6A6">
                  <w:pPr>
                    <w:widowControl/>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喷淋泵1台</w:t>
                  </w:r>
                </w:p>
              </w:tc>
              <w:tc>
                <w:tcPr>
                  <w:tcW w:w="1543" w:type="pct"/>
                  <w:vMerge w:val="continue"/>
                  <w:noWrap w:val="0"/>
                  <w:vAlign w:val="center"/>
                </w:tcPr>
                <w:p w14:paraId="27767395">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bl>
          <w:p w14:paraId="44F6B2B2">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工程实例分析</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278C3968">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根据《龙岩金时裕电子有限公司年产印制线路板24万平米减排更新改造项目竣工环保验收报告》，该项目硫酸雾使用碱液喷淋装置对硫酸雾进行处理，处理效率可达90%以上。</w:t>
            </w:r>
          </w:p>
          <w:p w14:paraId="41231404">
            <w:pPr>
              <w:pStyle w:val="78"/>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表4-4 </w:t>
            </w:r>
            <w:r>
              <w:rPr>
                <w:rFonts w:hint="eastAsia"/>
                <w:color w:val="000000" w:themeColor="text1"/>
                <w:sz w:val="24"/>
                <w:szCs w:val="24"/>
                <w14:textFill>
                  <w14:solidFill>
                    <w14:schemeClr w14:val="tx1"/>
                  </w14:solidFill>
                </w14:textFill>
              </w:rPr>
              <w:t>工程实例硫酸雾废气治理设施监测结果一览表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34"/>
              <w:gridCol w:w="436"/>
              <w:gridCol w:w="960"/>
              <w:gridCol w:w="624"/>
              <w:gridCol w:w="837"/>
              <w:gridCol w:w="837"/>
              <w:gridCol w:w="837"/>
              <w:gridCol w:w="837"/>
              <w:gridCol w:w="844"/>
              <w:gridCol w:w="570"/>
              <w:gridCol w:w="448"/>
              <w:gridCol w:w="439"/>
            </w:tblGrid>
            <w:tr w14:paraId="4F78DE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restart"/>
                  <w:tcBorders>
                    <w:tl2br w:val="nil"/>
                    <w:tr2bl w:val="nil"/>
                  </w:tcBorders>
                  <w:vAlign w:val="center"/>
                </w:tcPr>
                <w:p w14:paraId="79C3C78C">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监测点位</w:t>
                  </w:r>
                </w:p>
              </w:tc>
              <w:tc>
                <w:tcPr>
                  <w:tcW w:w="820" w:type="pct"/>
                  <w:gridSpan w:val="2"/>
                  <w:vMerge w:val="restart"/>
                  <w:tcBorders>
                    <w:tl2br w:val="nil"/>
                    <w:tr2bl w:val="nil"/>
                  </w:tcBorders>
                  <w:vAlign w:val="center"/>
                </w:tcPr>
                <w:p w14:paraId="66CB4DDA">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监测项目</w:t>
                  </w:r>
                </w:p>
              </w:tc>
              <w:tc>
                <w:tcPr>
                  <w:tcW w:w="367" w:type="pct"/>
                  <w:vMerge w:val="restart"/>
                  <w:tcBorders>
                    <w:tl2br w:val="nil"/>
                    <w:tr2bl w:val="nil"/>
                  </w:tcBorders>
                  <w:vAlign w:val="center"/>
                </w:tcPr>
                <w:p w14:paraId="2076981D">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单位</w:t>
                  </w:r>
                </w:p>
              </w:tc>
              <w:tc>
                <w:tcPr>
                  <w:tcW w:w="2464" w:type="pct"/>
                  <w:gridSpan w:val="5"/>
                  <w:tcBorders>
                    <w:tl2br w:val="nil"/>
                    <w:tr2bl w:val="nil"/>
                  </w:tcBorders>
                  <w:vAlign w:val="center"/>
                </w:tcPr>
                <w:p w14:paraId="00B643F1">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监测结果</w:t>
                  </w:r>
                </w:p>
              </w:tc>
              <w:tc>
                <w:tcPr>
                  <w:tcW w:w="335" w:type="pct"/>
                  <w:vMerge w:val="restart"/>
                  <w:tcBorders>
                    <w:tl2br w:val="nil"/>
                    <w:tr2bl w:val="nil"/>
                  </w:tcBorders>
                  <w:vAlign w:val="center"/>
                </w:tcPr>
                <w:p w14:paraId="6B5918E4">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处理效率</w:t>
                  </w:r>
                </w:p>
              </w:tc>
              <w:tc>
                <w:tcPr>
                  <w:tcW w:w="263" w:type="pct"/>
                  <w:vMerge w:val="restart"/>
                  <w:tcBorders>
                    <w:tl2br w:val="nil"/>
                    <w:tr2bl w:val="nil"/>
                  </w:tcBorders>
                  <w:vAlign w:val="center"/>
                </w:tcPr>
                <w:p w14:paraId="541CC057">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标准限值</w:t>
                  </w:r>
                </w:p>
              </w:tc>
              <w:tc>
                <w:tcPr>
                  <w:tcW w:w="258" w:type="pct"/>
                  <w:vMerge w:val="restart"/>
                  <w:tcBorders>
                    <w:tl2br w:val="nil"/>
                    <w:tr2bl w:val="nil"/>
                  </w:tcBorders>
                  <w:vAlign w:val="center"/>
                </w:tcPr>
                <w:p w14:paraId="6E0BA2FE">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达标情况</w:t>
                  </w:r>
                </w:p>
              </w:tc>
            </w:tr>
            <w:tr w14:paraId="5F1EEF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continue"/>
                  <w:tcBorders>
                    <w:tl2br w:val="nil"/>
                    <w:tr2bl w:val="nil"/>
                  </w:tcBorders>
                  <w:vAlign w:val="center"/>
                </w:tcPr>
                <w:p w14:paraId="6B0A9009">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820" w:type="pct"/>
                  <w:gridSpan w:val="2"/>
                  <w:vMerge w:val="continue"/>
                  <w:tcBorders>
                    <w:tl2br w:val="nil"/>
                    <w:tr2bl w:val="nil"/>
                  </w:tcBorders>
                  <w:vAlign w:val="center"/>
                </w:tcPr>
                <w:p w14:paraId="0F449B9D">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367" w:type="pct"/>
                  <w:vMerge w:val="continue"/>
                  <w:tcBorders>
                    <w:tl2br w:val="nil"/>
                    <w:tr2bl w:val="nil"/>
                  </w:tcBorders>
                  <w:vAlign w:val="center"/>
                </w:tcPr>
                <w:p w14:paraId="561290B4">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492" w:type="pct"/>
                  <w:tcBorders>
                    <w:tl2br w:val="nil"/>
                    <w:tr2bl w:val="nil"/>
                  </w:tcBorders>
                  <w:vAlign w:val="center"/>
                </w:tcPr>
                <w:p w14:paraId="21462BD9">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第1次</w:t>
                  </w:r>
                </w:p>
              </w:tc>
              <w:tc>
                <w:tcPr>
                  <w:tcW w:w="492" w:type="pct"/>
                  <w:tcBorders>
                    <w:tl2br w:val="nil"/>
                    <w:tr2bl w:val="nil"/>
                  </w:tcBorders>
                  <w:vAlign w:val="center"/>
                </w:tcPr>
                <w:p w14:paraId="1C0CF13C">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第2次</w:t>
                  </w:r>
                </w:p>
              </w:tc>
              <w:tc>
                <w:tcPr>
                  <w:tcW w:w="492" w:type="pct"/>
                  <w:tcBorders>
                    <w:tl2br w:val="nil"/>
                    <w:tr2bl w:val="nil"/>
                  </w:tcBorders>
                  <w:vAlign w:val="center"/>
                </w:tcPr>
                <w:p w14:paraId="378F56A0">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第3次</w:t>
                  </w:r>
                </w:p>
              </w:tc>
              <w:tc>
                <w:tcPr>
                  <w:tcW w:w="492" w:type="pct"/>
                  <w:tcBorders>
                    <w:tl2br w:val="nil"/>
                    <w:tr2bl w:val="nil"/>
                  </w:tcBorders>
                  <w:vAlign w:val="center"/>
                </w:tcPr>
                <w:p w14:paraId="10FB0B13">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第4次</w:t>
                  </w:r>
                </w:p>
              </w:tc>
              <w:tc>
                <w:tcPr>
                  <w:tcW w:w="495" w:type="pct"/>
                  <w:tcBorders>
                    <w:tl2br w:val="nil"/>
                    <w:tr2bl w:val="nil"/>
                  </w:tcBorders>
                  <w:vAlign w:val="center"/>
                </w:tcPr>
                <w:p w14:paraId="09E48E4E">
                  <w:pPr>
                    <w:pStyle w:val="79"/>
                    <w:rPr>
                      <w:rFonts w:hint="default" w:ascii="Times New Roman" w:hAnsi="Times New Roman" w:cs="Times New Roman"/>
                      <w:b/>
                      <w:bCs/>
                      <w:color w:val="000000" w:themeColor="text1"/>
                      <w:sz w:val="21"/>
                      <w:szCs w:val="21"/>
                      <w:lang w:val="zh-CN"/>
                      <w14:textFill>
                        <w14:solidFill>
                          <w14:schemeClr w14:val="tx1"/>
                        </w14:solidFill>
                      </w14:textFill>
                    </w:rPr>
                  </w:pPr>
                  <w:r>
                    <w:rPr>
                      <w:rFonts w:hint="default" w:ascii="Times New Roman" w:hAnsi="Times New Roman" w:cs="Times New Roman"/>
                      <w:b/>
                      <w:bCs/>
                      <w:color w:val="000000" w:themeColor="text1"/>
                      <w:sz w:val="21"/>
                      <w:szCs w:val="21"/>
                      <w:lang w:val="zh-CN"/>
                      <w14:textFill>
                        <w14:solidFill>
                          <w14:schemeClr w14:val="tx1"/>
                        </w14:solidFill>
                      </w14:textFill>
                    </w:rPr>
                    <w:t>平均值</w:t>
                  </w:r>
                </w:p>
              </w:tc>
              <w:tc>
                <w:tcPr>
                  <w:tcW w:w="335" w:type="pct"/>
                  <w:vMerge w:val="continue"/>
                  <w:tcBorders>
                    <w:tl2br w:val="nil"/>
                    <w:tr2bl w:val="nil"/>
                  </w:tcBorders>
                  <w:vAlign w:val="center"/>
                </w:tcPr>
                <w:p w14:paraId="2033F4DE">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263" w:type="pct"/>
                  <w:vMerge w:val="continue"/>
                  <w:tcBorders>
                    <w:tl2br w:val="nil"/>
                    <w:tr2bl w:val="nil"/>
                  </w:tcBorders>
                  <w:vAlign w:val="center"/>
                </w:tcPr>
                <w:p w14:paraId="0445BAC6">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258" w:type="pct"/>
                  <w:vMerge w:val="continue"/>
                  <w:tcBorders>
                    <w:tl2br w:val="nil"/>
                    <w:tr2bl w:val="nil"/>
                  </w:tcBorders>
                  <w:vAlign w:val="center"/>
                </w:tcPr>
                <w:p w14:paraId="021AF468">
                  <w:pPr>
                    <w:pStyle w:val="79"/>
                    <w:rPr>
                      <w:rFonts w:hint="default" w:ascii="Times New Roman" w:hAnsi="Times New Roman" w:cs="Times New Roman"/>
                      <w:color w:val="000000" w:themeColor="text1"/>
                      <w:sz w:val="21"/>
                      <w:szCs w:val="21"/>
                      <w:lang w:val="zh-CN"/>
                      <w14:textFill>
                        <w14:solidFill>
                          <w14:schemeClr w14:val="tx1"/>
                        </w14:solidFill>
                      </w14:textFill>
                    </w:rPr>
                  </w:pPr>
                </w:p>
              </w:tc>
            </w:tr>
            <w:tr w14:paraId="51D90F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restart"/>
                  <w:tcBorders>
                    <w:tl2br w:val="nil"/>
                    <w:tr2bl w:val="nil"/>
                  </w:tcBorders>
                  <w:vAlign w:val="center"/>
                </w:tcPr>
                <w:p w14:paraId="40CE6B2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A03厂房酸雾废气处理设施进口</w:t>
                  </w:r>
                </w:p>
              </w:tc>
              <w:tc>
                <w:tcPr>
                  <w:tcW w:w="820" w:type="pct"/>
                  <w:gridSpan w:val="2"/>
                  <w:tcBorders>
                    <w:tl2br w:val="nil"/>
                    <w:tr2bl w:val="nil"/>
                  </w:tcBorders>
                  <w:vAlign w:val="center"/>
                </w:tcPr>
                <w:p w14:paraId="49F1D1B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标干废气流量</w:t>
                  </w:r>
                </w:p>
              </w:tc>
              <w:tc>
                <w:tcPr>
                  <w:tcW w:w="367" w:type="pct"/>
                  <w:tcBorders>
                    <w:tl2br w:val="nil"/>
                    <w:tr2bl w:val="nil"/>
                  </w:tcBorders>
                  <w:vAlign w:val="center"/>
                </w:tcPr>
                <w:p w14:paraId="5D085BA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zh-CN"/>
                      <w14:textFill>
                        <w14:solidFill>
                          <w14:schemeClr w14:val="tx1"/>
                        </w14:solidFill>
                      </w14:textFill>
                    </w:rPr>
                    <w:t>3</w:t>
                  </w:r>
                  <w:r>
                    <w:rPr>
                      <w:rFonts w:hint="default" w:ascii="Times New Roman" w:hAnsi="Times New Roman" w:cs="Times New Roman"/>
                      <w:color w:val="000000" w:themeColor="text1"/>
                      <w:sz w:val="21"/>
                      <w:szCs w:val="21"/>
                      <w:lang w:val="zh-CN"/>
                      <w14:textFill>
                        <w14:solidFill>
                          <w14:schemeClr w14:val="tx1"/>
                        </w14:solidFill>
                      </w14:textFill>
                    </w:rPr>
                    <w:t>/h</w:t>
                  </w:r>
                </w:p>
              </w:tc>
              <w:tc>
                <w:tcPr>
                  <w:tcW w:w="492" w:type="pct"/>
                  <w:tcBorders>
                    <w:tl2br w:val="nil"/>
                    <w:tr2bl w:val="nil"/>
                  </w:tcBorders>
                  <w:vAlign w:val="center"/>
                </w:tcPr>
                <w:p w14:paraId="24B142F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2.81×10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2" w:type="pct"/>
                  <w:tcBorders>
                    <w:tl2br w:val="nil"/>
                    <w:tr2bl w:val="nil"/>
                  </w:tcBorders>
                  <w:vAlign w:val="center"/>
                </w:tcPr>
                <w:p w14:paraId="3F634FD4">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2.80×10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2" w:type="pct"/>
                  <w:tcBorders>
                    <w:tl2br w:val="nil"/>
                    <w:tr2bl w:val="nil"/>
                  </w:tcBorders>
                  <w:vAlign w:val="center"/>
                </w:tcPr>
                <w:p w14:paraId="5FFA5E24">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2.81×10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2" w:type="pct"/>
                  <w:tcBorders>
                    <w:tl2br w:val="nil"/>
                    <w:tr2bl w:val="nil"/>
                  </w:tcBorders>
                  <w:vAlign w:val="center"/>
                </w:tcPr>
                <w:p w14:paraId="22FA7B0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2.80×10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5" w:type="pct"/>
                  <w:tcBorders>
                    <w:tl2br w:val="nil"/>
                    <w:tr2bl w:val="nil"/>
                  </w:tcBorders>
                  <w:vAlign w:val="center"/>
                </w:tcPr>
                <w:p w14:paraId="7E4E56E3">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2.80×10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335" w:type="pct"/>
                  <w:tcBorders>
                    <w:tl2br w:val="nil"/>
                    <w:tr2bl w:val="nil"/>
                  </w:tcBorders>
                  <w:vAlign w:val="center"/>
                </w:tcPr>
                <w:p w14:paraId="1E684E22">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63" w:type="pct"/>
                  <w:tcBorders>
                    <w:tl2br w:val="nil"/>
                    <w:tr2bl w:val="nil"/>
                  </w:tcBorders>
                  <w:vAlign w:val="center"/>
                </w:tcPr>
                <w:p w14:paraId="228A3802">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58" w:type="pct"/>
                  <w:tcBorders>
                    <w:tl2br w:val="nil"/>
                    <w:tr2bl w:val="nil"/>
                  </w:tcBorders>
                  <w:vAlign w:val="center"/>
                </w:tcPr>
                <w:p w14:paraId="2B936D6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r>
            <w:tr w14:paraId="4A79E5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continue"/>
                  <w:tcBorders>
                    <w:tl2br w:val="nil"/>
                    <w:tr2bl w:val="nil"/>
                  </w:tcBorders>
                  <w:vAlign w:val="center"/>
                </w:tcPr>
                <w:p w14:paraId="0F4640C3">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256" w:type="pct"/>
                  <w:vMerge w:val="restart"/>
                  <w:tcBorders>
                    <w:tl2br w:val="nil"/>
                    <w:tr2bl w:val="nil"/>
                  </w:tcBorders>
                  <w:vAlign w:val="center"/>
                </w:tcPr>
                <w:p w14:paraId="152F3E00">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硫酸雾</w:t>
                  </w:r>
                </w:p>
              </w:tc>
              <w:tc>
                <w:tcPr>
                  <w:tcW w:w="564" w:type="pct"/>
                  <w:tcBorders>
                    <w:tl2br w:val="nil"/>
                    <w:tr2bl w:val="nil"/>
                  </w:tcBorders>
                  <w:vAlign w:val="center"/>
                </w:tcPr>
                <w:p w14:paraId="506A5293">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产生浓度</w:t>
                  </w:r>
                </w:p>
              </w:tc>
              <w:tc>
                <w:tcPr>
                  <w:tcW w:w="367" w:type="pct"/>
                  <w:tcBorders>
                    <w:tl2br w:val="nil"/>
                    <w:tr2bl w:val="nil"/>
                  </w:tcBorders>
                  <w:vAlign w:val="center"/>
                </w:tcPr>
                <w:p w14:paraId="19EEC3AC">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zh-CN"/>
                      <w14:textFill>
                        <w14:solidFill>
                          <w14:schemeClr w14:val="tx1"/>
                        </w14:solidFill>
                      </w14:textFill>
                    </w:rPr>
                    <w:t>3</w:t>
                  </w:r>
                </w:p>
              </w:tc>
              <w:tc>
                <w:tcPr>
                  <w:tcW w:w="492" w:type="pct"/>
                  <w:tcBorders>
                    <w:tl2br w:val="nil"/>
                    <w:tr2bl w:val="nil"/>
                  </w:tcBorders>
                  <w:vAlign w:val="center"/>
                </w:tcPr>
                <w:p w14:paraId="77D55108">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29.2</w:t>
                  </w:r>
                </w:p>
              </w:tc>
              <w:tc>
                <w:tcPr>
                  <w:tcW w:w="492" w:type="pct"/>
                  <w:tcBorders>
                    <w:tl2br w:val="nil"/>
                    <w:tr2bl w:val="nil"/>
                  </w:tcBorders>
                  <w:vAlign w:val="center"/>
                </w:tcPr>
                <w:p w14:paraId="4D929EE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30.8</w:t>
                  </w:r>
                </w:p>
              </w:tc>
              <w:tc>
                <w:tcPr>
                  <w:tcW w:w="492" w:type="pct"/>
                  <w:tcBorders>
                    <w:tl2br w:val="nil"/>
                    <w:tr2bl w:val="nil"/>
                  </w:tcBorders>
                  <w:vAlign w:val="center"/>
                </w:tcPr>
                <w:p w14:paraId="0CE725FE">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31.6</w:t>
                  </w:r>
                </w:p>
              </w:tc>
              <w:tc>
                <w:tcPr>
                  <w:tcW w:w="492" w:type="pct"/>
                  <w:tcBorders>
                    <w:tl2br w:val="nil"/>
                    <w:tr2bl w:val="nil"/>
                  </w:tcBorders>
                  <w:vAlign w:val="center"/>
                </w:tcPr>
                <w:p w14:paraId="1AA9307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31.3</w:t>
                  </w:r>
                </w:p>
              </w:tc>
              <w:tc>
                <w:tcPr>
                  <w:tcW w:w="495" w:type="pct"/>
                  <w:tcBorders>
                    <w:tl2br w:val="nil"/>
                    <w:tr2bl w:val="nil"/>
                  </w:tcBorders>
                  <w:vAlign w:val="center"/>
                </w:tcPr>
                <w:p w14:paraId="67B5A2C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30.7</w:t>
                  </w:r>
                </w:p>
              </w:tc>
              <w:tc>
                <w:tcPr>
                  <w:tcW w:w="335" w:type="pct"/>
                  <w:tcBorders>
                    <w:tl2br w:val="nil"/>
                    <w:tr2bl w:val="nil"/>
                  </w:tcBorders>
                  <w:vAlign w:val="center"/>
                </w:tcPr>
                <w:p w14:paraId="3E3323D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63" w:type="pct"/>
                  <w:tcBorders>
                    <w:tl2br w:val="nil"/>
                    <w:tr2bl w:val="nil"/>
                  </w:tcBorders>
                  <w:vAlign w:val="center"/>
                </w:tcPr>
                <w:p w14:paraId="4AF367C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58" w:type="pct"/>
                  <w:tcBorders>
                    <w:tl2br w:val="nil"/>
                    <w:tr2bl w:val="nil"/>
                  </w:tcBorders>
                  <w:vAlign w:val="center"/>
                </w:tcPr>
                <w:p w14:paraId="76E1AB6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r>
            <w:tr w14:paraId="0C277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continue"/>
                  <w:tcBorders>
                    <w:tl2br w:val="nil"/>
                    <w:tr2bl w:val="nil"/>
                  </w:tcBorders>
                  <w:vAlign w:val="center"/>
                </w:tcPr>
                <w:p w14:paraId="41566644">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256" w:type="pct"/>
                  <w:vMerge w:val="continue"/>
                  <w:tcBorders>
                    <w:tl2br w:val="nil"/>
                    <w:tr2bl w:val="nil"/>
                  </w:tcBorders>
                  <w:vAlign w:val="center"/>
                </w:tcPr>
                <w:p w14:paraId="2A9E2069">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564" w:type="pct"/>
                  <w:tcBorders>
                    <w:tl2br w:val="nil"/>
                    <w:tr2bl w:val="nil"/>
                  </w:tcBorders>
                  <w:vAlign w:val="center"/>
                </w:tcPr>
                <w:p w14:paraId="0F4E3098">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产生速率</w:t>
                  </w:r>
                </w:p>
              </w:tc>
              <w:tc>
                <w:tcPr>
                  <w:tcW w:w="367" w:type="pct"/>
                  <w:tcBorders>
                    <w:tl2br w:val="nil"/>
                    <w:tr2bl w:val="nil"/>
                  </w:tcBorders>
                  <w:vAlign w:val="center"/>
                </w:tcPr>
                <w:p w14:paraId="45AADF88">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kg/h</w:t>
                  </w:r>
                </w:p>
              </w:tc>
              <w:tc>
                <w:tcPr>
                  <w:tcW w:w="492" w:type="pct"/>
                  <w:tcBorders>
                    <w:tl2br w:val="nil"/>
                    <w:tr2bl w:val="nil"/>
                  </w:tcBorders>
                  <w:vAlign w:val="center"/>
                </w:tcPr>
                <w:p w14:paraId="474E339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0.82</w:t>
                  </w:r>
                </w:p>
              </w:tc>
              <w:tc>
                <w:tcPr>
                  <w:tcW w:w="492" w:type="pct"/>
                  <w:tcBorders>
                    <w:tl2br w:val="nil"/>
                    <w:tr2bl w:val="nil"/>
                  </w:tcBorders>
                  <w:vAlign w:val="center"/>
                </w:tcPr>
                <w:p w14:paraId="1E1E9AED">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0.86</w:t>
                  </w:r>
                </w:p>
              </w:tc>
              <w:tc>
                <w:tcPr>
                  <w:tcW w:w="492" w:type="pct"/>
                  <w:tcBorders>
                    <w:tl2br w:val="nil"/>
                    <w:tr2bl w:val="nil"/>
                  </w:tcBorders>
                  <w:vAlign w:val="center"/>
                </w:tcPr>
                <w:p w14:paraId="172A32DE">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0.89</w:t>
                  </w:r>
                </w:p>
              </w:tc>
              <w:tc>
                <w:tcPr>
                  <w:tcW w:w="492" w:type="pct"/>
                  <w:tcBorders>
                    <w:tl2br w:val="nil"/>
                    <w:tr2bl w:val="nil"/>
                  </w:tcBorders>
                  <w:vAlign w:val="center"/>
                </w:tcPr>
                <w:p w14:paraId="48EE2E0A">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0.88</w:t>
                  </w:r>
                </w:p>
              </w:tc>
              <w:tc>
                <w:tcPr>
                  <w:tcW w:w="495" w:type="pct"/>
                  <w:tcBorders>
                    <w:tl2br w:val="nil"/>
                    <w:tr2bl w:val="nil"/>
                  </w:tcBorders>
                  <w:vAlign w:val="center"/>
                </w:tcPr>
                <w:p w14:paraId="746902B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0.86</w:t>
                  </w:r>
                </w:p>
              </w:tc>
              <w:tc>
                <w:tcPr>
                  <w:tcW w:w="335" w:type="pct"/>
                  <w:tcBorders>
                    <w:tl2br w:val="nil"/>
                    <w:tr2bl w:val="nil"/>
                  </w:tcBorders>
                  <w:vAlign w:val="center"/>
                </w:tcPr>
                <w:p w14:paraId="7B9ABC9C">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63" w:type="pct"/>
                  <w:tcBorders>
                    <w:tl2br w:val="nil"/>
                    <w:tr2bl w:val="nil"/>
                  </w:tcBorders>
                  <w:vAlign w:val="center"/>
                </w:tcPr>
                <w:p w14:paraId="7A42B67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58" w:type="pct"/>
                  <w:tcBorders>
                    <w:tl2br w:val="nil"/>
                    <w:tr2bl w:val="nil"/>
                  </w:tcBorders>
                  <w:vAlign w:val="center"/>
                </w:tcPr>
                <w:p w14:paraId="6C5ECE91">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r>
            <w:tr w14:paraId="6BB1D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restart"/>
                  <w:tcBorders>
                    <w:tl2br w:val="nil"/>
                    <w:tr2bl w:val="nil"/>
                  </w:tcBorders>
                  <w:vAlign w:val="center"/>
                </w:tcPr>
                <w:p w14:paraId="619AFFC4">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A03厂房酸雾废气处理设施出口</w:t>
                  </w:r>
                </w:p>
              </w:tc>
              <w:tc>
                <w:tcPr>
                  <w:tcW w:w="820" w:type="pct"/>
                  <w:gridSpan w:val="2"/>
                  <w:tcBorders>
                    <w:tl2br w:val="nil"/>
                    <w:tr2bl w:val="nil"/>
                  </w:tcBorders>
                  <w:vAlign w:val="center"/>
                </w:tcPr>
                <w:p w14:paraId="1252DAC5">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标态干废气流量</w:t>
                  </w:r>
                </w:p>
              </w:tc>
              <w:tc>
                <w:tcPr>
                  <w:tcW w:w="367" w:type="pct"/>
                  <w:tcBorders>
                    <w:tl2br w:val="nil"/>
                    <w:tr2bl w:val="nil"/>
                  </w:tcBorders>
                  <w:vAlign w:val="center"/>
                </w:tcPr>
                <w:p w14:paraId="0F9F85D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zh-CN"/>
                      <w14:textFill>
                        <w14:solidFill>
                          <w14:schemeClr w14:val="tx1"/>
                        </w14:solidFill>
                      </w14:textFill>
                    </w:rPr>
                    <w:t>3</w:t>
                  </w:r>
                  <w:r>
                    <w:rPr>
                      <w:rFonts w:hint="default" w:ascii="Times New Roman" w:hAnsi="Times New Roman" w:cs="Times New Roman"/>
                      <w:color w:val="000000" w:themeColor="text1"/>
                      <w:sz w:val="21"/>
                      <w:szCs w:val="21"/>
                      <w:lang w:val="zh-CN"/>
                      <w14:textFill>
                        <w14:solidFill>
                          <w14:schemeClr w14:val="tx1"/>
                        </w14:solidFill>
                      </w14:textFill>
                    </w:rPr>
                    <w:t>/h</w:t>
                  </w:r>
                </w:p>
              </w:tc>
              <w:tc>
                <w:tcPr>
                  <w:tcW w:w="492" w:type="pct"/>
                  <w:tcBorders>
                    <w:tl2br w:val="nil"/>
                    <w:tr2bl w:val="nil"/>
                  </w:tcBorders>
                  <w:vAlign w:val="center"/>
                </w:tcPr>
                <w:p w14:paraId="75DF685E">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1.72×10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2" w:type="pct"/>
                  <w:tcBorders>
                    <w:tl2br w:val="nil"/>
                    <w:tr2bl w:val="nil"/>
                  </w:tcBorders>
                  <w:vAlign w:val="center"/>
                </w:tcPr>
                <w:p w14:paraId="16B3CC5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1.74×10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2" w:type="pct"/>
                  <w:tcBorders>
                    <w:tl2br w:val="nil"/>
                    <w:tr2bl w:val="nil"/>
                  </w:tcBorders>
                  <w:vAlign w:val="center"/>
                </w:tcPr>
                <w:p w14:paraId="0AB4137C">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1.75×10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2" w:type="pct"/>
                  <w:tcBorders>
                    <w:tl2br w:val="nil"/>
                    <w:tr2bl w:val="nil"/>
                  </w:tcBorders>
                  <w:vAlign w:val="center"/>
                </w:tcPr>
                <w:p w14:paraId="395C2DA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1.74×10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495" w:type="pct"/>
                  <w:tcBorders>
                    <w:tl2br w:val="nil"/>
                    <w:tr2bl w:val="nil"/>
                  </w:tcBorders>
                  <w:vAlign w:val="center"/>
                </w:tcPr>
                <w:p w14:paraId="20501C9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1.74×10</w:t>
                  </w:r>
                  <w:r>
                    <w:rPr>
                      <w:rFonts w:hint="default" w:ascii="Times New Roman" w:hAnsi="Times New Roman" w:cs="Times New Roman"/>
                      <w:color w:val="000000" w:themeColor="text1"/>
                      <w:sz w:val="21"/>
                      <w:szCs w:val="21"/>
                      <w:vertAlign w:val="superscript"/>
                      <w:lang w:val="zh-CN"/>
                      <w14:textFill>
                        <w14:solidFill>
                          <w14:schemeClr w14:val="tx1"/>
                        </w14:solidFill>
                      </w14:textFill>
                    </w:rPr>
                    <w:t>4</w:t>
                  </w:r>
                </w:p>
              </w:tc>
              <w:tc>
                <w:tcPr>
                  <w:tcW w:w="335" w:type="pct"/>
                  <w:tcBorders>
                    <w:tl2br w:val="nil"/>
                    <w:tr2bl w:val="nil"/>
                  </w:tcBorders>
                  <w:vAlign w:val="center"/>
                </w:tcPr>
                <w:p w14:paraId="3C6573D2">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63" w:type="pct"/>
                  <w:tcBorders>
                    <w:tl2br w:val="nil"/>
                    <w:tr2bl w:val="nil"/>
                  </w:tcBorders>
                  <w:vAlign w:val="center"/>
                </w:tcPr>
                <w:p w14:paraId="1B190427">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58" w:type="pct"/>
                  <w:tcBorders>
                    <w:tl2br w:val="nil"/>
                    <w:tr2bl w:val="nil"/>
                  </w:tcBorders>
                  <w:vAlign w:val="center"/>
                </w:tcPr>
                <w:p w14:paraId="29C0FCD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r>
            <w:tr w14:paraId="6D7AE3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continue"/>
                  <w:tcBorders>
                    <w:tl2br w:val="nil"/>
                    <w:tr2bl w:val="nil"/>
                  </w:tcBorders>
                  <w:vAlign w:val="center"/>
                </w:tcPr>
                <w:p w14:paraId="2007C879">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256" w:type="pct"/>
                  <w:vMerge w:val="restart"/>
                  <w:tcBorders>
                    <w:tl2br w:val="nil"/>
                    <w:tr2bl w:val="nil"/>
                  </w:tcBorders>
                  <w:vAlign w:val="center"/>
                </w:tcPr>
                <w:p w14:paraId="65A28A52">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硫酸雾</w:t>
                  </w:r>
                </w:p>
              </w:tc>
              <w:tc>
                <w:tcPr>
                  <w:tcW w:w="564" w:type="pct"/>
                  <w:tcBorders>
                    <w:tl2br w:val="nil"/>
                    <w:tr2bl w:val="nil"/>
                  </w:tcBorders>
                  <w:vAlign w:val="center"/>
                </w:tcPr>
                <w:p w14:paraId="27A146C1">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排放浓度</w:t>
                  </w:r>
                </w:p>
              </w:tc>
              <w:tc>
                <w:tcPr>
                  <w:tcW w:w="367" w:type="pct"/>
                  <w:tcBorders>
                    <w:tl2br w:val="nil"/>
                    <w:tr2bl w:val="nil"/>
                  </w:tcBorders>
                  <w:vAlign w:val="center"/>
                </w:tcPr>
                <w:p w14:paraId="71242138">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zh-CN"/>
                      <w14:textFill>
                        <w14:solidFill>
                          <w14:schemeClr w14:val="tx1"/>
                        </w14:solidFill>
                      </w14:textFill>
                    </w:rPr>
                    <w:t>3</w:t>
                  </w:r>
                </w:p>
              </w:tc>
              <w:tc>
                <w:tcPr>
                  <w:tcW w:w="492" w:type="pct"/>
                  <w:tcBorders>
                    <w:tl2br w:val="nil"/>
                    <w:tr2bl w:val="nil"/>
                  </w:tcBorders>
                  <w:vAlign w:val="center"/>
                </w:tcPr>
                <w:p w14:paraId="121B49A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2.1</w:t>
                  </w:r>
                </w:p>
              </w:tc>
              <w:tc>
                <w:tcPr>
                  <w:tcW w:w="492" w:type="pct"/>
                  <w:tcBorders>
                    <w:tl2br w:val="nil"/>
                    <w:tr2bl w:val="nil"/>
                  </w:tcBorders>
                  <w:vAlign w:val="center"/>
                </w:tcPr>
                <w:p w14:paraId="3BE512C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1.9</w:t>
                  </w:r>
                </w:p>
              </w:tc>
              <w:tc>
                <w:tcPr>
                  <w:tcW w:w="492" w:type="pct"/>
                  <w:tcBorders>
                    <w:tl2br w:val="nil"/>
                    <w:tr2bl w:val="nil"/>
                  </w:tcBorders>
                  <w:vAlign w:val="center"/>
                </w:tcPr>
                <w:p w14:paraId="5E0E8CAC">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2.3</w:t>
                  </w:r>
                </w:p>
              </w:tc>
              <w:tc>
                <w:tcPr>
                  <w:tcW w:w="492" w:type="pct"/>
                  <w:tcBorders>
                    <w:tl2br w:val="nil"/>
                    <w:tr2bl w:val="nil"/>
                  </w:tcBorders>
                  <w:vAlign w:val="center"/>
                </w:tcPr>
                <w:p w14:paraId="6F3792A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2.1</w:t>
                  </w:r>
                </w:p>
              </w:tc>
              <w:tc>
                <w:tcPr>
                  <w:tcW w:w="495" w:type="pct"/>
                  <w:tcBorders>
                    <w:tl2br w:val="nil"/>
                    <w:tr2bl w:val="nil"/>
                  </w:tcBorders>
                  <w:vAlign w:val="center"/>
                </w:tcPr>
                <w:p w14:paraId="4201E749">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2.1</w:t>
                  </w:r>
                </w:p>
              </w:tc>
              <w:tc>
                <w:tcPr>
                  <w:tcW w:w="335" w:type="pct"/>
                  <w:tcBorders>
                    <w:tl2br w:val="nil"/>
                    <w:tr2bl w:val="nil"/>
                  </w:tcBorders>
                  <w:vAlign w:val="center"/>
                </w:tcPr>
                <w:p w14:paraId="5E12B475">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63" w:type="pct"/>
                  <w:tcBorders>
                    <w:tl2br w:val="nil"/>
                    <w:tr2bl w:val="nil"/>
                  </w:tcBorders>
                  <w:vAlign w:val="center"/>
                </w:tcPr>
                <w:p w14:paraId="0EA1DDA6">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30</w:t>
                  </w:r>
                </w:p>
              </w:tc>
              <w:tc>
                <w:tcPr>
                  <w:tcW w:w="258" w:type="pct"/>
                  <w:tcBorders>
                    <w:tl2br w:val="nil"/>
                    <w:tr2bl w:val="nil"/>
                  </w:tcBorders>
                  <w:vAlign w:val="center"/>
                </w:tcPr>
                <w:p w14:paraId="72C0E76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达标</w:t>
                  </w:r>
                </w:p>
              </w:tc>
            </w:tr>
            <w:tr w14:paraId="5E5F5E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90" w:type="pct"/>
                  <w:vMerge w:val="continue"/>
                  <w:tcBorders>
                    <w:tl2br w:val="nil"/>
                    <w:tr2bl w:val="nil"/>
                  </w:tcBorders>
                  <w:vAlign w:val="center"/>
                </w:tcPr>
                <w:p w14:paraId="1E884A62">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256" w:type="pct"/>
                  <w:vMerge w:val="continue"/>
                  <w:tcBorders>
                    <w:tl2br w:val="nil"/>
                    <w:tr2bl w:val="nil"/>
                  </w:tcBorders>
                  <w:vAlign w:val="center"/>
                </w:tcPr>
                <w:p w14:paraId="6D9A485F">
                  <w:pPr>
                    <w:pStyle w:val="79"/>
                    <w:rPr>
                      <w:rFonts w:hint="default" w:ascii="Times New Roman" w:hAnsi="Times New Roman" w:cs="Times New Roman"/>
                      <w:color w:val="000000" w:themeColor="text1"/>
                      <w:sz w:val="21"/>
                      <w:szCs w:val="21"/>
                      <w:lang w:val="zh-CN"/>
                      <w14:textFill>
                        <w14:solidFill>
                          <w14:schemeClr w14:val="tx1"/>
                        </w14:solidFill>
                      </w14:textFill>
                    </w:rPr>
                  </w:pPr>
                </w:p>
              </w:tc>
              <w:tc>
                <w:tcPr>
                  <w:tcW w:w="564" w:type="pct"/>
                  <w:tcBorders>
                    <w:tl2br w:val="nil"/>
                    <w:tr2bl w:val="nil"/>
                  </w:tcBorders>
                  <w:vAlign w:val="center"/>
                </w:tcPr>
                <w:p w14:paraId="52D75C3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排放速率</w:t>
                  </w:r>
                </w:p>
              </w:tc>
              <w:tc>
                <w:tcPr>
                  <w:tcW w:w="367" w:type="pct"/>
                  <w:tcBorders>
                    <w:tl2br w:val="nil"/>
                    <w:tr2bl w:val="nil"/>
                  </w:tcBorders>
                  <w:vAlign w:val="center"/>
                </w:tcPr>
                <w:p w14:paraId="2AFAC0E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kg/h</w:t>
                  </w:r>
                </w:p>
              </w:tc>
              <w:tc>
                <w:tcPr>
                  <w:tcW w:w="492" w:type="pct"/>
                  <w:tcBorders>
                    <w:tl2br w:val="nil"/>
                    <w:tr2bl w:val="nil"/>
                  </w:tcBorders>
                  <w:vAlign w:val="center"/>
                </w:tcPr>
                <w:p w14:paraId="70C7BDA7">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0.036</w:t>
                  </w:r>
                </w:p>
              </w:tc>
              <w:tc>
                <w:tcPr>
                  <w:tcW w:w="492" w:type="pct"/>
                  <w:tcBorders>
                    <w:tl2br w:val="nil"/>
                    <w:tr2bl w:val="nil"/>
                  </w:tcBorders>
                  <w:vAlign w:val="center"/>
                </w:tcPr>
                <w:p w14:paraId="39C3980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0.033</w:t>
                  </w:r>
                </w:p>
              </w:tc>
              <w:tc>
                <w:tcPr>
                  <w:tcW w:w="492" w:type="pct"/>
                  <w:tcBorders>
                    <w:tl2br w:val="nil"/>
                    <w:tr2bl w:val="nil"/>
                  </w:tcBorders>
                  <w:vAlign w:val="center"/>
                </w:tcPr>
                <w:p w14:paraId="1FACB8E3">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0.040</w:t>
                  </w:r>
                </w:p>
              </w:tc>
              <w:tc>
                <w:tcPr>
                  <w:tcW w:w="492" w:type="pct"/>
                  <w:tcBorders>
                    <w:tl2br w:val="nil"/>
                    <w:tr2bl w:val="nil"/>
                  </w:tcBorders>
                  <w:vAlign w:val="center"/>
                </w:tcPr>
                <w:p w14:paraId="403D9C9B">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0.037</w:t>
                  </w:r>
                </w:p>
              </w:tc>
              <w:tc>
                <w:tcPr>
                  <w:tcW w:w="495" w:type="pct"/>
                  <w:tcBorders>
                    <w:tl2br w:val="nil"/>
                    <w:tr2bl w:val="nil"/>
                  </w:tcBorders>
                  <w:vAlign w:val="center"/>
                </w:tcPr>
                <w:p w14:paraId="16ADAC5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0.036</w:t>
                  </w:r>
                </w:p>
              </w:tc>
              <w:tc>
                <w:tcPr>
                  <w:tcW w:w="335" w:type="pct"/>
                  <w:tcBorders>
                    <w:tl2br w:val="nil"/>
                    <w:tr2bl w:val="nil"/>
                  </w:tcBorders>
                  <w:vAlign w:val="center"/>
                </w:tcPr>
                <w:p w14:paraId="1FBA659F">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95.8%</w:t>
                  </w:r>
                </w:p>
              </w:tc>
              <w:tc>
                <w:tcPr>
                  <w:tcW w:w="263" w:type="pct"/>
                  <w:tcBorders>
                    <w:tl2br w:val="nil"/>
                    <w:tr2bl w:val="nil"/>
                  </w:tcBorders>
                  <w:vAlign w:val="center"/>
                </w:tcPr>
                <w:p w14:paraId="4CD94593">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c>
                <w:tcPr>
                  <w:tcW w:w="258" w:type="pct"/>
                  <w:tcBorders>
                    <w:tl2br w:val="nil"/>
                    <w:tr2bl w:val="nil"/>
                  </w:tcBorders>
                  <w:vAlign w:val="center"/>
                </w:tcPr>
                <w:p w14:paraId="464EF6D0">
                  <w:pPr>
                    <w:pStyle w:val="79"/>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p>
              </w:tc>
            </w:tr>
          </w:tbl>
          <w:p w14:paraId="0243E994">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default" w:ascii="Times New Roman" w:hAnsi="Times New Roman" w:eastAsia="宋体" w:cs="Times New Roman"/>
                <w:b/>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B.</w:t>
            </w:r>
            <w:r>
              <w:rPr>
                <w:rFonts w:hint="default" w:ascii="Times New Roman" w:hAnsi="Times New Roman" w:eastAsia="宋体" w:cs="Times New Roman"/>
                <w:b/>
                <w:bCs/>
                <w:color w:val="000000" w:themeColor="text1"/>
                <w:sz w:val="24"/>
                <w:lang w:val="en-US" w:eastAsia="zh-CN"/>
                <w14:textFill>
                  <w14:solidFill>
                    <w14:schemeClr w14:val="tx1"/>
                  </w14:solidFill>
                </w14:textFill>
              </w:rPr>
              <w:t>二级活性炭装置</w:t>
            </w:r>
          </w:p>
          <w:p w14:paraId="1293C2FC">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活性炭是一种多孔性的含炭物质，它具有高度发达的孔隙构造，</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instrText xml:space="preserve"> HYPERLINK "http://zhidao.baidu.com/search?word=活性炭&amp;fr=qb_search_exp&amp;ie=utf8" </w:instrTex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活性炭</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的多孔结构为其提供了大量的表面积，能与气体（杂质）充分接触，从而赋予了</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instrText xml:space="preserve"> HYPERLINK "http://zhidao.baidu.com/search?word=活性炭&amp;fr=qb_search_exp&amp;ie=utf8" </w:instrTex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活性炭</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所特有的吸附性能，使其非常容易达到吸收收集杂质的目的。就像</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instrText xml:space="preserve"> HYPERLINK "http://zhidao.baidu.com/search?word=磁力&amp;fr=qb_search_exp&amp;ie=utf8" </w:instrTex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磁力</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一样，所有的分子之间都具有相互引力。正因为如此，活性炭孔壁上的大量的分子可以产生强大的引力，从而达到将有害的杂质吸引到孔径中的目的。</w:t>
            </w:r>
          </w:p>
          <w:p w14:paraId="37801425">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2" w:firstLineChars="200"/>
              <w:textAlignment w:val="auto"/>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lang w:val="en-US" w:eastAsia="zh-CN"/>
                <w14:textFill>
                  <w14:solidFill>
                    <w14:schemeClr w14:val="tx1"/>
                  </w14:solidFill>
                </w14:textFill>
              </w:rPr>
              <w:t>处理可行性及达标分析：</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6635057D">
            <w:pPr>
              <w:keepNext w:val="0"/>
              <w:keepLines w:val="0"/>
              <w:pageBreakBefore w:val="0"/>
              <w:kinsoku/>
              <w:wordWrap/>
              <w:overflowPunct/>
              <w:topLinePunct w:val="0"/>
              <w:autoSpaceDE/>
              <w:autoSpaceDN/>
              <w:bidi w:val="0"/>
              <w:adjustRightInd w:val="0"/>
              <w:snapToGrid w:val="0"/>
              <w:spacing w:before="72" w:beforeLines="30"/>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表</w:t>
            </w: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lang w:eastAsia="zh-CN"/>
                <w14:textFill>
                  <w14:solidFill>
                    <w14:schemeClr w14:val="tx1"/>
                  </w14:solidFill>
                </w14:textFill>
              </w:rPr>
              <w:t xml:space="preserve"> 活性炭装置技术参数</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33"/>
              <w:gridCol w:w="1116"/>
              <w:gridCol w:w="1123"/>
              <w:gridCol w:w="1041"/>
              <w:gridCol w:w="2245"/>
              <w:gridCol w:w="2245"/>
            </w:tblGrid>
            <w:tr w14:paraId="46AD7E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noWrap w:val="0"/>
                  <w:tcMar>
                    <w:top w:w="0" w:type="dxa"/>
                    <w:left w:w="0" w:type="dxa"/>
                    <w:bottom w:w="0" w:type="dxa"/>
                    <w:right w:w="0" w:type="dxa"/>
                  </w:tcMar>
                  <w:vAlign w:val="center"/>
                </w:tcPr>
                <w:p w14:paraId="0A79EA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序号</w:t>
                  </w:r>
                </w:p>
              </w:tc>
              <w:tc>
                <w:tcPr>
                  <w:tcW w:w="1316" w:type="pct"/>
                  <w:gridSpan w:val="2"/>
                  <w:tcBorders>
                    <w:tl2br w:val="nil"/>
                    <w:tr2bl w:val="nil"/>
                  </w:tcBorders>
                  <w:noWrap w:val="0"/>
                  <w:tcMar>
                    <w:top w:w="0" w:type="dxa"/>
                    <w:left w:w="0" w:type="dxa"/>
                    <w:bottom w:w="0" w:type="dxa"/>
                    <w:right w:w="0" w:type="dxa"/>
                  </w:tcMar>
                  <w:vAlign w:val="center"/>
                </w:tcPr>
                <w:p w14:paraId="79CE76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项目</w:t>
                  </w:r>
                </w:p>
              </w:tc>
              <w:tc>
                <w:tcPr>
                  <w:tcW w:w="612" w:type="pct"/>
                  <w:tcBorders>
                    <w:tl2br w:val="nil"/>
                    <w:tr2bl w:val="nil"/>
                  </w:tcBorders>
                  <w:noWrap w:val="0"/>
                  <w:tcMar>
                    <w:top w:w="0" w:type="dxa"/>
                    <w:left w:w="0" w:type="dxa"/>
                    <w:bottom w:w="0" w:type="dxa"/>
                    <w:right w:w="0" w:type="dxa"/>
                  </w:tcMar>
                  <w:vAlign w:val="center"/>
                </w:tcPr>
                <w:p w14:paraId="24EE97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单位</w:t>
                  </w:r>
                </w:p>
              </w:tc>
              <w:tc>
                <w:tcPr>
                  <w:tcW w:w="1319" w:type="pct"/>
                  <w:tcBorders>
                    <w:tl2br w:val="nil"/>
                    <w:tr2bl w:val="nil"/>
                  </w:tcBorders>
                  <w:noWrap w:val="0"/>
                  <w:tcMar>
                    <w:top w:w="0" w:type="dxa"/>
                    <w:left w:w="0" w:type="dxa"/>
                    <w:bottom w:w="0" w:type="dxa"/>
                    <w:right w:w="0" w:type="dxa"/>
                  </w:tcMar>
                  <w:vAlign w:val="center"/>
                </w:tcPr>
                <w:p w14:paraId="1722F3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技术指标</w:t>
                  </w:r>
                </w:p>
              </w:tc>
              <w:tc>
                <w:tcPr>
                  <w:tcW w:w="1319" w:type="pct"/>
                  <w:tcBorders>
                    <w:tl2br w:val="nil"/>
                    <w:tr2bl w:val="nil"/>
                  </w:tcBorders>
                  <w:noWrap w:val="0"/>
                  <w:tcMar>
                    <w:top w:w="0" w:type="dxa"/>
                    <w:left w:w="0" w:type="dxa"/>
                    <w:bottom w:w="0" w:type="dxa"/>
                    <w:right w:w="0" w:type="dxa"/>
                  </w:tcMar>
                  <w:vAlign w:val="center"/>
                </w:tcPr>
                <w:p w14:paraId="3670E2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Cs w:val="21"/>
                      <w:highlight w:val="none"/>
                      <w:lang w:val="en-US" w:eastAsia="zh-CN"/>
                      <w14:textFill>
                        <w14:solidFill>
                          <w14:schemeClr w14:val="tx1"/>
                        </w14:solidFill>
                      </w14:textFill>
                    </w:rPr>
                    <w:t>DB32T/5030-2025</w:t>
                  </w:r>
                </w:p>
              </w:tc>
            </w:tr>
            <w:tr w14:paraId="3D8B74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noWrap w:val="0"/>
                  <w:tcMar>
                    <w:top w:w="0" w:type="dxa"/>
                    <w:left w:w="0" w:type="dxa"/>
                    <w:bottom w:w="0" w:type="dxa"/>
                    <w:right w:w="0" w:type="dxa"/>
                  </w:tcMar>
                  <w:vAlign w:val="center"/>
                </w:tcPr>
                <w:p w14:paraId="47FD0F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1316" w:type="pct"/>
                  <w:gridSpan w:val="2"/>
                  <w:tcBorders>
                    <w:tl2br w:val="nil"/>
                    <w:tr2bl w:val="nil"/>
                  </w:tcBorders>
                  <w:noWrap w:val="0"/>
                  <w:tcMar>
                    <w:top w:w="0" w:type="dxa"/>
                    <w:left w:w="0" w:type="dxa"/>
                    <w:bottom w:w="0" w:type="dxa"/>
                    <w:right w:w="0" w:type="dxa"/>
                  </w:tcMar>
                  <w:vAlign w:val="center"/>
                </w:tcPr>
                <w:p w14:paraId="652745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单级活性炭吸附箱尺寸</w:t>
                  </w:r>
                </w:p>
              </w:tc>
              <w:tc>
                <w:tcPr>
                  <w:tcW w:w="612" w:type="pct"/>
                  <w:tcBorders>
                    <w:tl2br w:val="nil"/>
                    <w:tr2bl w:val="nil"/>
                  </w:tcBorders>
                  <w:noWrap w:val="0"/>
                  <w:tcMar>
                    <w:top w:w="0" w:type="dxa"/>
                    <w:left w:w="0" w:type="dxa"/>
                    <w:bottom w:w="0" w:type="dxa"/>
                    <w:right w:w="0" w:type="dxa"/>
                  </w:tcMar>
                  <w:vAlign w:val="center"/>
                </w:tcPr>
                <w:p w14:paraId="1CD1EA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w:t>
                  </w:r>
                </w:p>
              </w:tc>
              <w:tc>
                <w:tcPr>
                  <w:tcW w:w="1319" w:type="pct"/>
                  <w:tcBorders>
                    <w:tl2br w:val="nil"/>
                    <w:tr2bl w:val="nil"/>
                  </w:tcBorders>
                  <w:noWrap w:val="0"/>
                  <w:tcMar>
                    <w:top w:w="0" w:type="dxa"/>
                    <w:left w:w="0" w:type="dxa"/>
                    <w:bottom w:w="0" w:type="dxa"/>
                    <w:right w:w="0" w:type="dxa"/>
                  </w:tcMar>
                  <w:vAlign w:val="center"/>
                </w:tcPr>
                <w:p w14:paraId="1A7B1E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1*1*0.8</w:t>
                  </w:r>
                </w:p>
              </w:tc>
              <w:tc>
                <w:tcPr>
                  <w:tcW w:w="1319" w:type="pct"/>
                  <w:tcBorders>
                    <w:tl2br w:val="nil"/>
                    <w:tr2bl w:val="nil"/>
                  </w:tcBorders>
                  <w:noWrap w:val="0"/>
                  <w:tcMar>
                    <w:top w:w="0" w:type="dxa"/>
                    <w:left w:w="0" w:type="dxa"/>
                    <w:bottom w:w="0" w:type="dxa"/>
                    <w:right w:w="0" w:type="dxa"/>
                  </w:tcMar>
                  <w:vAlign w:val="center"/>
                </w:tcPr>
                <w:p w14:paraId="21A1C7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483AF4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31" w:type="pct"/>
                  <w:tcBorders>
                    <w:tl2br w:val="nil"/>
                    <w:tr2bl w:val="nil"/>
                  </w:tcBorders>
                  <w:noWrap w:val="0"/>
                  <w:tcMar>
                    <w:top w:w="0" w:type="dxa"/>
                    <w:left w:w="0" w:type="dxa"/>
                    <w:bottom w:w="0" w:type="dxa"/>
                    <w:right w:w="0" w:type="dxa"/>
                  </w:tcMar>
                  <w:vAlign w:val="center"/>
                </w:tcPr>
                <w:p w14:paraId="3641C6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1316" w:type="pct"/>
                  <w:gridSpan w:val="2"/>
                  <w:tcBorders>
                    <w:tl2br w:val="nil"/>
                    <w:tr2bl w:val="nil"/>
                  </w:tcBorders>
                  <w:noWrap w:val="0"/>
                  <w:tcMar>
                    <w:top w:w="0" w:type="dxa"/>
                    <w:left w:w="0" w:type="dxa"/>
                    <w:bottom w:w="0" w:type="dxa"/>
                    <w:right w:w="0" w:type="dxa"/>
                  </w:tcMar>
                  <w:vAlign w:val="center"/>
                </w:tcPr>
                <w:p w14:paraId="328D57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填充物</w:t>
                  </w:r>
                </w:p>
              </w:tc>
              <w:tc>
                <w:tcPr>
                  <w:tcW w:w="612" w:type="pct"/>
                  <w:tcBorders>
                    <w:tl2br w:val="nil"/>
                    <w:tr2bl w:val="nil"/>
                  </w:tcBorders>
                  <w:noWrap w:val="0"/>
                  <w:tcMar>
                    <w:top w:w="0" w:type="dxa"/>
                    <w:left w:w="0" w:type="dxa"/>
                    <w:bottom w:w="0" w:type="dxa"/>
                    <w:right w:w="0" w:type="dxa"/>
                  </w:tcMar>
                  <w:vAlign w:val="center"/>
                </w:tcPr>
                <w:p w14:paraId="7CD3A2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1319" w:type="pct"/>
                  <w:tcBorders>
                    <w:tl2br w:val="nil"/>
                    <w:tr2bl w:val="nil"/>
                  </w:tcBorders>
                  <w:noWrap w:val="0"/>
                  <w:tcMar>
                    <w:top w:w="0" w:type="dxa"/>
                    <w:left w:w="0" w:type="dxa"/>
                    <w:bottom w:w="0" w:type="dxa"/>
                    <w:right w:w="0" w:type="dxa"/>
                  </w:tcMar>
                  <w:vAlign w:val="center"/>
                </w:tcPr>
                <w:p w14:paraId="349001C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蜂窝式活性炭</w:t>
                  </w:r>
                </w:p>
              </w:tc>
              <w:tc>
                <w:tcPr>
                  <w:tcW w:w="1319" w:type="pct"/>
                  <w:tcBorders>
                    <w:tl2br w:val="nil"/>
                    <w:tr2bl w:val="nil"/>
                  </w:tcBorders>
                  <w:noWrap w:val="0"/>
                  <w:tcMar>
                    <w:top w:w="0" w:type="dxa"/>
                    <w:left w:w="0" w:type="dxa"/>
                    <w:bottom w:w="0" w:type="dxa"/>
                    <w:right w:w="0" w:type="dxa"/>
                  </w:tcMar>
                  <w:vAlign w:val="center"/>
                </w:tcPr>
                <w:p w14:paraId="15E0C24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413A9E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noWrap w:val="0"/>
                  <w:tcMar>
                    <w:top w:w="0" w:type="dxa"/>
                    <w:left w:w="0" w:type="dxa"/>
                    <w:bottom w:w="0" w:type="dxa"/>
                    <w:right w:w="0" w:type="dxa"/>
                  </w:tcMar>
                  <w:vAlign w:val="center"/>
                </w:tcPr>
                <w:p w14:paraId="3ED277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w:t>
                  </w:r>
                </w:p>
              </w:tc>
              <w:tc>
                <w:tcPr>
                  <w:tcW w:w="1316" w:type="pct"/>
                  <w:gridSpan w:val="2"/>
                  <w:tcBorders>
                    <w:tl2br w:val="nil"/>
                    <w:tr2bl w:val="nil"/>
                  </w:tcBorders>
                  <w:noWrap w:val="0"/>
                  <w:tcMar>
                    <w:top w:w="0" w:type="dxa"/>
                    <w:left w:w="0" w:type="dxa"/>
                    <w:bottom w:w="0" w:type="dxa"/>
                    <w:right w:w="0" w:type="dxa"/>
                  </w:tcMar>
                  <w:vAlign w:val="center"/>
                </w:tcPr>
                <w:p w14:paraId="49315B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碘吸附值</w:t>
                  </w:r>
                </w:p>
              </w:tc>
              <w:tc>
                <w:tcPr>
                  <w:tcW w:w="612" w:type="pct"/>
                  <w:tcBorders>
                    <w:tl2br w:val="nil"/>
                    <w:tr2bl w:val="nil"/>
                  </w:tcBorders>
                  <w:noWrap w:val="0"/>
                  <w:tcMar>
                    <w:top w:w="0" w:type="dxa"/>
                    <w:left w:w="0" w:type="dxa"/>
                    <w:bottom w:w="0" w:type="dxa"/>
                    <w:right w:w="0" w:type="dxa"/>
                  </w:tcMar>
                  <w:vAlign w:val="center"/>
                </w:tcPr>
                <w:p w14:paraId="393596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mg/g</w:t>
                  </w:r>
                </w:p>
              </w:tc>
              <w:tc>
                <w:tcPr>
                  <w:tcW w:w="1319" w:type="pct"/>
                  <w:tcBorders>
                    <w:tl2br w:val="nil"/>
                    <w:tr2bl w:val="nil"/>
                  </w:tcBorders>
                  <w:noWrap w:val="0"/>
                  <w:tcMar>
                    <w:top w:w="0" w:type="dxa"/>
                    <w:left w:w="0" w:type="dxa"/>
                    <w:bottom w:w="0" w:type="dxa"/>
                    <w:right w:w="0" w:type="dxa"/>
                  </w:tcMar>
                  <w:vAlign w:val="center"/>
                </w:tcPr>
                <w:p w14:paraId="27054EF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650</w:t>
                  </w:r>
                </w:p>
              </w:tc>
              <w:tc>
                <w:tcPr>
                  <w:tcW w:w="1319" w:type="pct"/>
                  <w:tcBorders>
                    <w:tl2br w:val="nil"/>
                    <w:tr2bl w:val="nil"/>
                  </w:tcBorders>
                  <w:noWrap w:val="0"/>
                  <w:tcMar>
                    <w:top w:w="0" w:type="dxa"/>
                    <w:left w:w="0" w:type="dxa"/>
                    <w:bottom w:w="0" w:type="dxa"/>
                    <w:right w:w="0" w:type="dxa"/>
                  </w:tcMar>
                  <w:vAlign w:val="center"/>
                </w:tcPr>
                <w:p w14:paraId="2A04F37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≥650</w:t>
                  </w:r>
                </w:p>
              </w:tc>
            </w:tr>
            <w:tr w14:paraId="695159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17F84D2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1316" w:type="pct"/>
                  <w:gridSpan w:val="2"/>
                  <w:tcBorders>
                    <w:tl2br w:val="nil"/>
                    <w:tr2bl w:val="nil"/>
                  </w:tcBorders>
                  <w:noWrap w:val="0"/>
                  <w:tcMar>
                    <w:top w:w="0" w:type="dxa"/>
                    <w:left w:w="0" w:type="dxa"/>
                    <w:bottom w:w="0" w:type="dxa"/>
                    <w:right w:w="0" w:type="dxa"/>
                  </w:tcMar>
                  <w:vAlign w:val="center"/>
                </w:tcPr>
                <w:p w14:paraId="12132C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比表面积</w:t>
                  </w:r>
                </w:p>
              </w:tc>
              <w:tc>
                <w:tcPr>
                  <w:tcW w:w="612" w:type="pct"/>
                  <w:tcBorders>
                    <w:tl2br w:val="nil"/>
                    <w:tr2bl w:val="nil"/>
                  </w:tcBorders>
                  <w:noWrap w:val="0"/>
                  <w:tcMar>
                    <w:top w:w="0" w:type="dxa"/>
                    <w:left w:w="0" w:type="dxa"/>
                    <w:bottom w:w="0" w:type="dxa"/>
                    <w:right w:w="0" w:type="dxa"/>
                  </w:tcMar>
                  <w:vAlign w:val="center"/>
                </w:tcPr>
                <w:p w14:paraId="578205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/g</w:t>
                  </w:r>
                </w:p>
              </w:tc>
              <w:tc>
                <w:tcPr>
                  <w:tcW w:w="1319" w:type="pct"/>
                  <w:tcBorders>
                    <w:tl2br w:val="nil"/>
                    <w:tr2bl w:val="nil"/>
                  </w:tcBorders>
                  <w:noWrap w:val="0"/>
                  <w:tcMar>
                    <w:top w:w="0" w:type="dxa"/>
                    <w:left w:w="0" w:type="dxa"/>
                    <w:bottom w:w="0" w:type="dxa"/>
                    <w:right w:w="0" w:type="dxa"/>
                  </w:tcMar>
                  <w:vAlign w:val="center"/>
                </w:tcPr>
                <w:p w14:paraId="0BD118E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w:t>
                  </w:r>
                </w:p>
              </w:tc>
              <w:tc>
                <w:tcPr>
                  <w:tcW w:w="1319" w:type="pct"/>
                  <w:tcBorders>
                    <w:tl2br w:val="nil"/>
                    <w:tr2bl w:val="nil"/>
                  </w:tcBorders>
                  <w:noWrap w:val="0"/>
                  <w:tcMar>
                    <w:top w:w="0" w:type="dxa"/>
                    <w:left w:w="0" w:type="dxa"/>
                    <w:bottom w:w="0" w:type="dxa"/>
                    <w:right w:w="0" w:type="dxa"/>
                  </w:tcMar>
                  <w:vAlign w:val="center"/>
                </w:tcPr>
                <w:p w14:paraId="76CCB66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58510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4AEE92F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1316" w:type="pct"/>
                  <w:gridSpan w:val="2"/>
                  <w:tcBorders>
                    <w:tl2br w:val="nil"/>
                    <w:tr2bl w:val="nil"/>
                  </w:tcBorders>
                  <w:noWrap w:val="0"/>
                  <w:tcMar>
                    <w:top w:w="0" w:type="dxa"/>
                    <w:left w:w="0" w:type="dxa"/>
                    <w:bottom w:w="0" w:type="dxa"/>
                    <w:right w:w="0" w:type="dxa"/>
                  </w:tcMar>
                  <w:vAlign w:val="center"/>
                </w:tcPr>
                <w:p w14:paraId="6095E3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水分含量</w:t>
                  </w:r>
                </w:p>
              </w:tc>
              <w:tc>
                <w:tcPr>
                  <w:tcW w:w="612" w:type="pct"/>
                  <w:tcBorders>
                    <w:tl2br w:val="nil"/>
                    <w:tr2bl w:val="nil"/>
                  </w:tcBorders>
                  <w:noWrap w:val="0"/>
                  <w:tcMar>
                    <w:top w:w="0" w:type="dxa"/>
                    <w:left w:w="0" w:type="dxa"/>
                    <w:bottom w:w="0" w:type="dxa"/>
                    <w:right w:w="0" w:type="dxa"/>
                  </w:tcMar>
                  <w:vAlign w:val="center"/>
                </w:tcPr>
                <w:p w14:paraId="4EB19D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319" w:type="pct"/>
                  <w:tcBorders>
                    <w:tl2br w:val="nil"/>
                    <w:tr2bl w:val="nil"/>
                  </w:tcBorders>
                  <w:noWrap w:val="0"/>
                  <w:tcMar>
                    <w:top w:w="0" w:type="dxa"/>
                    <w:left w:w="0" w:type="dxa"/>
                    <w:bottom w:w="0" w:type="dxa"/>
                    <w:right w:w="0" w:type="dxa"/>
                  </w:tcMar>
                  <w:vAlign w:val="center"/>
                </w:tcPr>
                <w:p w14:paraId="4D165DA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319" w:type="pct"/>
                  <w:tcBorders>
                    <w:tl2br w:val="nil"/>
                    <w:tr2bl w:val="nil"/>
                  </w:tcBorders>
                  <w:noWrap w:val="0"/>
                  <w:tcMar>
                    <w:top w:w="0" w:type="dxa"/>
                    <w:left w:w="0" w:type="dxa"/>
                    <w:bottom w:w="0" w:type="dxa"/>
                    <w:right w:w="0" w:type="dxa"/>
                  </w:tcMar>
                  <w:vAlign w:val="center"/>
                </w:tcPr>
                <w:p w14:paraId="569C41A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14:paraId="021231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4569FD4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p>
              </w:tc>
              <w:tc>
                <w:tcPr>
                  <w:tcW w:w="1316" w:type="pct"/>
                  <w:gridSpan w:val="2"/>
                  <w:tcBorders>
                    <w:tl2br w:val="nil"/>
                    <w:tr2bl w:val="nil"/>
                  </w:tcBorders>
                  <w:noWrap w:val="0"/>
                  <w:tcMar>
                    <w:top w:w="0" w:type="dxa"/>
                    <w:left w:w="0" w:type="dxa"/>
                    <w:bottom w:w="0" w:type="dxa"/>
                    <w:right w:w="0" w:type="dxa"/>
                  </w:tcMar>
                  <w:vAlign w:val="center"/>
                </w:tcPr>
                <w:p w14:paraId="511607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着火点</w:t>
                  </w:r>
                </w:p>
              </w:tc>
              <w:tc>
                <w:tcPr>
                  <w:tcW w:w="612" w:type="pct"/>
                  <w:tcBorders>
                    <w:tl2br w:val="nil"/>
                    <w:tr2bl w:val="nil"/>
                  </w:tcBorders>
                  <w:noWrap w:val="0"/>
                  <w:tcMar>
                    <w:top w:w="0" w:type="dxa"/>
                    <w:left w:w="0" w:type="dxa"/>
                    <w:bottom w:w="0" w:type="dxa"/>
                    <w:right w:w="0" w:type="dxa"/>
                  </w:tcMar>
                  <w:vAlign w:val="center"/>
                </w:tcPr>
                <w:p w14:paraId="3FFE0F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摄氏度</w:t>
                  </w:r>
                </w:p>
              </w:tc>
              <w:tc>
                <w:tcPr>
                  <w:tcW w:w="1319" w:type="pct"/>
                  <w:tcBorders>
                    <w:tl2br w:val="nil"/>
                    <w:tr2bl w:val="nil"/>
                  </w:tcBorders>
                  <w:noWrap w:val="0"/>
                  <w:tcMar>
                    <w:top w:w="0" w:type="dxa"/>
                    <w:left w:w="0" w:type="dxa"/>
                    <w:bottom w:w="0" w:type="dxa"/>
                    <w:right w:w="0" w:type="dxa"/>
                  </w:tcMar>
                  <w:vAlign w:val="center"/>
                </w:tcPr>
                <w:p w14:paraId="11E5B0B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427</w:t>
                  </w:r>
                </w:p>
              </w:tc>
              <w:tc>
                <w:tcPr>
                  <w:tcW w:w="1319" w:type="pct"/>
                  <w:tcBorders>
                    <w:tl2br w:val="nil"/>
                    <w:tr2bl w:val="nil"/>
                  </w:tcBorders>
                  <w:noWrap w:val="0"/>
                  <w:tcMar>
                    <w:top w:w="0" w:type="dxa"/>
                    <w:left w:w="0" w:type="dxa"/>
                    <w:bottom w:w="0" w:type="dxa"/>
                    <w:right w:w="0" w:type="dxa"/>
                  </w:tcMar>
                  <w:vAlign w:val="center"/>
                </w:tcPr>
                <w:p w14:paraId="3EC75F3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≥400</w:t>
                  </w:r>
                </w:p>
              </w:tc>
            </w:tr>
            <w:tr w14:paraId="7A7115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48F32DF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w:t>
                  </w:r>
                </w:p>
              </w:tc>
              <w:tc>
                <w:tcPr>
                  <w:tcW w:w="1316" w:type="pct"/>
                  <w:gridSpan w:val="2"/>
                  <w:tcBorders>
                    <w:tl2br w:val="nil"/>
                    <w:tr2bl w:val="nil"/>
                  </w:tcBorders>
                  <w:noWrap w:val="0"/>
                  <w:tcMar>
                    <w:top w:w="0" w:type="dxa"/>
                    <w:left w:w="0" w:type="dxa"/>
                    <w:bottom w:w="0" w:type="dxa"/>
                    <w:right w:w="0" w:type="dxa"/>
                  </w:tcMar>
                  <w:vAlign w:val="center"/>
                </w:tcPr>
                <w:p w14:paraId="7EC27B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四氯化碳吸附率</w:t>
                  </w:r>
                </w:p>
              </w:tc>
              <w:tc>
                <w:tcPr>
                  <w:tcW w:w="612" w:type="pct"/>
                  <w:tcBorders>
                    <w:tl2br w:val="nil"/>
                    <w:tr2bl w:val="nil"/>
                  </w:tcBorders>
                  <w:noWrap w:val="0"/>
                  <w:tcMar>
                    <w:top w:w="0" w:type="dxa"/>
                    <w:left w:w="0" w:type="dxa"/>
                    <w:bottom w:w="0" w:type="dxa"/>
                    <w:right w:w="0" w:type="dxa"/>
                  </w:tcMar>
                  <w:vAlign w:val="center"/>
                </w:tcPr>
                <w:p w14:paraId="6C57B0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319" w:type="pct"/>
                  <w:tcBorders>
                    <w:tl2br w:val="nil"/>
                    <w:tr2bl w:val="nil"/>
                  </w:tcBorders>
                  <w:noWrap w:val="0"/>
                  <w:tcMar>
                    <w:top w:w="0" w:type="dxa"/>
                    <w:left w:w="0" w:type="dxa"/>
                    <w:bottom w:w="0" w:type="dxa"/>
                    <w:right w:w="0" w:type="dxa"/>
                  </w:tcMar>
                  <w:vAlign w:val="center"/>
                </w:tcPr>
                <w:p w14:paraId="0D0E80F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1319" w:type="pct"/>
                  <w:tcBorders>
                    <w:tl2br w:val="nil"/>
                    <w:tr2bl w:val="nil"/>
                  </w:tcBorders>
                  <w:noWrap w:val="0"/>
                  <w:tcMar>
                    <w:top w:w="0" w:type="dxa"/>
                    <w:left w:w="0" w:type="dxa"/>
                    <w:bottom w:w="0" w:type="dxa"/>
                    <w:right w:w="0" w:type="dxa"/>
                  </w:tcMar>
                  <w:vAlign w:val="center"/>
                </w:tcPr>
                <w:p w14:paraId="0A725C6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25</w:t>
                  </w:r>
                </w:p>
              </w:tc>
            </w:tr>
            <w:tr w14:paraId="02A29B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66A8C18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w:t>
                  </w:r>
                </w:p>
              </w:tc>
              <w:tc>
                <w:tcPr>
                  <w:tcW w:w="1316" w:type="pct"/>
                  <w:gridSpan w:val="2"/>
                  <w:tcBorders>
                    <w:tl2br w:val="nil"/>
                    <w:tr2bl w:val="nil"/>
                  </w:tcBorders>
                  <w:noWrap w:val="0"/>
                  <w:tcMar>
                    <w:top w:w="0" w:type="dxa"/>
                    <w:left w:w="0" w:type="dxa"/>
                    <w:bottom w:w="0" w:type="dxa"/>
                    <w:right w:w="0" w:type="dxa"/>
                  </w:tcMar>
                  <w:vAlign w:val="center"/>
                </w:tcPr>
                <w:p w14:paraId="15E849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活性炭</w:t>
                  </w:r>
                  <w:r>
                    <w:rPr>
                      <w:rFonts w:hint="default" w:ascii="Times New Roman" w:hAnsi="Times New Roman" w:eastAsia="宋体" w:cs="Times New Roman"/>
                      <w:color w:val="000000" w:themeColor="text1"/>
                      <w:szCs w:val="21"/>
                      <w:highlight w:val="none"/>
                      <w14:textFill>
                        <w14:solidFill>
                          <w14:schemeClr w14:val="tx1"/>
                        </w14:solidFill>
                      </w14:textFill>
                    </w:rPr>
                    <w:t>密度</w:t>
                  </w:r>
                </w:p>
              </w:tc>
              <w:tc>
                <w:tcPr>
                  <w:tcW w:w="612" w:type="pct"/>
                  <w:tcBorders>
                    <w:tl2br w:val="nil"/>
                    <w:tr2bl w:val="nil"/>
                  </w:tcBorders>
                  <w:noWrap w:val="0"/>
                  <w:tcMar>
                    <w:top w:w="0" w:type="dxa"/>
                    <w:left w:w="0" w:type="dxa"/>
                    <w:bottom w:w="0" w:type="dxa"/>
                    <w:right w:w="0" w:type="dxa"/>
                  </w:tcMar>
                  <w:vAlign w:val="center"/>
                </w:tcPr>
                <w:p w14:paraId="1FD6CB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g/cm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1319" w:type="pct"/>
                  <w:tcBorders>
                    <w:tl2br w:val="nil"/>
                    <w:tr2bl w:val="nil"/>
                  </w:tcBorders>
                  <w:noWrap w:val="0"/>
                  <w:tcMar>
                    <w:top w:w="0" w:type="dxa"/>
                    <w:left w:w="0" w:type="dxa"/>
                    <w:bottom w:w="0" w:type="dxa"/>
                    <w:right w:w="0" w:type="dxa"/>
                  </w:tcMar>
                  <w:vAlign w:val="center"/>
                </w:tcPr>
                <w:p w14:paraId="5FAAC0A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35</w:t>
                  </w:r>
                </w:p>
              </w:tc>
              <w:tc>
                <w:tcPr>
                  <w:tcW w:w="1319" w:type="pct"/>
                  <w:tcBorders>
                    <w:tl2br w:val="nil"/>
                    <w:tr2bl w:val="nil"/>
                  </w:tcBorders>
                  <w:noWrap w:val="0"/>
                  <w:tcMar>
                    <w:top w:w="0" w:type="dxa"/>
                    <w:left w:w="0" w:type="dxa"/>
                    <w:bottom w:w="0" w:type="dxa"/>
                    <w:right w:w="0" w:type="dxa"/>
                  </w:tcMar>
                  <w:vAlign w:val="center"/>
                </w:tcPr>
                <w:p w14:paraId="252049C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FAC9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162DE89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w:t>
                  </w:r>
                </w:p>
              </w:tc>
              <w:tc>
                <w:tcPr>
                  <w:tcW w:w="1316" w:type="pct"/>
                  <w:gridSpan w:val="2"/>
                  <w:tcBorders>
                    <w:tl2br w:val="nil"/>
                    <w:tr2bl w:val="nil"/>
                  </w:tcBorders>
                  <w:noWrap w:val="0"/>
                  <w:tcMar>
                    <w:top w:w="0" w:type="dxa"/>
                    <w:left w:w="0" w:type="dxa"/>
                    <w:bottom w:w="0" w:type="dxa"/>
                    <w:right w:w="0" w:type="dxa"/>
                  </w:tcMar>
                  <w:vAlign w:val="center"/>
                </w:tcPr>
                <w:p w14:paraId="658BED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过滤风速</w:t>
                  </w:r>
                </w:p>
              </w:tc>
              <w:tc>
                <w:tcPr>
                  <w:tcW w:w="612" w:type="pct"/>
                  <w:tcBorders>
                    <w:tl2br w:val="nil"/>
                    <w:tr2bl w:val="nil"/>
                  </w:tcBorders>
                  <w:noWrap w:val="0"/>
                  <w:tcMar>
                    <w:top w:w="0" w:type="dxa"/>
                    <w:left w:w="0" w:type="dxa"/>
                    <w:bottom w:w="0" w:type="dxa"/>
                    <w:right w:w="0" w:type="dxa"/>
                  </w:tcMar>
                  <w:vAlign w:val="center"/>
                </w:tcPr>
                <w:p w14:paraId="6B8A39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m/s</w:t>
                  </w:r>
                </w:p>
              </w:tc>
              <w:tc>
                <w:tcPr>
                  <w:tcW w:w="1319" w:type="pct"/>
                  <w:tcBorders>
                    <w:tl2br w:val="nil"/>
                    <w:tr2bl w:val="nil"/>
                  </w:tcBorders>
                  <w:noWrap w:val="0"/>
                  <w:tcMar>
                    <w:top w:w="0" w:type="dxa"/>
                    <w:left w:w="0" w:type="dxa"/>
                    <w:bottom w:w="0" w:type="dxa"/>
                    <w:right w:w="0" w:type="dxa"/>
                  </w:tcMar>
                  <w:vAlign w:val="center"/>
                </w:tcPr>
                <w:p w14:paraId="1E4202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1.11</w:t>
                  </w:r>
                </w:p>
              </w:tc>
              <w:tc>
                <w:tcPr>
                  <w:tcW w:w="1319" w:type="pct"/>
                  <w:tcBorders>
                    <w:tl2br w:val="nil"/>
                    <w:tr2bl w:val="nil"/>
                  </w:tcBorders>
                  <w:noWrap w:val="0"/>
                  <w:tcMar>
                    <w:top w:w="0" w:type="dxa"/>
                    <w:left w:w="0" w:type="dxa"/>
                    <w:bottom w:w="0" w:type="dxa"/>
                    <w:right w:w="0" w:type="dxa"/>
                  </w:tcMar>
                  <w:vAlign w:val="center"/>
                </w:tcPr>
                <w:p w14:paraId="5C641B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15E41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410CA95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1316" w:type="pct"/>
                  <w:gridSpan w:val="2"/>
                  <w:tcBorders>
                    <w:tl2br w:val="nil"/>
                    <w:tr2bl w:val="nil"/>
                  </w:tcBorders>
                  <w:noWrap w:val="0"/>
                  <w:tcMar>
                    <w:top w:w="0" w:type="dxa"/>
                    <w:left w:w="0" w:type="dxa"/>
                    <w:bottom w:w="0" w:type="dxa"/>
                    <w:right w:w="0" w:type="dxa"/>
                  </w:tcMar>
                  <w:vAlign w:val="center"/>
                </w:tcPr>
                <w:p w14:paraId="39CF47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灰分含量</w:t>
                  </w:r>
                </w:p>
              </w:tc>
              <w:tc>
                <w:tcPr>
                  <w:tcW w:w="612" w:type="pct"/>
                  <w:tcBorders>
                    <w:tl2br w:val="nil"/>
                    <w:tr2bl w:val="nil"/>
                  </w:tcBorders>
                  <w:noWrap w:val="0"/>
                  <w:tcMar>
                    <w:top w:w="0" w:type="dxa"/>
                    <w:left w:w="0" w:type="dxa"/>
                    <w:bottom w:w="0" w:type="dxa"/>
                    <w:right w:w="0" w:type="dxa"/>
                  </w:tcMar>
                  <w:vAlign w:val="center"/>
                </w:tcPr>
                <w:p w14:paraId="4E462DD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319" w:type="pct"/>
                  <w:tcBorders>
                    <w:tl2br w:val="nil"/>
                    <w:tr2bl w:val="nil"/>
                  </w:tcBorders>
                  <w:noWrap w:val="0"/>
                  <w:tcMar>
                    <w:top w:w="0" w:type="dxa"/>
                    <w:left w:w="0" w:type="dxa"/>
                    <w:bottom w:w="0" w:type="dxa"/>
                    <w:right w:w="0" w:type="dxa"/>
                  </w:tcMar>
                  <w:vAlign w:val="center"/>
                </w:tcPr>
                <w:p w14:paraId="4CEE02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1319" w:type="pct"/>
                  <w:tcBorders>
                    <w:tl2br w:val="nil"/>
                    <w:tr2bl w:val="nil"/>
                  </w:tcBorders>
                  <w:noWrap w:val="0"/>
                  <w:tcMar>
                    <w:top w:w="0" w:type="dxa"/>
                    <w:left w:w="0" w:type="dxa"/>
                    <w:bottom w:w="0" w:type="dxa"/>
                    <w:right w:w="0" w:type="dxa"/>
                  </w:tcMar>
                  <w:vAlign w:val="center"/>
                </w:tcPr>
                <w:p w14:paraId="7A76A00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85968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1"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1BADA42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w:t>
                  </w:r>
                </w:p>
              </w:tc>
              <w:tc>
                <w:tcPr>
                  <w:tcW w:w="1316" w:type="pct"/>
                  <w:gridSpan w:val="2"/>
                  <w:tcBorders>
                    <w:tl2br w:val="nil"/>
                    <w:tr2bl w:val="nil"/>
                  </w:tcBorders>
                  <w:noWrap w:val="0"/>
                  <w:tcMar>
                    <w:top w:w="0" w:type="dxa"/>
                    <w:left w:w="0" w:type="dxa"/>
                    <w:bottom w:w="0" w:type="dxa"/>
                    <w:right w:w="0" w:type="dxa"/>
                  </w:tcMar>
                  <w:vAlign w:val="center"/>
                </w:tcPr>
                <w:p w14:paraId="120433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设备数量</w:t>
                  </w:r>
                </w:p>
              </w:tc>
              <w:tc>
                <w:tcPr>
                  <w:tcW w:w="612" w:type="pct"/>
                  <w:tcBorders>
                    <w:tl2br w:val="nil"/>
                    <w:tr2bl w:val="nil"/>
                  </w:tcBorders>
                  <w:noWrap w:val="0"/>
                  <w:tcMar>
                    <w:top w:w="0" w:type="dxa"/>
                    <w:left w:w="0" w:type="dxa"/>
                    <w:bottom w:w="0" w:type="dxa"/>
                    <w:right w:w="0" w:type="dxa"/>
                  </w:tcMar>
                  <w:vAlign w:val="center"/>
                </w:tcPr>
                <w:p w14:paraId="410388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1319" w:type="pct"/>
                  <w:tcBorders>
                    <w:tl2br w:val="nil"/>
                    <w:tr2bl w:val="nil"/>
                  </w:tcBorders>
                  <w:noWrap w:val="0"/>
                  <w:tcMar>
                    <w:top w:w="0" w:type="dxa"/>
                    <w:left w:w="0" w:type="dxa"/>
                    <w:bottom w:w="0" w:type="dxa"/>
                    <w:right w:w="0" w:type="dxa"/>
                  </w:tcMar>
                  <w:vAlign w:val="center"/>
                </w:tcPr>
                <w:p w14:paraId="68D3A2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1319" w:type="pct"/>
                  <w:tcBorders>
                    <w:tl2br w:val="nil"/>
                    <w:tr2bl w:val="nil"/>
                  </w:tcBorders>
                  <w:noWrap w:val="0"/>
                  <w:tcMar>
                    <w:top w:w="0" w:type="dxa"/>
                    <w:left w:w="0" w:type="dxa"/>
                    <w:bottom w:w="0" w:type="dxa"/>
                    <w:right w:w="0" w:type="dxa"/>
                  </w:tcMar>
                  <w:vAlign w:val="center"/>
                </w:tcPr>
                <w:p w14:paraId="4B03EAC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0317FD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580BA5E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12</w:t>
                  </w:r>
                </w:p>
              </w:tc>
              <w:tc>
                <w:tcPr>
                  <w:tcW w:w="1316" w:type="pct"/>
                  <w:gridSpan w:val="2"/>
                  <w:tcBorders>
                    <w:tl2br w:val="nil"/>
                    <w:tr2bl w:val="nil"/>
                  </w:tcBorders>
                  <w:noWrap w:val="0"/>
                  <w:tcMar>
                    <w:top w:w="0" w:type="dxa"/>
                    <w:left w:w="0" w:type="dxa"/>
                    <w:bottom w:w="0" w:type="dxa"/>
                    <w:right w:w="0" w:type="dxa"/>
                  </w:tcMar>
                  <w:vAlign w:val="center"/>
                </w:tcPr>
                <w:p w14:paraId="721F63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填充量</w:t>
                  </w:r>
                </w:p>
              </w:tc>
              <w:tc>
                <w:tcPr>
                  <w:tcW w:w="612" w:type="pct"/>
                  <w:tcBorders>
                    <w:tl2br w:val="nil"/>
                    <w:tr2bl w:val="nil"/>
                  </w:tcBorders>
                  <w:noWrap w:val="0"/>
                  <w:tcMar>
                    <w:top w:w="0" w:type="dxa"/>
                    <w:left w:w="0" w:type="dxa"/>
                    <w:bottom w:w="0" w:type="dxa"/>
                    <w:right w:w="0" w:type="dxa"/>
                  </w:tcMar>
                  <w:vAlign w:val="center"/>
                </w:tcPr>
                <w:p w14:paraId="487C5C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kg</w:t>
                  </w:r>
                </w:p>
              </w:tc>
              <w:tc>
                <w:tcPr>
                  <w:tcW w:w="1319" w:type="pct"/>
                  <w:tcBorders>
                    <w:tl2br w:val="nil"/>
                    <w:tr2bl w:val="nil"/>
                  </w:tcBorders>
                  <w:noWrap w:val="0"/>
                  <w:tcMar>
                    <w:top w:w="0" w:type="dxa"/>
                    <w:left w:w="0" w:type="dxa"/>
                    <w:bottom w:w="0" w:type="dxa"/>
                    <w:right w:w="0" w:type="dxa"/>
                  </w:tcMar>
                  <w:vAlign w:val="center"/>
                </w:tcPr>
                <w:p w14:paraId="42BD60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二级，每级</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319" w:type="pct"/>
                  <w:tcBorders>
                    <w:tl2br w:val="nil"/>
                    <w:tr2bl w:val="nil"/>
                  </w:tcBorders>
                  <w:noWrap w:val="0"/>
                  <w:tcMar>
                    <w:top w:w="0" w:type="dxa"/>
                    <w:left w:w="0" w:type="dxa"/>
                    <w:bottom w:w="0" w:type="dxa"/>
                    <w:right w:w="0" w:type="dxa"/>
                  </w:tcMar>
                  <w:vAlign w:val="center"/>
                </w:tcPr>
                <w:p w14:paraId="4C4186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1461BB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1856209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p>
              </w:tc>
              <w:tc>
                <w:tcPr>
                  <w:tcW w:w="1316" w:type="pct"/>
                  <w:gridSpan w:val="2"/>
                  <w:tcBorders>
                    <w:tl2br w:val="nil"/>
                    <w:tr2bl w:val="nil"/>
                  </w:tcBorders>
                  <w:noWrap w:val="0"/>
                  <w:tcMar>
                    <w:top w:w="0" w:type="dxa"/>
                    <w:left w:w="0" w:type="dxa"/>
                    <w:bottom w:w="0" w:type="dxa"/>
                    <w:right w:w="0" w:type="dxa"/>
                  </w:tcMar>
                  <w:vAlign w:val="center"/>
                </w:tcPr>
                <w:p w14:paraId="36739B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填充层</w:t>
                  </w:r>
                </w:p>
              </w:tc>
              <w:tc>
                <w:tcPr>
                  <w:tcW w:w="612" w:type="pct"/>
                  <w:tcBorders>
                    <w:tl2br w:val="nil"/>
                    <w:tr2bl w:val="nil"/>
                  </w:tcBorders>
                  <w:noWrap w:val="0"/>
                  <w:tcMar>
                    <w:top w:w="0" w:type="dxa"/>
                    <w:left w:w="0" w:type="dxa"/>
                    <w:bottom w:w="0" w:type="dxa"/>
                    <w:right w:w="0" w:type="dxa"/>
                  </w:tcMar>
                  <w:vAlign w:val="center"/>
                </w:tcPr>
                <w:p w14:paraId="77F528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层</w:t>
                  </w:r>
                </w:p>
              </w:tc>
              <w:tc>
                <w:tcPr>
                  <w:tcW w:w="1319" w:type="pct"/>
                  <w:tcBorders>
                    <w:tl2br w:val="nil"/>
                    <w:tr2bl w:val="nil"/>
                  </w:tcBorders>
                  <w:noWrap w:val="0"/>
                  <w:tcMar>
                    <w:top w:w="0" w:type="dxa"/>
                    <w:left w:w="0" w:type="dxa"/>
                    <w:bottom w:w="0" w:type="dxa"/>
                    <w:right w:w="0" w:type="dxa"/>
                  </w:tcMar>
                  <w:vAlign w:val="center"/>
                </w:tcPr>
                <w:p w14:paraId="0DF5C4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1319" w:type="pct"/>
                  <w:tcBorders>
                    <w:tl2br w:val="nil"/>
                    <w:tr2bl w:val="nil"/>
                  </w:tcBorders>
                  <w:noWrap w:val="0"/>
                  <w:tcMar>
                    <w:top w:w="0" w:type="dxa"/>
                    <w:left w:w="0" w:type="dxa"/>
                    <w:bottom w:w="0" w:type="dxa"/>
                    <w:right w:w="0" w:type="dxa"/>
                  </w:tcMar>
                  <w:vAlign w:val="center"/>
                </w:tcPr>
                <w:p w14:paraId="6C8828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749FD4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16FD60B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w:t>
                  </w:r>
                </w:p>
              </w:tc>
              <w:tc>
                <w:tcPr>
                  <w:tcW w:w="1316" w:type="pct"/>
                  <w:gridSpan w:val="2"/>
                  <w:tcBorders>
                    <w:tl2br w:val="nil"/>
                    <w:tr2bl w:val="nil"/>
                  </w:tcBorders>
                  <w:noWrap w:val="0"/>
                  <w:tcMar>
                    <w:top w:w="0" w:type="dxa"/>
                    <w:left w:w="0" w:type="dxa"/>
                    <w:bottom w:w="0" w:type="dxa"/>
                    <w:right w:w="0" w:type="dxa"/>
                  </w:tcMar>
                  <w:vAlign w:val="center"/>
                </w:tcPr>
                <w:p w14:paraId="113846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更换周期</w:t>
                  </w:r>
                </w:p>
              </w:tc>
              <w:tc>
                <w:tcPr>
                  <w:tcW w:w="612" w:type="pct"/>
                  <w:tcBorders>
                    <w:tl2br w:val="nil"/>
                    <w:tr2bl w:val="nil"/>
                  </w:tcBorders>
                  <w:noWrap w:val="0"/>
                  <w:tcMar>
                    <w:top w:w="0" w:type="dxa"/>
                    <w:left w:w="0" w:type="dxa"/>
                    <w:bottom w:w="0" w:type="dxa"/>
                    <w:right w:w="0" w:type="dxa"/>
                  </w:tcMar>
                  <w:vAlign w:val="center"/>
                </w:tcPr>
                <w:p w14:paraId="5F9835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1319" w:type="pct"/>
                  <w:tcBorders>
                    <w:tl2br w:val="nil"/>
                    <w:tr2bl w:val="nil"/>
                  </w:tcBorders>
                  <w:noWrap w:val="0"/>
                  <w:tcMar>
                    <w:top w:w="0" w:type="dxa"/>
                    <w:left w:w="0" w:type="dxa"/>
                    <w:bottom w:w="0" w:type="dxa"/>
                    <w:right w:w="0" w:type="dxa"/>
                  </w:tcMar>
                  <w:vAlign w:val="center"/>
                </w:tcPr>
                <w:p w14:paraId="7692741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（3个月）</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更换一次</w:t>
                  </w:r>
                </w:p>
              </w:tc>
              <w:tc>
                <w:tcPr>
                  <w:tcW w:w="1319" w:type="pct"/>
                  <w:tcBorders>
                    <w:tl2br w:val="nil"/>
                    <w:tr2bl w:val="nil"/>
                  </w:tcBorders>
                  <w:noWrap w:val="0"/>
                  <w:tcMar>
                    <w:top w:w="0" w:type="dxa"/>
                    <w:left w:w="0" w:type="dxa"/>
                    <w:bottom w:w="0" w:type="dxa"/>
                    <w:right w:w="0" w:type="dxa"/>
                  </w:tcMar>
                  <w:vAlign w:val="center"/>
                </w:tcPr>
                <w:p w14:paraId="7AB19F4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5765FD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0BE3140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656" w:type="pct"/>
                  <w:vMerge w:val="restart"/>
                  <w:tcBorders>
                    <w:right w:val="single" w:color="auto" w:sz="4" w:space="0"/>
                    <w:tl2br w:val="nil"/>
                    <w:tr2bl w:val="nil"/>
                  </w:tcBorders>
                  <w:noWrap w:val="0"/>
                  <w:tcMar>
                    <w:top w:w="0" w:type="dxa"/>
                    <w:left w:w="0" w:type="dxa"/>
                    <w:bottom w:w="0" w:type="dxa"/>
                    <w:right w:w="0" w:type="dxa"/>
                  </w:tcMar>
                  <w:vAlign w:val="center"/>
                </w:tcPr>
                <w:p w14:paraId="172669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t>排气筒参数</w:t>
                  </w:r>
                </w:p>
              </w:tc>
              <w:tc>
                <w:tcPr>
                  <w:tcW w:w="659" w:type="pct"/>
                  <w:tcBorders>
                    <w:left w:val="single" w:color="auto" w:sz="4" w:space="0"/>
                    <w:bottom w:val="single" w:color="auto" w:sz="4" w:space="0"/>
                    <w:tl2br w:val="nil"/>
                    <w:tr2bl w:val="nil"/>
                  </w:tcBorders>
                  <w:noWrap w:val="0"/>
                  <w:tcMar>
                    <w:top w:w="0" w:type="dxa"/>
                    <w:left w:w="0" w:type="dxa"/>
                    <w:bottom w:w="0" w:type="dxa"/>
                    <w:right w:w="0" w:type="dxa"/>
                  </w:tcMar>
                  <w:vAlign w:val="center"/>
                </w:tcPr>
                <w:p w14:paraId="0FAD9A7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高度</w:t>
                  </w:r>
                </w:p>
              </w:tc>
              <w:tc>
                <w:tcPr>
                  <w:tcW w:w="612" w:type="pct"/>
                  <w:tcBorders>
                    <w:tl2br w:val="nil"/>
                    <w:tr2bl w:val="nil"/>
                  </w:tcBorders>
                  <w:noWrap w:val="0"/>
                  <w:tcMar>
                    <w:top w:w="0" w:type="dxa"/>
                    <w:left w:w="0" w:type="dxa"/>
                    <w:bottom w:w="0" w:type="dxa"/>
                    <w:right w:w="0" w:type="dxa"/>
                  </w:tcMar>
                  <w:vAlign w:val="center"/>
                </w:tcPr>
                <w:p w14:paraId="27DACB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m</w:t>
                  </w:r>
                </w:p>
              </w:tc>
              <w:tc>
                <w:tcPr>
                  <w:tcW w:w="1319" w:type="pct"/>
                  <w:tcBorders>
                    <w:tl2br w:val="nil"/>
                    <w:tr2bl w:val="nil"/>
                  </w:tcBorders>
                  <w:noWrap w:val="0"/>
                  <w:tcMar>
                    <w:top w:w="0" w:type="dxa"/>
                    <w:left w:w="0" w:type="dxa"/>
                    <w:bottom w:w="0" w:type="dxa"/>
                    <w:right w:w="0" w:type="dxa"/>
                  </w:tcMar>
                  <w:vAlign w:val="center"/>
                </w:tcPr>
                <w:p w14:paraId="4C1CC2D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20</w:t>
                  </w:r>
                </w:p>
              </w:tc>
              <w:tc>
                <w:tcPr>
                  <w:tcW w:w="1319" w:type="pct"/>
                  <w:tcBorders>
                    <w:tl2br w:val="nil"/>
                    <w:tr2bl w:val="nil"/>
                  </w:tcBorders>
                  <w:noWrap w:val="0"/>
                  <w:tcMar>
                    <w:top w:w="0" w:type="dxa"/>
                    <w:left w:w="0" w:type="dxa"/>
                    <w:bottom w:w="0" w:type="dxa"/>
                    <w:right w:w="0" w:type="dxa"/>
                  </w:tcMar>
                  <w:vAlign w:val="center"/>
                </w:tcPr>
                <w:p w14:paraId="4EA1B8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01F1BC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5C81469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w:t>
                  </w:r>
                </w:p>
              </w:tc>
              <w:tc>
                <w:tcPr>
                  <w:tcW w:w="656" w:type="pct"/>
                  <w:vMerge w:val="continue"/>
                  <w:tcBorders>
                    <w:right w:val="single" w:color="auto" w:sz="4" w:space="0"/>
                    <w:tl2br w:val="nil"/>
                    <w:tr2bl w:val="nil"/>
                  </w:tcBorders>
                  <w:noWrap w:val="0"/>
                  <w:tcMar>
                    <w:top w:w="0" w:type="dxa"/>
                    <w:left w:w="0" w:type="dxa"/>
                    <w:bottom w:w="0" w:type="dxa"/>
                    <w:right w:w="0" w:type="dxa"/>
                  </w:tcMar>
                  <w:vAlign w:val="center"/>
                </w:tcPr>
                <w:p w14:paraId="4C49B7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59" w:type="pct"/>
                  <w:tcBorders>
                    <w:top w:val="single" w:color="auto" w:sz="4" w:space="0"/>
                    <w:left w:val="single" w:color="auto" w:sz="4" w:space="0"/>
                    <w:tl2br w:val="nil"/>
                    <w:tr2bl w:val="nil"/>
                  </w:tcBorders>
                  <w:noWrap w:val="0"/>
                  <w:tcMar>
                    <w:top w:w="0" w:type="dxa"/>
                    <w:left w:w="0" w:type="dxa"/>
                    <w:bottom w:w="0" w:type="dxa"/>
                    <w:right w:w="0" w:type="dxa"/>
                  </w:tcMar>
                  <w:vAlign w:val="center"/>
                </w:tcPr>
                <w:p w14:paraId="03ACDA0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直径</w:t>
                  </w:r>
                </w:p>
              </w:tc>
              <w:tc>
                <w:tcPr>
                  <w:tcW w:w="612" w:type="pct"/>
                  <w:tcBorders>
                    <w:bottom w:val="single" w:color="auto" w:sz="4" w:space="0"/>
                    <w:tl2br w:val="nil"/>
                    <w:tr2bl w:val="nil"/>
                  </w:tcBorders>
                  <w:noWrap w:val="0"/>
                  <w:tcMar>
                    <w:top w:w="0" w:type="dxa"/>
                    <w:left w:w="0" w:type="dxa"/>
                    <w:bottom w:w="0" w:type="dxa"/>
                    <w:right w:w="0" w:type="dxa"/>
                  </w:tcMar>
                  <w:vAlign w:val="center"/>
                </w:tcPr>
                <w:p w14:paraId="05BFAE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m</w:t>
                  </w:r>
                </w:p>
              </w:tc>
              <w:tc>
                <w:tcPr>
                  <w:tcW w:w="1319" w:type="pct"/>
                  <w:tcBorders>
                    <w:tl2br w:val="nil"/>
                    <w:tr2bl w:val="nil"/>
                  </w:tcBorders>
                  <w:noWrap w:val="0"/>
                  <w:tcMar>
                    <w:top w:w="0" w:type="dxa"/>
                    <w:left w:w="0" w:type="dxa"/>
                    <w:bottom w:w="0" w:type="dxa"/>
                    <w:right w:w="0" w:type="dxa"/>
                  </w:tcMar>
                  <w:vAlign w:val="center"/>
                </w:tcPr>
                <w:p w14:paraId="46A830F2">
                  <w:pPr>
                    <w:keepNext w:val="0"/>
                    <w:keepLines w:val="0"/>
                    <w:pageBreakBefore w:val="0"/>
                    <w:widowControl w:val="0"/>
                    <w:numPr>
                      <w:ilvl w:val="0"/>
                      <w:numId w:val="0"/>
                    </w:numPr>
                    <w:suppressLineNumbers w:val="0"/>
                    <w:tabs>
                      <w:tab w:val="center" w:pos="1518"/>
                      <w:tab w:val="right" w:pos="2919"/>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15</w:t>
                  </w:r>
                </w:p>
              </w:tc>
              <w:tc>
                <w:tcPr>
                  <w:tcW w:w="1319" w:type="pct"/>
                  <w:tcBorders>
                    <w:tl2br w:val="nil"/>
                    <w:tr2bl w:val="nil"/>
                  </w:tcBorders>
                  <w:noWrap w:val="0"/>
                  <w:tcMar>
                    <w:top w:w="0" w:type="dxa"/>
                    <w:left w:w="0" w:type="dxa"/>
                    <w:bottom w:w="0" w:type="dxa"/>
                    <w:right w:w="0" w:type="dxa"/>
                  </w:tcMar>
                  <w:vAlign w:val="center"/>
                </w:tcPr>
                <w:p w14:paraId="2BC193EE">
                  <w:pPr>
                    <w:keepNext w:val="0"/>
                    <w:keepLines w:val="0"/>
                    <w:pageBreakBefore w:val="0"/>
                    <w:widowControl w:val="0"/>
                    <w:numPr>
                      <w:ilvl w:val="0"/>
                      <w:numId w:val="0"/>
                    </w:numPr>
                    <w:suppressLineNumbers w:val="0"/>
                    <w:tabs>
                      <w:tab w:val="center" w:pos="1518"/>
                      <w:tab w:val="right" w:pos="2919"/>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0CA65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1" w:type="pct"/>
                  <w:tcBorders>
                    <w:tl2br w:val="nil"/>
                    <w:tr2bl w:val="nil"/>
                  </w:tcBorders>
                  <w:shd w:val="clear" w:color="auto" w:fill="auto"/>
                  <w:noWrap w:val="0"/>
                  <w:tcMar>
                    <w:top w:w="0" w:type="dxa"/>
                    <w:left w:w="0" w:type="dxa"/>
                    <w:bottom w:w="0" w:type="dxa"/>
                    <w:right w:w="0" w:type="dxa"/>
                  </w:tcMar>
                  <w:vAlign w:val="center"/>
                </w:tcPr>
                <w:p w14:paraId="2C1B2B4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17</w:t>
                  </w:r>
                </w:p>
              </w:tc>
              <w:tc>
                <w:tcPr>
                  <w:tcW w:w="656" w:type="pct"/>
                  <w:vMerge w:val="continue"/>
                  <w:tcBorders>
                    <w:right w:val="single" w:color="auto" w:sz="4" w:space="0"/>
                    <w:tl2br w:val="nil"/>
                    <w:tr2bl w:val="nil"/>
                  </w:tcBorders>
                  <w:noWrap w:val="0"/>
                  <w:tcMar>
                    <w:top w:w="0" w:type="dxa"/>
                    <w:left w:w="0" w:type="dxa"/>
                    <w:bottom w:w="0" w:type="dxa"/>
                    <w:right w:w="0" w:type="dxa"/>
                  </w:tcMar>
                  <w:vAlign w:val="center"/>
                </w:tcPr>
                <w:p w14:paraId="52F083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659" w:type="pct"/>
                  <w:tcBorders>
                    <w:top w:val="single" w:color="auto" w:sz="4" w:space="0"/>
                    <w:left w:val="single" w:color="auto" w:sz="4" w:space="0"/>
                    <w:tl2br w:val="nil"/>
                    <w:tr2bl w:val="nil"/>
                  </w:tcBorders>
                  <w:noWrap w:val="0"/>
                  <w:tcMar>
                    <w:top w:w="0" w:type="dxa"/>
                    <w:left w:w="0" w:type="dxa"/>
                    <w:bottom w:w="0" w:type="dxa"/>
                    <w:right w:w="0" w:type="dxa"/>
                  </w:tcMar>
                  <w:vAlign w:val="center"/>
                </w:tcPr>
                <w:p w14:paraId="78A2DAD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t>风量</w:t>
                  </w:r>
                </w:p>
              </w:tc>
              <w:tc>
                <w:tcPr>
                  <w:tcW w:w="612" w:type="pct"/>
                  <w:tcBorders>
                    <w:top w:val="single" w:color="auto" w:sz="4" w:space="0"/>
                    <w:tl2br w:val="nil"/>
                    <w:tr2bl w:val="nil"/>
                  </w:tcBorders>
                  <w:noWrap w:val="0"/>
                  <w:tcMar>
                    <w:top w:w="0" w:type="dxa"/>
                    <w:left w:w="0" w:type="dxa"/>
                    <w:bottom w:w="0" w:type="dxa"/>
                    <w:right w:w="0" w:type="dxa"/>
                  </w:tcMar>
                  <w:vAlign w:val="center"/>
                </w:tcPr>
                <w:p w14:paraId="42E2EC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t>
                  </w:r>
                </w:p>
              </w:tc>
              <w:tc>
                <w:tcPr>
                  <w:tcW w:w="1319" w:type="pct"/>
                  <w:tcBorders>
                    <w:tl2br w:val="nil"/>
                    <w:tr2bl w:val="nil"/>
                  </w:tcBorders>
                  <w:noWrap w:val="0"/>
                  <w:tcMar>
                    <w:top w:w="0" w:type="dxa"/>
                    <w:left w:w="0" w:type="dxa"/>
                    <w:bottom w:w="0" w:type="dxa"/>
                    <w:right w:w="0" w:type="dxa"/>
                  </w:tcMar>
                  <w:vAlign w:val="center"/>
                </w:tcPr>
                <w:p w14:paraId="7FD15A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00</w:t>
                  </w:r>
                </w:p>
              </w:tc>
              <w:tc>
                <w:tcPr>
                  <w:tcW w:w="1319" w:type="pct"/>
                  <w:tcBorders>
                    <w:tl2br w:val="nil"/>
                    <w:tr2bl w:val="nil"/>
                  </w:tcBorders>
                  <w:noWrap w:val="0"/>
                  <w:tcMar>
                    <w:top w:w="0" w:type="dxa"/>
                    <w:left w:w="0" w:type="dxa"/>
                    <w:bottom w:w="0" w:type="dxa"/>
                    <w:right w:w="0" w:type="dxa"/>
                  </w:tcMar>
                  <w:vAlign w:val="center"/>
                </w:tcPr>
                <w:p w14:paraId="50CB74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bl>
          <w:p w14:paraId="7BFEDC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shd w:val="clear" w:color="auto" w:fill="FFFFFF"/>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根据《材料研究与应用》2010年12月第4卷第4期，余倩等人《活性炭吸附技术对VOCs净化处理的研究进展》一文，采用吸附法能够使VOCs的去除率高达90-95%，本项目</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有机废气</w:t>
            </w:r>
            <w:r>
              <w:rPr>
                <w:rFonts w:hint="default" w:ascii="Times New Roman" w:hAnsi="Times New Roman" w:eastAsia="宋体" w:cs="Times New Roman"/>
                <w:bCs/>
                <w:color w:val="000000" w:themeColor="text1"/>
                <w:kern w:val="0"/>
                <w:sz w:val="24"/>
                <w:szCs w:val="24"/>
                <w14:textFill>
                  <w14:solidFill>
                    <w14:schemeClr w14:val="tx1"/>
                  </w14:solidFill>
                </w14:textFill>
              </w:rPr>
              <w:t>去除率保守估计取90%。根据</w:t>
            </w:r>
            <w:r>
              <w:rPr>
                <w:rFonts w:hint="default" w:ascii="Times New Roman" w:hAnsi="Times New Roman" w:eastAsia="宋体" w:cs="Times New Roman"/>
                <w:color w:val="000000" w:themeColor="text1"/>
                <w:kern w:val="0"/>
                <w:sz w:val="24"/>
                <w:szCs w:val="24"/>
                <w14:textFill>
                  <w14:solidFill>
                    <w14:schemeClr w14:val="tx1"/>
                  </w14:solidFill>
                </w14:textFill>
              </w:rPr>
              <w:t>《省生态环境厅关于深入开展涉VOCs治理重点工作核查的通知》（</w:t>
            </w:r>
            <w:r>
              <w:rPr>
                <w:rFonts w:hint="default" w:ascii="Times New Roman" w:hAnsi="Times New Roman" w:eastAsia="宋体" w:cs="Times New Roman"/>
                <w:color w:val="000000" w:themeColor="text1"/>
                <w:sz w:val="24"/>
                <w:szCs w:val="24"/>
                <w:highlight w:val="none"/>
                <w14:textFill>
                  <w14:solidFill>
                    <w14:schemeClr w14:val="tx1"/>
                  </w14:solidFill>
                </w14:textFill>
              </w:rPr>
              <w:t>苏环办</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〔2022〕218号</w:t>
            </w:r>
            <w:r>
              <w:rPr>
                <w:rFonts w:hint="default" w:ascii="Times New Roman" w:hAnsi="Times New Roman" w:eastAsia="宋体" w:cs="Times New Roman"/>
                <w:color w:val="000000" w:themeColor="text1"/>
                <w:kern w:val="0"/>
                <w:sz w:val="24"/>
                <w:szCs w:val="24"/>
                <w14:textFill>
                  <w14:solidFill>
                    <w14:schemeClr w14:val="tx1"/>
                  </w14:solidFill>
                </w14:textFill>
              </w:rPr>
              <w:t>）相关要求，采用蜂窝活性炭时，气体流速宜低于1.20m/s，</w:t>
            </w:r>
            <w:r>
              <w:rPr>
                <w:rFonts w:hint="default" w:ascii="Times New Roman" w:hAnsi="Times New Roman" w:eastAsia="宋体" w:cs="Times New Roman"/>
                <w:i w:val="0"/>
                <w:iCs w:val="0"/>
                <w:caps w:val="0"/>
                <w:color w:val="000000" w:themeColor="text1"/>
                <w:spacing w:val="0"/>
                <w:sz w:val="24"/>
                <w:szCs w:val="24"/>
                <w:highlight w:val="none"/>
                <w:shd w:val="clear" w:color="auto" w:fill="FFFFFF"/>
                <w14:textFill>
                  <w14:solidFill>
                    <w14:schemeClr w14:val="tx1"/>
                  </w14:solidFill>
                </w14:textFill>
              </w:rPr>
              <w:t>蜂窝活性炭碘吸附值≥</w:t>
            </w:r>
            <w:r>
              <w:rPr>
                <w:rFonts w:hint="default" w:ascii="Times New Roman" w:hAnsi="Times New Roman" w:eastAsia="宋体" w:cs="Times New Roman"/>
                <w:i w:val="0"/>
                <w:iCs w:val="0"/>
                <w:caps w:val="0"/>
                <w:color w:val="000000" w:themeColor="text1"/>
                <w:spacing w:val="0"/>
                <w:sz w:val="24"/>
                <w:szCs w:val="24"/>
                <w:highlight w:val="none"/>
                <w:shd w:val="clear" w:color="auto" w:fill="FFFFFF"/>
                <w:lang w:val="en-US" w:eastAsia="zh-CN"/>
                <w14:textFill>
                  <w14:solidFill>
                    <w14:schemeClr w14:val="tx1"/>
                  </w14:solidFill>
                </w14:textFill>
              </w:rPr>
              <w:t>650</w:t>
            </w:r>
            <w:r>
              <w:rPr>
                <w:rFonts w:hint="default" w:ascii="Times New Roman" w:hAnsi="Times New Roman" w:eastAsia="宋体" w:cs="Times New Roman"/>
                <w:i w:val="0"/>
                <w:iCs w:val="0"/>
                <w:caps w:val="0"/>
                <w:color w:val="000000" w:themeColor="text1"/>
                <w:spacing w:val="0"/>
                <w:sz w:val="24"/>
                <w:szCs w:val="24"/>
                <w:highlight w:val="none"/>
                <w:shd w:val="clear" w:color="auto" w:fill="FFFFFF"/>
                <w14:textFill>
                  <w14:solidFill>
                    <w14:schemeClr w14:val="tx1"/>
                  </w14:solidFill>
                </w14:textFill>
              </w:rPr>
              <w:t>mg/g</w:t>
            </w:r>
            <w:r>
              <w:rPr>
                <w:rFonts w:hint="default" w:ascii="Times New Roman" w:hAnsi="Times New Roman" w:eastAsia="宋体" w:cs="Times New Roman"/>
                <w:i w:val="0"/>
                <w:iCs w:val="0"/>
                <w:caps w:val="0"/>
                <w:color w:val="000000" w:themeColor="text1"/>
                <w:spacing w:val="0"/>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highlight w:val="none"/>
                <w:shd w:val="clear" w:color="auto" w:fill="FFFFFF"/>
                <w14:textFill>
                  <w14:solidFill>
                    <w14:schemeClr w14:val="tx1"/>
                  </w14:solidFill>
                </w14:textFill>
              </w:rPr>
              <w:t>活性炭更换周期一般不应超过累计运行500小时或3个月</w:t>
            </w:r>
            <w:r>
              <w:rPr>
                <w:rFonts w:hint="default" w:ascii="Times New Roman" w:hAnsi="Times New Roman" w:eastAsia="宋体" w:cs="Times New Roman"/>
                <w:i w:val="0"/>
                <w:iCs w:val="0"/>
                <w:caps w:val="0"/>
                <w:color w:val="000000" w:themeColor="text1"/>
                <w:spacing w:val="0"/>
                <w:sz w:val="24"/>
                <w:szCs w:val="24"/>
                <w:highlight w:val="none"/>
                <w:shd w:val="clear" w:color="auto" w:fill="FFFFFF"/>
                <w:lang w:eastAsia="zh-CN"/>
                <w14:textFill>
                  <w14:solidFill>
                    <w14:schemeClr w14:val="tx1"/>
                  </w14:solidFill>
                </w14:textFill>
              </w:rPr>
              <w:t>，进入吸附设备的废气温度应低于40℃</w:t>
            </w:r>
            <w:r>
              <w:rPr>
                <w:rFonts w:hint="eastAsia" w:ascii="Times New Roman" w:hAnsi="Times New Roman" w:eastAsia="宋体" w:cs="Times New Roman"/>
                <w:i w:val="0"/>
                <w:iCs w:val="0"/>
                <w:caps w:val="0"/>
                <w:color w:val="000000" w:themeColor="text1"/>
                <w:spacing w:val="0"/>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本项目设计活性炭过滤风速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小于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m/s，</w:t>
            </w:r>
            <w:r>
              <w:rPr>
                <w:rFonts w:hint="default" w:ascii="Times New Roman" w:hAnsi="Times New Roman" w:eastAsia="宋体" w:cs="Times New Roman"/>
                <w:i w:val="0"/>
                <w:iCs w:val="0"/>
                <w:caps w:val="0"/>
                <w:color w:val="000000" w:themeColor="text1"/>
                <w:spacing w:val="0"/>
                <w:sz w:val="24"/>
                <w:szCs w:val="24"/>
                <w:highlight w:val="none"/>
                <w:shd w:val="clear" w:color="auto" w:fill="FFFFFF"/>
                <w14:textFill>
                  <w14:solidFill>
                    <w14:schemeClr w14:val="tx1"/>
                  </w14:solidFill>
                </w14:textFill>
              </w:rPr>
              <w:t>碘吸附值</w:t>
            </w:r>
            <w:r>
              <w:rPr>
                <w:rFonts w:hint="default" w:ascii="Times New Roman" w:hAnsi="Times New Roman" w:eastAsia="宋体" w:cs="Times New Roman"/>
                <w:i w:val="0"/>
                <w:iCs w:val="0"/>
                <w:caps w:val="0"/>
                <w:color w:val="000000" w:themeColor="text1"/>
                <w:spacing w:val="0"/>
                <w:sz w:val="24"/>
                <w:szCs w:val="24"/>
                <w:highlight w:val="none"/>
                <w:shd w:val="clear" w:color="auto" w:fill="FFFFFF"/>
                <w:lang w:val="en-US" w:eastAsia="zh-CN"/>
                <w14:textFill>
                  <w14:solidFill>
                    <w14:schemeClr w14:val="tx1"/>
                  </w14:solidFill>
                </w14:textFill>
              </w:rPr>
              <w:t>为650</w:t>
            </w:r>
            <w:r>
              <w:rPr>
                <w:rFonts w:hint="default" w:ascii="Times New Roman" w:hAnsi="Times New Roman" w:eastAsia="宋体" w:cs="Times New Roman"/>
                <w:i w:val="0"/>
                <w:iCs w:val="0"/>
                <w:caps w:val="0"/>
                <w:color w:val="000000" w:themeColor="text1"/>
                <w:spacing w:val="0"/>
                <w:sz w:val="24"/>
                <w:szCs w:val="24"/>
                <w:highlight w:val="none"/>
                <w:shd w:val="clear" w:color="auto" w:fill="FFFFFF"/>
                <w14:textFill>
                  <w14:solidFill>
                    <w14:schemeClr w14:val="tx1"/>
                  </w14:solidFill>
                </w14:textFill>
              </w:rPr>
              <w:t>mg/g</w:t>
            </w:r>
            <w:r>
              <w:rPr>
                <w:rFonts w:hint="eastAsia" w:ascii="Times New Roman" w:hAnsi="Times New Roman" w:eastAsia="宋体" w:cs="Times New Roman"/>
                <w:i w:val="0"/>
                <w:iCs w:val="0"/>
                <w:caps w:val="0"/>
                <w:color w:val="000000" w:themeColor="text1"/>
                <w:spacing w:val="0"/>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shd w:val="clear" w:color="auto" w:fill="FFFFFF"/>
                <w14:textFill>
                  <w14:solidFill>
                    <w14:schemeClr w14:val="tx1"/>
                  </w14:solidFill>
                </w14:textFill>
              </w:rPr>
              <w:t>活性炭设计</w:t>
            </w:r>
            <w:r>
              <w:rPr>
                <w:rFonts w:hint="eastAsia" w:ascii="Times New Roman" w:hAnsi="Times New Roman" w:eastAsia="宋体" w:cs="Times New Roman"/>
                <w:color w:val="000000" w:themeColor="text1"/>
                <w:kern w:val="0"/>
                <w:sz w:val="24"/>
                <w:szCs w:val="24"/>
                <w:shd w:val="clear" w:color="auto" w:fill="FFFFFF"/>
                <w:lang w:val="en-US" w:eastAsia="zh-CN"/>
                <w14:textFill>
                  <w14:solidFill>
                    <w14:schemeClr w14:val="tx1"/>
                  </w14:solidFill>
                </w14:textFill>
              </w:rPr>
              <w:t>81</w:t>
            </w:r>
            <w:r>
              <w:rPr>
                <w:rFonts w:hint="default" w:ascii="Times New Roman" w:hAnsi="Times New Roman" w:eastAsia="宋体" w:cs="Times New Roman"/>
                <w:color w:val="000000" w:themeColor="text1"/>
                <w:kern w:val="0"/>
                <w:sz w:val="24"/>
                <w:szCs w:val="24"/>
                <w:shd w:val="clear" w:color="auto" w:fill="FFFFFF"/>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4"/>
                <w:szCs w:val="24"/>
                <w:shd w:val="clear" w:color="auto" w:fill="FFFFFF"/>
                <w14:textFill>
                  <w14:solidFill>
                    <w14:schemeClr w14:val="tx1"/>
                  </w14:solidFill>
                </w14:textFill>
              </w:rPr>
              <w:t>更换一次，项目有机废气产生温度较低，经过风机管道</w:t>
            </w:r>
            <w:r>
              <w:rPr>
                <w:rFonts w:hint="eastAsia" w:ascii="Times New Roman" w:hAnsi="Times New Roman" w:eastAsia="宋体" w:cs="Times New Roman"/>
                <w:color w:val="000000" w:themeColor="text1"/>
                <w:kern w:val="0"/>
                <w:sz w:val="24"/>
                <w:szCs w:val="24"/>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shd w:val="clear" w:color="auto" w:fill="FFFFFF"/>
                <w:lang w:val="en-US" w:eastAsia="zh-CN"/>
                <w14:textFill>
                  <w14:solidFill>
                    <w14:schemeClr w14:val="tx1"/>
                  </w14:solidFill>
                </w14:textFill>
              </w:rPr>
              <w:t>喷淋塔</w:t>
            </w:r>
            <w:r>
              <w:rPr>
                <w:rFonts w:hint="default" w:ascii="Times New Roman" w:hAnsi="Times New Roman" w:eastAsia="宋体" w:cs="Times New Roman"/>
                <w:color w:val="000000" w:themeColor="text1"/>
                <w:kern w:val="0"/>
                <w:sz w:val="24"/>
                <w:szCs w:val="24"/>
                <w:shd w:val="clear" w:color="auto" w:fill="FFFFFF"/>
                <w14:textFill>
                  <w14:solidFill>
                    <w14:schemeClr w14:val="tx1"/>
                  </w14:solidFill>
                </w14:textFill>
              </w:rPr>
              <w:t>等冷却后，进入活性炭箱的温度低于40℃，因此本项目有机废气经过二级活性炭处理满足要求。</w:t>
            </w:r>
          </w:p>
          <w:p w14:paraId="06FD82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shd w:val="clear" w:color="auto" w:fill="FFFFFF"/>
                <w14:textFill>
                  <w14:solidFill>
                    <w14:schemeClr w14:val="tx1"/>
                  </w14:solidFill>
                </w14:textFill>
              </w:rPr>
            </w:pPr>
            <w:r>
              <w:rPr>
                <w:rFonts w:hint="default" w:ascii="Times New Roman" w:hAnsi="Times New Roman" w:eastAsia="宋体" w:cs="Times New Roman"/>
                <w:color w:val="000000" w:themeColor="text1"/>
                <w:kern w:val="0"/>
                <w:sz w:val="24"/>
                <w:szCs w:val="24"/>
                <w:shd w:val="clear" w:color="auto" w:fill="FFFFFF"/>
                <w14:textFill>
                  <w14:solidFill>
                    <w14:schemeClr w14:val="tx1"/>
                  </w14:solidFill>
                </w14:textFill>
              </w:rPr>
              <w:t>根据《江苏省生态环境厅关于将排污单位活性炭使用纳入排污许可管理的通知》（苏环办〔2021〕218号），活性炭更换周期计算如下：</w:t>
            </w:r>
          </w:p>
          <w:p w14:paraId="69FADA84">
            <w:pPr>
              <w:spacing w:line="360" w:lineRule="auto"/>
              <w:ind w:firstLine="480" w:firstLineChars="20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T=m×s÷（c×10</w:t>
            </w:r>
            <w:r>
              <w:rPr>
                <w:rFonts w:hint="default" w:ascii="Times New Roman" w:hAnsi="Times New Roman" w:eastAsia="宋体" w:cs="Times New Roman"/>
                <w:color w:val="000000" w:themeColor="text1"/>
                <w:sz w:val="24"/>
                <w:vertAlign w:val="superscript"/>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×Q×t）</w:t>
            </w:r>
          </w:p>
          <w:p w14:paraId="558E10A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式中：T—更换周期，天；</w:t>
            </w:r>
          </w:p>
          <w:p w14:paraId="195B195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m—活性炭的用量，kg；</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处理设施“二级活性炭吸附装置”</w:t>
            </w:r>
            <w:r>
              <w:rPr>
                <w:rFonts w:hint="default" w:ascii="Times New Roman" w:hAnsi="Times New Roman" w:eastAsia="宋体" w:cs="Times New Roman"/>
                <w:color w:val="000000" w:themeColor="text1"/>
                <w:sz w:val="24"/>
                <w14:textFill>
                  <w14:solidFill>
                    <w14:schemeClr w14:val="tx1"/>
                  </w14:solidFill>
                </w14:textFill>
              </w:rPr>
              <w:t>中活性炭装填量为</w:t>
            </w:r>
            <w:r>
              <w:rPr>
                <w:rFonts w:hint="eastAsia" w:ascii="Times New Roman" w:hAnsi="Times New Roman" w:eastAsia="宋体" w:cs="Times New Roman"/>
                <w:color w:val="000000" w:themeColor="text1"/>
                <w:sz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14:textFill>
                  <w14:solidFill>
                    <w14:schemeClr w14:val="tx1"/>
                  </w14:solidFill>
                </w14:textFill>
              </w:rPr>
              <w:t>0kg。</w:t>
            </w:r>
          </w:p>
          <w:p w14:paraId="3665E49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s—动态吸附量，%</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取10%</w:t>
            </w:r>
            <w:r>
              <w:rPr>
                <w:rFonts w:hint="default" w:ascii="Times New Roman" w:hAnsi="Times New Roman" w:eastAsia="宋体" w:cs="Times New Roman"/>
                <w:color w:val="000000" w:themeColor="text1"/>
                <w:sz w:val="24"/>
                <w14:textFill>
                  <w14:solidFill>
                    <w14:schemeClr w14:val="tx1"/>
                  </w14:solidFill>
                </w14:textFill>
              </w:rPr>
              <w:t>；</w:t>
            </w:r>
          </w:p>
          <w:p w14:paraId="2EDCE73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c—活性炭削减的VOCs浓度，mg/m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4"/>
                <w14:textFill>
                  <w14:solidFill>
                    <w14:schemeClr w14:val="tx1"/>
                  </w14:solidFill>
                </w14:textFill>
              </w:rPr>
              <w:t>削减的VOCs浓度为</w:t>
            </w:r>
            <w:r>
              <w:rPr>
                <w:rFonts w:hint="eastAsia" w:ascii="Times New Roman" w:hAnsi="Times New Roman" w:eastAsia="宋体" w:cs="Times New Roman"/>
                <w:color w:val="000000" w:themeColor="text1"/>
                <w:sz w:val="24"/>
                <w:lang w:val="en-US" w:eastAsia="zh-CN"/>
                <w14:textFill>
                  <w14:solidFill>
                    <w14:schemeClr w14:val="tx1"/>
                  </w14:solidFill>
                </w14:textFill>
              </w:rPr>
              <w:t>86.7</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3817D7B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Q—风量，单位m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/h；废气处理设施设计风量为</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00m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/h。</w:t>
            </w:r>
          </w:p>
          <w:p w14:paraId="7B557E3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t—运行时间，单位h/d。废气处理设施日运行</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h。</w:t>
            </w:r>
          </w:p>
          <w:p w14:paraId="1E8B2D1D">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根据上述公式及参数计算得废气处理设施活性炭更换周期</w:t>
            </w:r>
            <w:r>
              <w:rPr>
                <w:rFonts w:hint="eastAsia" w:ascii="Times New Roman" w:hAnsi="Times New Roman" w:eastAsia="宋体" w:cs="Times New Roman"/>
                <w:color w:val="000000" w:themeColor="text1"/>
                <w:sz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81</w:t>
            </w:r>
            <w:r>
              <w:rPr>
                <w:rFonts w:hint="default" w:ascii="Times New Roman" w:hAnsi="Times New Roman" w:eastAsia="宋体" w:cs="Times New Roman"/>
                <w:color w:val="000000" w:themeColor="text1"/>
                <w:sz w:val="24"/>
                <w14:textFill>
                  <w14:solidFill>
                    <w14:schemeClr w14:val="tx1"/>
                  </w14:solidFill>
                </w14:textFill>
              </w:rPr>
              <w:t>d</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三个月</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/次</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16B3148D">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活性炭吸附装置设置要求：</w:t>
            </w:r>
          </w:p>
          <w:p w14:paraId="1198CF06">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按照《吸附法工业有机废气治理工程技术规范》（HJ 2026-2013）、《</w:t>
            </w:r>
            <w:bookmarkStart w:id="10" w:name="_Hlk141347411"/>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环境保护产品技术要求 工业废气吸附净化装置</w:t>
            </w:r>
            <w:bookmarkEnd w:id="10"/>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bookmarkStart w:id="11" w:name="_Hlk141347438"/>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HJ/T 386-2007</w:t>
            </w:r>
            <w:bookmarkEnd w:id="11"/>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）安全设置规定，本项目对拟建活性炭吸附装置提出以下要求：</w:t>
            </w:r>
          </w:p>
          <w:p w14:paraId="01B096D0">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①治理系统应有事故自动报警装置，并符合安全生产、事故防范的相关规定。</w:t>
            </w:r>
          </w:p>
          <w:p w14:paraId="30D97D38">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②治理系统与主体生产装置之间的管道系统应安装阻火器（防火阀），阻火器性能应符合GB 13347的规定。</w:t>
            </w:r>
          </w:p>
          <w:p w14:paraId="53386241">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③风机、电机和置于现场的电气仪表等应不低于现场防爆等级。</w:t>
            </w:r>
          </w:p>
          <w:p w14:paraId="649F7732">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④治理装置安装区域应按规定设置消防设施。</w:t>
            </w:r>
          </w:p>
          <w:p w14:paraId="617B4AC1">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⑤治理设备应具备短路保护和接地保护，接地电阻应小于4Q。</w:t>
            </w:r>
          </w:p>
          <w:p w14:paraId="6F89F938">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⑥室外治理设备应安装符合GB 50057规定的避雷装置。</w:t>
            </w:r>
          </w:p>
          <w:p w14:paraId="1EC3254A">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工程实例分析</w:t>
            </w:r>
          </w:p>
          <w:p w14:paraId="4882E4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本项目根据无锡市新环化工环境监测站于2019年3月对“常州市博源塑业有限公司年产260万件塑料制品项目”的“两级活性炭吸附装置”废气排放口的验收检测数据，其废气处理效率在90%以上，具体见下表。</w:t>
            </w:r>
          </w:p>
          <w:p w14:paraId="4793A337">
            <w:pPr>
              <w:adjustRightInd w:val="0"/>
              <w:snapToGrid w:val="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工程实例废气监测结果表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7"/>
              <w:gridCol w:w="1421"/>
            </w:tblGrid>
            <w:tr w14:paraId="5E962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restart"/>
                  <w:vAlign w:val="center"/>
                </w:tcPr>
                <w:p w14:paraId="5CA26A7D">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项目点位</w:t>
                  </w:r>
                </w:p>
              </w:tc>
              <w:tc>
                <w:tcPr>
                  <w:tcW w:w="833" w:type="pct"/>
                  <w:vMerge w:val="restart"/>
                  <w:vAlign w:val="center"/>
                </w:tcPr>
                <w:p w14:paraId="3A6CD646">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监测时间</w:t>
                  </w:r>
                </w:p>
              </w:tc>
              <w:tc>
                <w:tcPr>
                  <w:tcW w:w="3334" w:type="pct"/>
                  <w:gridSpan w:val="4"/>
                  <w:vAlign w:val="center"/>
                </w:tcPr>
                <w:p w14:paraId="4E4656A7">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非甲烷总烃监测结果（mg/m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14:paraId="24E88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continue"/>
                  <w:vAlign w:val="center"/>
                </w:tcPr>
                <w:p w14:paraId="2D10F89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Merge w:val="continue"/>
                  <w:vAlign w:val="center"/>
                </w:tcPr>
                <w:p w14:paraId="360A411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Align w:val="center"/>
                </w:tcPr>
                <w:p w14:paraId="655CE9A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33" w:type="pct"/>
                  <w:vAlign w:val="center"/>
                </w:tcPr>
                <w:p w14:paraId="4506BAD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33" w:type="pct"/>
                  <w:vAlign w:val="center"/>
                </w:tcPr>
                <w:p w14:paraId="5AB4554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33" w:type="pct"/>
                  <w:vAlign w:val="center"/>
                </w:tcPr>
                <w:p w14:paraId="7EB49D8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平均值</w:t>
                  </w:r>
                </w:p>
              </w:tc>
            </w:tr>
            <w:tr w14:paraId="3CDC1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6AB65F9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废气进口</w:t>
                  </w:r>
                </w:p>
              </w:tc>
              <w:tc>
                <w:tcPr>
                  <w:tcW w:w="833" w:type="pct"/>
                  <w:vMerge w:val="restart"/>
                  <w:vAlign w:val="center"/>
                </w:tcPr>
                <w:p w14:paraId="19A9930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2019.3.29</w:t>
                  </w:r>
                </w:p>
              </w:tc>
              <w:tc>
                <w:tcPr>
                  <w:tcW w:w="833" w:type="pct"/>
                  <w:vAlign w:val="center"/>
                </w:tcPr>
                <w:p w14:paraId="06E2718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4.22</w:t>
                  </w:r>
                </w:p>
              </w:tc>
              <w:tc>
                <w:tcPr>
                  <w:tcW w:w="833" w:type="pct"/>
                  <w:vAlign w:val="center"/>
                </w:tcPr>
                <w:p w14:paraId="36127C6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3.48</w:t>
                  </w:r>
                </w:p>
              </w:tc>
              <w:tc>
                <w:tcPr>
                  <w:tcW w:w="833" w:type="pct"/>
                  <w:vAlign w:val="center"/>
                </w:tcPr>
                <w:p w14:paraId="4AE5A78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4.09</w:t>
                  </w:r>
                </w:p>
              </w:tc>
              <w:tc>
                <w:tcPr>
                  <w:tcW w:w="833" w:type="pct"/>
                  <w:vAlign w:val="center"/>
                </w:tcPr>
                <w:p w14:paraId="4224E17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3.93</w:t>
                  </w:r>
                </w:p>
              </w:tc>
            </w:tr>
            <w:tr w14:paraId="425F5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1F27015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废气出口</w:t>
                  </w:r>
                </w:p>
              </w:tc>
              <w:tc>
                <w:tcPr>
                  <w:tcW w:w="833" w:type="pct"/>
                  <w:vMerge w:val="continue"/>
                  <w:vAlign w:val="center"/>
                </w:tcPr>
                <w:p w14:paraId="1A7E4AB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Align w:val="center"/>
                </w:tcPr>
                <w:p w14:paraId="63366F8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c>
                <w:tcPr>
                  <w:tcW w:w="833" w:type="pct"/>
                  <w:vAlign w:val="center"/>
                </w:tcPr>
                <w:p w14:paraId="4374806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0.29</w:t>
                  </w:r>
                </w:p>
              </w:tc>
              <w:tc>
                <w:tcPr>
                  <w:tcW w:w="833" w:type="pct"/>
                  <w:vAlign w:val="center"/>
                </w:tcPr>
                <w:p w14:paraId="027E276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c>
                <w:tcPr>
                  <w:tcW w:w="833" w:type="pct"/>
                  <w:vAlign w:val="center"/>
                </w:tcPr>
                <w:p w14:paraId="3FA5211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0.26</w:t>
                  </w:r>
                </w:p>
              </w:tc>
            </w:tr>
            <w:tr w14:paraId="10CA8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337C1C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处理效率</w:t>
                  </w:r>
                </w:p>
              </w:tc>
              <w:tc>
                <w:tcPr>
                  <w:tcW w:w="833" w:type="pct"/>
                  <w:vMerge w:val="continue"/>
                  <w:vAlign w:val="center"/>
                </w:tcPr>
                <w:p w14:paraId="5A11A05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Align w:val="center"/>
                </w:tcPr>
                <w:p w14:paraId="3F01EC9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94.1</w:t>
                  </w:r>
                </w:p>
              </w:tc>
              <w:tc>
                <w:tcPr>
                  <w:tcW w:w="833" w:type="pct"/>
                  <w:vAlign w:val="center"/>
                </w:tcPr>
                <w:p w14:paraId="676024A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91.7</w:t>
                  </w:r>
                </w:p>
              </w:tc>
              <w:tc>
                <w:tcPr>
                  <w:tcW w:w="833" w:type="pct"/>
                  <w:vAlign w:val="center"/>
                </w:tcPr>
                <w:p w14:paraId="7707A09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93.9</w:t>
                  </w:r>
                </w:p>
              </w:tc>
              <w:tc>
                <w:tcPr>
                  <w:tcW w:w="833" w:type="pct"/>
                  <w:vAlign w:val="center"/>
                </w:tcPr>
                <w:p w14:paraId="469585D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93.4</w:t>
                  </w:r>
                </w:p>
              </w:tc>
            </w:tr>
          </w:tbl>
          <w:p w14:paraId="04EDFA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由上表可知，“两级活性炭吸附装置”对非甲烷总烃的去除效率平均在90%以上，故认为本项目两级活性炭吸附装置对非甲烷总烃去除效率以90%计算是可行的。</w:t>
            </w:r>
          </w:p>
          <w:p w14:paraId="0E989D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废气处理措施技术可行性分析</w:t>
            </w:r>
          </w:p>
          <w:p w14:paraId="2E59FC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参照《排污许可证申请与核发技术规范 电子工业》（HJ1031—2019）</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酸洗、铜保护工序产生的硫酸雾和有机废气</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采用一套“</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碱喷淋塔+除雾器+二级活性炭吸附装置</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属于可行技术范围。</w:t>
            </w:r>
          </w:p>
          <w:p w14:paraId="7352433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sz w:val="24"/>
                <w14:textFill>
                  <w14:solidFill>
                    <w14:schemeClr w14:val="tx1"/>
                  </w14:solidFill>
                </w14:textFill>
              </w:rPr>
            </w:pPr>
            <w:r>
              <w:rPr>
                <w:rFonts w:hint="eastAsia" w:ascii="Times New Roman" w:hAnsi="Times New Roman" w:eastAsia="宋体" w:cs="Times New Roman"/>
                <w:b/>
                <w:bCs w:val="0"/>
                <w:color w:val="000000" w:themeColor="text1"/>
                <w:sz w:val="24"/>
                <w:lang w:eastAsia="zh-CN"/>
                <w14:textFill>
                  <w14:solidFill>
                    <w14:schemeClr w14:val="tx1"/>
                  </w14:solidFill>
                </w14:textFill>
              </w:rPr>
              <w:t>（</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4"/>
                <w14:textFill>
                  <w14:solidFill>
                    <w14:schemeClr w14:val="tx1"/>
                  </w14:solidFill>
                </w14:textFill>
              </w:rPr>
              <w:t>排气筒设置可行性分析</w:t>
            </w:r>
          </w:p>
          <w:p w14:paraId="34F850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高度合理性分析</w:t>
            </w:r>
            <w:r>
              <w:rPr>
                <w:rFonts w:hint="default" w:ascii="Times New Roman" w:hAnsi="Times New Roman" w:eastAsia="宋体" w:cs="Times New Roman"/>
                <w:bCs/>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酸洗、铜保护废气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经一套</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碱喷淋塔+除雾器+二级活性炭吸附装置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+20m高排气筒DA001排放，</w:t>
            </w:r>
            <w:r>
              <w:rPr>
                <w:rFonts w:hint="default" w:ascii="Times New Roman" w:hAnsi="Times New Roman" w:eastAsia="宋体" w:cs="Times New Roman"/>
                <w:color w:val="000000" w:themeColor="text1"/>
                <w:sz w:val="24"/>
                <w14:textFill>
                  <w14:solidFill>
                    <w14:schemeClr w14:val="tx1"/>
                  </w14:solidFill>
                </w14:textFill>
              </w:rPr>
              <w:t>在生产过程中，为了保证废气的有效排出，其排气筒出口设置在屋顶，车间厂房高度</w:t>
            </w:r>
            <w:r>
              <w:rPr>
                <w:rFonts w:hint="eastAsia" w:ascii="Times New Roman" w:hAnsi="Times New Roman" w:eastAsia="宋体" w:cs="Times New Roman"/>
                <w:color w:val="000000" w:themeColor="text1"/>
                <w:sz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米，</w:t>
            </w:r>
            <w:r>
              <w:rPr>
                <w:rFonts w:hint="eastAsia" w:ascii="Times New Roman" w:hAnsi="Times New Roman" w:eastAsia="宋体"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14:textFill>
                  <w14:solidFill>
                    <w14:schemeClr w14:val="tx1"/>
                  </w14:solidFill>
                </w14:textFill>
              </w:rPr>
              <w:t>排气筒设置2</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米高是可行的。</w:t>
            </w:r>
          </w:p>
          <w:p w14:paraId="6D56388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排气筒数量可行性分析：</w:t>
            </w:r>
            <w:r>
              <w:rPr>
                <w:rFonts w:hint="default" w:ascii="Times New Roman" w:hAnsi="Times New Roman" w:eastAsia="宋体" w:cs="Times New Roman"/>
                <w:color w:val="000000" w:themeColor="text1"/>
                <w:sz w:val="24"/>
                <w14:textFill>
                  <w14:solidFill>
                    <w14:schemeClr w14:val="tx1"/>
                  </w14:solidFill>
                </w14:textFill>
              </w:rPr>
              <w:t>本项目排气筒的设置数量严格按照工段分布来布置，为减少排气筒数量，项目按照“分类收集处理，统一排放”的原则布置排气筒。根据废气排放污染因子和设备布置情况，共设置</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根</w:t>
            </w:r>
            <w:r>
              <w:rPr>
                <w:rFonts w:hint="default" w:ascii="Times New Roman" w:hAnsi="Times New Roman" w:eastAsia="宋体" w:cs="Times New Roman"/>
                <w:color w:val="000000" w:themeColor="text1"/>
                <w:sz w:val="24"/>
                <w14:textFill>
                  <w14:solidFill>
                    <w14:schemeClr w14:val="tx1"/>
                  </w14:solidFill>
                </w14:textFill>
              </w:rPr>
              <w:t>排气筒。排气筒布置时综合考虑了废气合并处理的适宜性、风量大小、排气筒检修对生产装置带来的影响大小等因素。</w:t>
            </w:r>
          </w:p>
          <w:p w14:paraId="129942F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出口风速合理性分析：</w:t>
            </w:r>
            <w:r>
              <w:rPr>
                <w:rFonts w:hint="default" w:ascii="Times New Roman" w:hAnsi="Times New Roman" w:eastAsia="宋体" w:cs="Times New Roman"/>
                <w:color w:val="000000" w:themeColor="text1"/>
                <w:sz w:val="24"/>
                <w14:textFill>
                  <w14:solidFill>
                    <w14:schemeClr w14:val="tx1"/>
                  </w14:solidFill>
                </w14:textFill>
              </w:rPr>
              <w:t>根据《大气污染治理工程技术导则》（HJ2000-2010），“排气筒的出口直径应根据出口流速确定，流速宜取15m/s左右。当采用钢管烟囱且高度较高时或烟气量较大时，可适当提高出口流速至20～25m/s”。本项目</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酸洗、铜保护</w:t>
            </w:r>
            <w:r>
              <w:rPr>
                <w:rFonts w:hint="default" w:ascii="Times New Roman" w:hAnsi="Times New Roman" w:eastAsia="宋体" w:cs="Times New Roman"/>
                <w:color w:val="000000" w:themeColor="text1"/>
                <w:sz w:val="24"/>
                <w14:textFill>
                  <w14:solidFill>
                    <w14:schemeClr w14:val="tx1"/>
                  </w14:solidFill>
                </w14:textFill>
              </w:rPr>
              <w:t>废气</w:t>
            </w:r>
            <w:r>
              <w:rPr>
                <w:rFonts w:hint="default" w:ascii="Times New Roman" w:hAnsi="Times New Roman" w:eastAsia="宋体" w:cs="Times New Roman"/>
                <w:color w:val="000000" w:themeColor="text1"/>
                <w:sz w:val="24"/>
                <w:lang w:val="en-US" w:eastAsia="zh-CN"/>
                <w14:textFill>
                  <w14:solidFill>
                    <w14:schemeClr w14:val="tx1"/>
                  </w14:solidFill>
                </w14:textFill>
              </w:rPr>
              <w:t>排口流速约为</w:t>
            </w:r>
            <w:r>
              <w:rPr>
                <w:rFonts w:hint="eastAsia" w:ascii="Times New Roman" w:hAnsi="Times New Roman" w:eastAsia="宋体" w:cs="Times New Roman"/>
                <w:color w:val="000000" w:themeColor="text1"/>
                <w:sz w:val="24"/>
                <w:lang w:val="en-US" w:eastAsia="zh-CN"/>
                <w14:textFill>
                  <w14:solidFill>
                    <w14:schemeClr w14:val="tx1"/>
                  </w14:solidFill>
                </w14:textFill>
              </w:rPr>
              <w:t>15.7</w:t>
            </w:r>
            <w:r>
              <w:rPr>
                <w:rFonts w:hint="default" w:ascii="Times New Roman" w:hAnsi="Times New Roman" w:eastAsia="宋体" w:cs="Times New Roman"/>
                <w:color w:val="000000" w:themeColor="text1"/>
                <w:sz w:val="24"/>
                <w14:textFill>
                  <w14:solidFill>
                    <w14:schemeClr w14:val="tx1"/>
                  </w14:solidFill>
                </w14:textFill>
              </w:rPr>
              <w:t>m/s</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可满足要求。从以上的分析可知，本项目的排气筒设置是合理可行的。</w:t>
            </w:r>
          </w:p>
          <w:p w14:paraId="6F39122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（6）其他无组织废气治理措施</w:t>
            </w:r>
          </w:p>
          <w:p w14:paraId="354241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本项目无组织废气为未捕集</w:t>
            </w:r>
            <w:r>
              <w:rPr>
                <w:rFonts w:hint="eastAsia" w:ascii="Times New Roman" w:hAnsi="Times New Roman" w:eastAsia="宋体"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酸洗、</w:t>
            </w:r>
            <w:r>
              <w:rPr>
                <w:rFonts w:hint="eastAsia" w:ascii="Times New Roman" w:hAnsi="Times New Roman" w:eastAsia="宋体" w:cs="Times New Roman"/>
                <w:b w:val="0"/>
                <w:bCs w:val="0"/>
                <w:color w:val="000000" w:themeColor="text1"/>
                <w:sz w:val="24"/>
                <w:szCs w:val="24"/>
                <w:lang w:val="en-US" w:eastAsia="zh-CN" w:bidi="ar"/>
                <w14:textFill>
                  <w14:solidFill>
                    <w14:schemeClr w14:val="tx1"/>
                  </w14:solidFill>
                </w14:textFill>
              </w:rPr>
              <w:t>铜保护废气等</w:t>
            </w:r>
            <w:r>
              <w:rPr>
                <w:rFonts w:hint="default" w:ascii="Times New Roman" w:hAnsi="Times New Roman" w:eastAsia="宋体" w:cs="Times New Roman"/>
                <w:color w:val="000000" w:themeColor="text1"/>
                <w:sz w:val="24"/>
                <w14:textFill>
                  <w14:solidFill>
                    <w14:schemeClr w14:val="tx1"/>
                  </w14:solidFill>
                </w14:textFill>
              </w:rPr>
              <w:t>，为减小无组织废气对周围环境的影响，建议通过采取以下措施进行控制：</w:t>
            </w:r>
          </w:p>
          <w:p w14:paraId="1AC5E3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①根据《大气污染控制工程》（高等教育出版社）中吸风管的设计规范合理设置吸风管的尺寸和安装位置，尽可能提高废气的收集效率，减小无组织排放源强；同时加强管理，尽量减少废气的散逸。</w:t>
            </w:r>
          </w:p>
          <w:p w14:paraId="1BF958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w:t>
            </w:r>
            <w:r>
              <w:rPr>
                <w:rFonts w:hint="eastAsia" w:ascii="Times New Roman" w:hAnsi="Times New Roman" w:eastAsia="宋体" w:cs="Times New Roman"/>
                <w:color w:val="000000" w:themeColor="text1"/>
                <w:sz w:val="24"/>
                <w:lang w:val="en-US" w:eastAsia="zh-CN"/>
                <w14:textFill>
                  <w14:solidFill>
                    <w14:schemeClr w14:val="tx1"/>
                  </w14:solidFill>
                </w14:textFill>
              </w:rPr>
              <w:t>清洗线整体密闭，污水处理站各处理单元均加盖密闭，减少</w:t>
            </w:r>
            <w:r>
              <w:rPr>
                <w:rFonts w:hint="default" w:ascii="Times New Roman" w:hAnsi="Times New Roman" w:eastAsia="宋体" w:cs="Times New Roman"/>
                <w:color w:val="000000" w:themeColor="text1"/>
                <w:sz w:val="24"/>
                <w14:textFill>
                  <w14:solidFill>
                    <w14:schemeClr w14:val="tx1"/>
                  </w14:solidFill>
                </w14:textFill>
              </w:rPr>
              <w:t>无组织排放源强。</w:t>
            </w:r>
          </w:p>
          <w:p w14:paraId="37F8CF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③加强生产管理，增加员工意识，规范操作，采取预防为主、清洁生产的方针，采用先进生产工艺，选用先进的生产设备和清洁原料。</w:t>
            </w:r>
          </w:p>
          <w:p w14:paraId="1CCB04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④定期对废气处理设施进行维护、保养和清理，保证其处理效率。</w:t>
            </w:r>
          </w:p>
          <w:p w14:paraId="480AF8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⑤加强车间通排风，以降低无组织排放废气的影响</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3A7130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综上所述，本项目无组织废气污染防治措施可行，可达标排放。</w:t>
            </w:r>
          </w:p>
        </w:tc>
      </w:tr>
    </w:tbl>
    <w:p w14:paraId="56D9D28E">
      <w:pPr>
        <w:numPr>
          <w:ilvl w:val="0"/>
          <w:numId w:val="0"/>
        </w:num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3824"/>
      </w:tblGrid>
      <w:tr w14:paraId="7CE66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150" w:type="pct"/>
            <w:tcMar>
              <w:left w:w="28" w:type="dxa"/>
              <w:right w:w="28" w:type="dxa"/>
            </w:tcMar>
            <w:vAlign w:val="center"/>
          </w:tcPr>
          <w:p w14:paraId="726AA25F">
            <w:pPr>
              <w:adjustRightInd w:val="0"/>
              <w:snapToGrid w:val="0"/>
              <w:jc w:val="center"/>
              <w:rPr>
                <w:rFonts w:hint="default" w:ascii="Times New Roman" w:hAnsi="Times New Roman" w:eastAsia="宋体" w:cs="Times New Roman"/>
                <w:bCs/>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运营期环境影响和保护措施</w:t>
            </w:r>
          </w:p>
        </w:tc>
        <w:tc>
          <w:tcPr>
            <w:tcW w:w="4849" w:type="pct"/>
            <w:vAlign w:val="center"/>
          </w:tcPr>
          <w:p w14:paraId="7BAF903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14:textFill>
                  <w14:solidFill>
                    <w14:schemeClr w14:val="tx1"/>
                  </w14:solidFill>
                </w14:textFill>
              </w:rPr>
              <w:t>达标情况分析</w:t>
            </w:r>
          </w:p>
          <w:p w14:paraId="30B09B52">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（1）有组织废气</w:t>
            </w:r>
          </w:p>
          <w:p w14:paraId="5C94AD61">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本项目有组织废气排放情况见表4-</w:t>
            </w:r>
            <w:r>
              <w:rPr>
                <w:rFonts w:hint="eastAsia" w:ascii="Times New Roman" w:hAnsi="Times New Roman" w:eastAsia="宋体" w:cs="Times New Roman"/>
                <w:bCs/>
                <w:color w:val="000000" w:themeColor="text1"/>
                <w:sz w:val="24"/>
                <w:lang w:val="en-US" w:eastAsia="zh-CN"/>
                <w14:textFill>
                  <w14:solidFill>
                    <w14:schemeClr w14:val="tx1"/>
                  </w14:solidFill>
                </w14:textFill>
              </w:rPr>
              <w:t>7。</w:t>
            </w:r>
          </w:p>
          <w:p w14:paraId="44EFA9A7">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w:t>
            </w:r>
            <w:r>
              <w:rPr>
                <w:rFonts w:hint="eastAsia"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 xml:space="preserve">  本项目有组织废气排放源强表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10"/>
              <w:gridCol w:w="808"/>
              <w:gridCol w:w="1421"/>
              <w:gridCol w:w="724"/>
              <w:gridCol w:w="882"/>
              <w:gridCol w:w="865"/>
              <w:gridCol w:w="982"/>
              <w:gridCol w:w="996"/>
              <w:gridCol w:w="784"/>
              <w:gridCol w:w="748"/>
              <w:gridCol w:w="800"/>
              <w:gridCol w:w="691"/>
              <w:gridCol w:w="561"/>
              <w:gridCol w:w="1015"/>
              <w:gridCol w:w="653"/>
              <w:gridCol w:w="654"/>
            </w:tblGrid>
            <w:tr w14:paraId="5C2D7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71" w:type="pct"/>
                  <w:vMerge w:val="restart"/>
                  <w:tcBorders>
                    <w:tl2br w:val="nil"/>
                    <w:tr2bl w:val="nil"/>
                  </w:tcBorders>
                  <w:vAlign w:val="center"/>
                </w:tcPr>
                <w:p w14:paraId="3C8C7DD7">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污染源名称及编号</w:t>
                  </w:r>
                </w:p>
              </w:tc>
              <w:tc>
                <w:tcPr>
                  <w:tcW w:w="297" w:type="pct"/>
                  <w:vMerge w:val="restart"/>
                  <w:tcBorders>
                    <w:tl2br w:val="nil"/>
                    <w:tr2bl w:val="nil"/>
                  </w:tcBorders>
                  <w:vAlign w:val="center"/>
                </w:tcPr>
                <w:p w14:paraId="33E9D324">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废气量m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/h</w:t>
                  </w:r>
                </w:p>
              </w:tc>
              <w:tc>
                <w:tcPr>
                  <w:tcW w:w="522" w:type="pct"/>
                  <w:vMerge w:val="restart"/>
                  <w:tcBorders>
                    <w:tl2br w:val="nil"/>
                    <w:tr2bl w:val="nil"/>
                  </w:tcBorders>
                  <w:vAlign w:val="center"/>
                </w:tcPr>
                <w:p w14:paraId="0E07E6A3">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p w14:paraId="0B41D481">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908" w:type="pct"/>
                  <w:gridSpan w:val="3"/>
                  <w:tcBorders>
                    <w:tl2br w:val="nil"/>
                    <w:tr2bl w:val="nil"/>
                  </w:tcBorders>
                  <w:vAlign w:val="center"/>
                </w:tcPr>
                <w:p w14:paraId="67054F25">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产生情况</w:t>
                  </w:r>
                </w:p>
              </w:tc>
              <w:tc>
                <w:tcPr>
                  <w:tcW w:w="361" w:type="pct"/>
                  <w:vMerge w:val="restart"/>
                  <w:tcBorders>
                    <w:tl2br w:val="nil"/>
                    <w:tr2bl w:val="nil"/>
                  </w:tcBorders>
                  <w:vAlign w:val="center"/>
                </w:tcPr>
                <w:p w14:paraId="5DA39654">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366" w:type="pct"/>
                  <w:vMerge w:val="restart"/>
                  <w:tcBorders>
                    <w:tl2br w:val="nil"/>
                    <w:tr2bl w:val="nil"/>
                  </w:tcBorders>
                  <w:vAlign w:val="center"/>
                </w:tcPr>
                <w:p w14:paraId="0807051F">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去除率％</w:t>
                  </w:r>
                </w:p>
              </w:tc>
              <w:tc>
                <w:tcPr>
                  <w:tcW w:w="857" w:type="pct"/>
                  <w:gridSpan w:val="3"/>
                  <w:tcBorders>
                    <w:tl2br w:val="nil"/>
                    <w:tr2bl w:val="nil"/>
                  </w:tcBorders>
                  <w:vAlign w:val="center"/>
                </w:tcPr>
                <w:p w14:paraId="60A92211">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排放情况</w:t>
                  </w:r>
                </w:p>
              </w:tc>
              <w:tc>
                <w:tcPr>
                  <w:tcW w:w="460" w:type="pct"/>
                  <w:gridSpan w:val="2"/>
                  <w:tcBorders>
                    <w:tl2br w:val="nil"/>
                    <w:tr2bl w:val="nil"/>
                  </w:tcBorders>
                  <w:vAlign w:val="center"/>
                </w:tcPr>
                <w:p w14:paraId="3D9FE96B">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c>
                <w:tcPr>
                  <w:tcW w:w="373" w:type="pct"/>
                  <w:vMerge w:val="restart"/>
                  <w:tcBorders>
                    <w:tl2br w:val="nil"/>
                    <w:tr2bl w:val="nil"/>
                  </w:tcBorders>
                  <w:vAlign w:val="center"/>
                </w:tcPr>
                <w:p w14:paraId="30727E1B">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排气筒名称及编号</w:t>
                  </w:r>
                </w:p>
              </w:tc>
              <w:tc>
                <w:tcPr>
                  <w:tcW w:w="240" w:type="pct"/>
                  <w:vMerge w:val="restart"/>
                  <w:tcBorders>
                    <w:tl2br w:val="nil"/>
                    <w:tr2bl w:val="nil"/>
                  </w:tcBorders>
                  <w:vAlign w:val="center"/>
                </w:tcPr>
                <w:p w14:paraId="7EBA7330">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14:paraId="68F24E87">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方式</w:t>
                  </w:r>
                </w:p>
              </w:tc>
              <w:tc>
                <w:tcPr>
                  <w:tcW w:w="240" w:type="pct"/>
                  <w:vMerge w:val="restart"/>
                  <w:tcBorders>
                    <w:tl2br w:val="nil"/>
                    <w:tr2bl w:val="nil"/>
                  </w:tcBorders>
                  <w:vAlign w:val="center"/>
                </w:tcPr>
                <w:p w14:paraId="0E4CF85E">
                  <w:pPr>
                    <w:contextualSpacing/>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排放时间h</w:t>
                  </w:r>
                </w:p>
              </w:tc>
            </w:tr>
            <w:tr w14:paraId="7BCA5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71" w:type="pct"/>
                  <w:vMerge w:val="continue"/>
                  <w:tcBorders>
                    <w:tl2br w:val="nil"/>
                    <w:tr2bl w:val="nil"/>
                  </w:tcBorders>
                  <w:vAlign w:val="center"/>
                </w:tcPr>
                <w:p w14:paraId="165FC2A2">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97" w:type="pct"/>
                  <w:vMerge w:val="continue"/>
                  <w:tcBorders>
                    <w:tl2br w:val="nil"/>
                    <w:tr2bl w:val="nil"/>
                  </w:tcBorders>
                  <w:vAlign w:val="center"/>
                </w:tcPr>
                <w:p w14:paraId="0B4F3EA4">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22" w:type="pct"/>
                  <w:vMerge w:val="continue"/>
                  <w:tcBorders>
                    <w:tl2br w:val="nil"/>
                    <w:tr2bl w:val="nil"/>
                  </w:tcBorders>
                  <w:vAlign w:val="center"/>
                </w:tcPr>
                <w:p w14:paraId="4CF89763">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66" w:type="pct"/>
                  <w:tcBorders>
                    <w:tl2br w:val="nil"/>
                    <w:tr2bl w:val="nil"/>
                  </w:tcBorders>
                  <w:tcMar>
                    <w:top w:w="0" w:type="dxa"/>
                    <w:left w:w="28" w:type="dxa"/>
                    <w:bottom w:w="0" w:type="dxa"/>
                    <w:right w:w="28" w:type="dxa"/>
                  </w:tcMar>
                  <w:vAlign w:val="center"/>
                </w:tcPr>
                <w:p w14:paraId="1247FEC7">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324" w:type="pct"/>
                  <w:tcBorders>
                    <w:tl2br w:val="nil"/>
                    <w:tr2bl w:val="nil"/>
                  </w:tcBorders>
                  <w:tcMar>
                    <w:top w:w="0" w:type="dxa"/>
                    <w:left w:w="28" w:type="dxa"/>
                    <w:bottom w:w="0" w:type="dxa"/>
                    <w:right w:w="28" w:type="dxa"/>
                  </w:tcMar>
                  <w:vAlign w:val="center"/>
                </w:tcPr>
                <w:p w14:paraId="740F02B7">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c>
                <w:tcPr>
                  <w:tcW w:w="318" w:type="pct"/>
                  <w:tcBorders>
                    <w:tl2br w:val="nil"/>
                    <w:tr2bl w:val="nil"/>
                  </w:tcBorders>
                  <w:vAlign w:val="center"/>
                </w:tcPr>
                <w:p w14:paraId="1DF3D20B">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产生</w:t>
                  </w:r>
                  <w:r>
                    <w:rPr>
                      <w:rFonts w:hint="default" w:ascii="Times New Roman" w:hAnsi="Times New Roman" w:eastAsia="宋体" w:cs="Times New Roman"/>
                      <w:b/>
                      <w:bCs/>
                      <w:color w:val="000000" w:themeColor="text1"/>
                      <w:sz w:val="21"/>
                      <w:szCs w:val="21"/>
                      <w14:textFill>
                        <w14:solidFill>
                          <w14:schemeClr w14:val="tx1"/>
                        </w14:solidFill>
                      </w14:textFill>
                    </w:rPr>
                    <w:t>量t/a</w:t>
                  </w:r>
                </w:p>
              </w:tc>
              <w:tc>
                <w:tcPr>
                  <w:tcW w:w="361" w:type="pct"/>
                  <w:vMerge w:val="continue"/>
                  <w:tcBorders>
                    <w:tl2br w:val="nil"/>
                    <w:tr2bl w:val="nil"/>
                  </w:tcBorders>
                  <w:vAlign w:val="center"/>
                </w:tcPr>
                <w:p w14:paraId="786B8454">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66" w:type="pct"/>
                  <w:vMerge w:val="continue"/>
                  <w:tcBorders>
                    <w:tl2br w:val="nil"/>
                    <w:tr2bl w:val="nil"/>
                  </w:tcBorders>
                  <w:vAlign w:val="center"/>
                </w:tcPr>
                <w:p w14:paraId="61CF70D6">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88" w:type="pct"/>
                  <w:tcBorders>
                    <w:tl2br w:val="nil"/>
                    <w:tr2bl w:val="nil"/>
                  </w:tcBorders>
                  <w:vAlign w:val="center"/>
                </w:tcPr>
                <w:p w14:paraId="2BC09EC6">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275" w:type="pct"/>
                  <w:tcBorders>
                    <w:tl2br w:val="nil"/>
                    <w:tr2bl w:val="nil"/>
                  </w:tcBorders>
                  <w:vAlign w:val="center"/>
                </w:tcPr>
                <w:p w14:paraId="46E76AC8">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c>
                <w:tcPr>
                  <w:tcW w:w="294" w:type="pct"/>
                  <w:tcBorders>
                    <w:tl2br w:val="nil"/>
                    <w:tr2bl w:val="nil"/>
                  </w:tcBorders>
                  <w:vAlign w:val="center"/>
                </w:tcPr>
                <w:p w14:paraId="010E3D2B">
                  <w:pPr>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排放</w:t>
                  </w:r>
                  <w:r>
                    <w:rPr>
                      <w:rFonts w:hint="default" w:ascii="Times New Roman" w:hAnsi="Times New Roman" w:eastAsia="宋体" w:cs="Times New Roman"/>
                      <w:b/>
                      <w:bCs/>
                      <w:color w:val="000000" w:themeColor="text1"/>
                      <w:sz w:val="21"/>
                      <w:szCs w:val="21"/>
                      <w14:textFill>
                        <w14:solidFill>
                          <w14:schemeClr w14:val="tx1"/>
                        </w14:solidFill>
                      </w14:textFill>
                    </w:rPr>
                    <w:t>量t/a</w:t>
                  </w:r>
                </w:p>
              </w:tc>
              <w:tc>
                <w:tcPr>
                  <w:tcW w:w="254" w:type="pct"/>
                  <w:tcBorders>
                    <w:tl2br w:val="nil"/>
                    <w:tr2bl w:val="nil"/>
                  </w:tcBorders>
                  <w:vAlign w:val="center"/>
                </w:tcPr>
                <w:p w14:paraId="733222A3">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206" w:type="pct"/>
                  <w:tcBorders>
                    <w:tl2br w:val="nil"/>
                    <w:tr2bl w:val="nil"/>
                  </w:tcBorders>
                  <w:vAlign w:val="center"/>
                </w:tcPr>
                <w:p w14:paraId="04780106">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c>
                <w:tcPr>
                  <w:tcW w:w="373" w:type="pct"/>
                  <w:vMerge w:val="continue"/>
                  <w:tcBorders>
                    <w:tl2br w:val="nil"/>
                    <w:tr2bl w:val="nil"/>
                  </w:tcBorders>
                  <w:vAlign w:val="center"/>
                </w:tcPr>
                <w:p w14:paraId="40295D79">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40" w:type="pct"/>
                  <w:vMerge w:val="continue"/>
                  <w:tcBorders>
                    <w:tl2br w:val="nil"/>
                    <w:tr2bl w:val="nil"/>
                  </w:tcBorders>
                  <w:vAlign w:val="center"/>
                </w:tcPr>
                <w:p w14:paraId="64E0F348">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40" w:type="pct"/>
                  <w:vMerge w:val="continue"/>
                  <w:tcBorders>
                    <w:tl2br w:val="nil"/>
                    <w:tr2bl w:val="nil"/>
                  </w:tcBorders>
                  <w:vAlign w:val="center"/>
                </w:tcPr>
                <w:p w14:paraId="54D26BEC">
                  <w:pPr>
                    <w:contextualSpacing/>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2F05F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52" w:hRule="atLeast"/>
                <w:jc w:val="center"/>
              </w:trPr>
              <w:tc>
                <w:tcPr>
                  <w:tcW w:w="371" w:type="pct"/>
                  <w:vMerge w:val="restart"/>
                  <w:tcBorders>
                    <w:tl2br w:val="nil"/>
                    <w:tr2bl w:val="nil"/>
                  </w:tcBorders>
                  <w:vAlign w:val="center"/>
                </w:tcPr>
                <w:p w14:paraId="423F9560">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清洗线（酸洗、铜保护）</w:t>
                  </w:r>
                </w:p>
              </w:tc>
              <w:tc>
                <w:tcPr>
                  <w:tcW w:w="297" w:type="pct"/>
                  <w:vMerge w:val="restart"/>
                  <w:tcBorders>
                    <w:tl2br w:val="nil"/>
                    <w:tr2bl w:val="nil"/>
                  </w:tcBorders>
                  <w:vAlign w:val="center"/>
                </w:tcPr>
                <w:p w14:paraId="51A3B26D">
                  <w:pPr>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c>
                <w:tcPr>
                  <w:tcW w:w="522" w:type="pct"/>
                  <w:tcBorders>
                    <w:tl2br w:val="nil"/>
                    <w:tr2bl w:val="nil"/>
                  </w:tcBorders>
                  <w:vAlign w:val="center"/>
                </w:tcPr>
                <w:p w14:paraId="6FDF9093">
                  <w:pPr>
                    <w:contextualSpacing/>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硫酸雾</w:t>
                  </w:r>
                </w:p>
              </w:tc>
              <w:tc>
                <w:tcPr>
                  <w:tcW w:w="705" w:type="dxa"/>
                  <w:tcBorders>
                    <w:tl2br w:val="nil"/>
                    <w:tr2bl w:val="nil"/>
                  </w:tcBorders>
                  <w:tcMar>
                    <w:top w:w="0" w:type="dxa"/>
                    <w:left w:w="28" w:type="dxa"/>
                    <w:bottom w:w="0" w:type="dxa"/>
                    <w:right w:w="28" w:type="dxa"/>
                  </w:tcMar>
                  <w:vAlign w:val="center"/>
                </w:tcPr>
                <w:p w14:paraId="26CCDE52">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47.67 </w:t>
                  </w:r>
                </w:p>
              </w:tc>
              <w:tc>
                <w:tcPr>
                  <w:tcW w:w="858" w:type="dxa"/>
                  <w:tcBorders>
                    <w:tl2br w:val="nil"/>
                    <w:tr2bl w:val="nil"/>
                  </w:tcBorders>
                  <w:tcMar>
                    <w:top w:w="0" w:type="dxa"/>
                    <w:left w:w="28" w:type="dxa"/>
                    <w:bottom w:w="0" w:type="dxa"/>
                    <w:right w:w="28" w:type="dxa"/>
                  </w:tcMar>
                  <w:vAlign w:val="center"/>
                </w:tcPr>
                <w:p w14:paraId="57240A4A">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0.048 </w:t>
                  </w:r>
                </w:p>
              </w:tc>
              <w:tc>
                <w:tcPr>
                  <w:tcW w:w="842" w:type="dxa"/>
                  <w:tcBorders>
                    <w:tl2br w:val="nil"/>
                    <w:tr2bl w:val="nil"/>
                  </w:tcBorders>
                  <w:shd w:val="clear" w:color="auto" w:fill="auto"/>
                  <w:vAlign w:val="center"/>
                </w:tcPr>
                <w:p w14:paraId="4B7D9509">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0.143</w:t>
                  </w:r>
                </w:p>
              </w:tc>
              <w:tc>
                <w:tcPr>
                  <w:tcW w:w="361" w:type="pct"/>
                  <w:vMerge w:val="restart"/>
                  <w:tcBorders>
                    <w:tl2br w:val="nil"/>
                    <w:tr2bl w:val="nil"/>
                  </w:tcBorders>
                  <w:vAlign w:val="center"/>
                </w:tcPr>
                <w:p w14:paraId="45D85DD7">
                  <w:pPr>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碱喷淋塔+除雾器+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二级活性炭吸附装置</w:t>
                  </w:r>
                </w:p>
              </w:tc>
              <w:tc>
                <w:tcPr>
                  <w:tcW w:w="366" w:type="pct"/>
                  <w:tcBorders>
                    <w:tl2br w:val="nil"/>
                    <w:tr2bl w:val="nil"/>
                  </w:tcBorders>
                  <w:vAlign w:val="center"/>
                </w:tcPr>
                <w:p w14:paraId="1ACDBA31">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63" w:type="dxa"/>
                  <w:tcBorders>
                    <w:tl2br w:val="nil"/>
                    <w:tr2bl w:val="nil"/>
                  </w:tcBorders>
                  <w:vAlign w:val="center"/>
                </w:tcPr>
                <w:p w14:paraId="23F7232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4.77 </w:t>
                  </w:r>
                </w:p>
              </w:tc>
              <w:tc>
                <w:tcPr>
                  <w:tcW w:w="728" w:type="dxa"/>
                  <w:tcBorders>
                    <w:tl2br w:val="nil"/>
                    <w:tr2bl w:val="nil"/>
                  </w:tcBorders>
                  <w:vAlign w:val="center"/>
                </w:tcPr>
                <w:p w14:paraId="4EBD1E3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0.005 </w:t>
                  </w:r>
                </w:p>
              </w:tc>
              <w:tc>
                <w:tcPr>
                  <w:tcW w:w="779" w:type="dxa"/>
                  <w:tcBorders>
                    <w:tl2br w:val="nil"/>
                    <w:tr2bl w:val="nil"/>
                  </w:tcBorders>
                  <w:vAlign w:val="center"/>
                </w:tcPr>
                <w:p w14:paraId="4A2849E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0.014 </w:t>
                  </w:r>
                </w:p>
              </w:tc>
              <w:tc>
                <w:tcPr>
                  <w:tcW w:w="254" w:type="pct"/>
                  <w:tcBorders>
                    <w:tl2br w:val="nil"/>
                    <w:tr2bl w:val="nil"/>
                  </w:tcBorders>
                  <w:vAlign w:val="center"/>
                </w:tcPr>
                <w:p w14:paraId="2B35D027">
                  <w:pPr>
                    <w:widowControl/>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206" w:type="pct"/>
                  <w:tcBorders>
                    <w:tl2br w:val="nil"/>
                    <w:tr2bl w:val="nil"/>
                  </w:tcBorders>
                  <w:vAlign w:val="center"/>
                </w:tcPr>
                <w:p w14:paraId="4629C352">
                  <w:pPr>
                    <w:widowControl/>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1.1</w:t>
                  </w:r>
                </w:p>
              </w:tc>
              <w:tc>
                <w:tcPr>
                  <w:tcW w:w="373" w:type="pct"/>
                  <w:vMerge w:val="restart"/>
                  <w:tcBorders>
                    <w:tl2br w:val="nil"/>
                    <w:tr2bl w:val="nil"/>
                  </w:tcBorders>
                  <w:vAlign w:val="center"/>
                </w:tcPr>
                <w:p w14:paraId="58980E29">
                  <w:pPr>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m高排气筒DA00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40" w:type="pct"/>
                  <w:vMerge w:val="restart"/>
                  <w:tcBorders>
                    <w:tl2br w:val="nil"/>
                    <w:tr2bl w:val="nil"/>
                  </w:tcBorders>
                  <w:vAlign w:val="center"/>
                </w:tcPr>
                <w:p w14:paraId="46B536CE">
                  <w:pPr>
                    <w:contextualSpacing/>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间断排放</w:t>
                  </w:r>
                </w:p>
              </w:tc>
              <w:tc>
                <w:tcPr>
                  <w:tcW w:w="240" w:type="pct"/>
                  <w:vMerge w:val="restart"/>
                  <w:tcBorders>
                    <w:tl2br w:val="nil"/>
                    <w:tr2bl w:val="nil"/>
                  </w:tcBorders>
                  <w:vAlign w:val="center"/>
                </w:tcPr>
                <w:p w14:paraId="0B2006DB">
                  <w:pPr>
                    <w:contextualSpacing/>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3000</w:t>
                  </w:r>
                </w:p>
              </w:tc>
            </w:tr>
            <w:tr w14:paraId="5F57D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371" w:type="pct"/>
                  <w:vMerge w:val="continue"/>
                  <w:tcBorders>
                    <w:tl2br w:val="nil"/>
                    <w:tr2bl w:val="nil"/>
                  </w:tcBorders>
                  <w:vAlign w:val="center"/>
                </w:tcPr>
                <w:p w14:paraId="3A61D7C3">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7" w:type="pct"/>
                  <w:vMerge w:val="continue"/>
                  <w:tcBorders>
                    <w:tl2br w:val="nil"/>
                    <w:tr2bl w:val="nil"/>
                  </w:tcBorders>
                  <w:vAlign w:val="center"/>
                </w:tcPr>
                <w:p w14:paraId="5F287493">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2" w:type="pct"/>
                  <w:tcBorders>
                    <w:tl2br w:val="nil"/>
                    <w:tr2bl w:val="nil"/>
                  </w:tcBorders>
                  <w:vAlign w:val="center"/>
                </w:tcPr>
                <w:p w14:paraId="10C6087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p>
              </w:tc>
              <w:tc>
                <w:tcPr>
                  <w:tcW w:w="705" w:type="dxa"/>
                  <w:tcBorders>
                    <w:tl2br w:val="nil"/>
                    <w:tr2bl w:val="nil"/>
                  </w:tcBorders>
                  <w:tcMar>
                    <w:top w:w="0" w:type="dxa"/>
                    <w:left w:w="28" w:type="dxa"/>
                    <w:bottom w:w="0" w:type="dxa"/>
                    <w:right w:w="28" w:type="dxa"/>
                  </w:tcMar>
                  <w:vAlign w:val="center"/>
                </w:tcPr>
                <w:p w14:paraId="50BD5CB6">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96.33 </w:t>
                  </w:r>
                </w:p>
              </w:tc>
              <w:tc>
                <w:tcPr>
                  <w:tcW w:w="858" w:type="dxa"/>
                  <w:tcBorders>
                    <w:tl2br w:val="nil"/>
                    <w:tr2bl w:val="nil"/>
                  </w:tcBorders>
                  <w:tcMar>
                    <w:top w:w="0" w:type="dxa"/>
                    <w:left w:w="28" w:type="dxa"/>
                    <w:bottom w:w="0" w:type="dxa"/>
                    <w:right w:w="28" w:type="dxa"/>
                  </w:tcMar>
                  <w:vAlign w:val="center"/>
                </w:tcPr>
                <w:p w14:paraId="5C56B2E5">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0.096 </w:t>
                  </w:r>
                </w:p>
              </w:tc>
              <w:tc>
                <w:tcPr>
                  <w:tcW w:w="842" w:type="dxa"/>
                  <w:tcBorders>
                    <w:tl2br w:val="nil"/>
                    <w:tr2bl w:val="nil"/>
                  </w:tcBorders>
                  <w:shd w:val="clear" w:color="auto" w:fill="auto"/>
                  <w:vAlign w:val="center"/>
                </w:tcPr>
                <w:p w14:paraId="537431C4">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0.289</w:t>
                  </w:r>
                </w:p>
              </w:tc>
              <w:tc>
                <w:tcPr>
                  <w:tcW w:w="361" w:type="pct"/>
                  <w:vMerge w:val="continue"/>
                  <w:tcBorders>
                    <w:tl2br w:val="nil"/>
                    <w:tr2bl w:val="nil"/>
                  </w:tcBorders>
                  <w:vAlign w:val="center"/>
                </w:tcPr>
                <w:p w14:paraId="27DB5C1C">
                  <w:pPr>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66" w:type="pct"/>
                  <w:tcBorders>
                    <w:tl2br w:val="nil"/>
                    <w:tr2bl w:val="nil"/>
                  </w:tcBorders>
                  <w:vAlign w:val="center"/>
                </w:tcPr>
                <w:p w14:paraId="4A7743E4">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63" w:type="dxa"/>
                  <w:tcBorders>
                    <w:tl2br w:val="nil"/>
                    <w:tr2bl w:val="nil"/>
                  </w:tcBorders>
                  <w:vAlign w:val="center"/>
                </w:tcPr>
                <w:p w14:paraId="0EB566DA">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9.63 </w:t>
                  </w:r>
                </w:p>
              </w:tc>
              <w:tc>
                <w:tcPr>
                  <w:tcW w:w="728" w:type="dxa"/>
                  <w:tcBorders>
                    <w:tl2br w:val="nil"/>
                    <w:tr2bl w:val="nil"/>
                  </w:tcBorders>
                  <w:shd w:val="clear" w:color="auto" w:fill="auto"/>
                  <w:vAlign w:val="center"/>
                </w:tcPr>
                <w:p w14:paraId="408B52F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0.010 </w:t>
                  </w:r>
                </w:p>
              </w:tc>
              <w:tc>
                <w:tcPr>
                  <w:tcW w:w="779" w:type="dxa"/>
                  <w:tcBorders>
                    <w:tl2br w:val="nil"/>
                    <w:tr2bl w:val="nil"/>
                  </w:tcBorders>
                  <w:shd w:val="clear" w:color="auto" w:fill="auto"/>
                  <w:vAlign w:val="center"/>
                </w:tcPr>
                <w:p w14:paraId="6DAA46D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0.029 </w:t>
                  </w:r>
                </w:p>
              </w:tc>
              <w:tc>
                <w:tcPr>
                  <w:tcW w:w="254" w:type="pct"/>
                  <w:tcBorders>
                    <w:tl2br w:val="nil"/>
                    <w:tr2bl w:val="nil"/>
                  </w:tcBorders>
                  <w:vAlign w:val="center"/>
                </w:tcPr>
                <w:p w14:paraId="5E05F3F0">
                  <w:pPr>
                    <w:widowControl/>
                    <w:adjustRightInd w:val="0"/>
                    <w:snapToGri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60</w:t>
                  </w:r>
                </w:p>
              </w:tc>
              <w:tc>
                <w:tcPr>
                  <w:tcW w:w="206" w:type="pct"/>
                  <w:tcBorders>
                    <w:tl2br w:val="nil"/>
                    <w:tr2bl w:val="nil"/>
                  </w:tcBorders>
                  <w:vAlign w:val="center"/>
                </w:tcPr>
                <w:p w14:paraId="6AAACE64">
                  <w:pPr>
                    <w:widowControl/>
                    <w:adjustRightInd w:val="0"/>
                    <w:snapToGrid w:val="0"/>
                    <w:spacing w:line="28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373" w:type="pct"/>
                  <w:vMerge w:val="continue"/>
                  <w:tcBorders>
                    <w:tl2br w:val="nil"/>
                    <w:tr2bl w:val="nil"/>
                  </w:tcBorders>
                  <w:vAlign w:val="center"/>
                </w:tcPr>
                <w:p w14:paraId="5BE21B73">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40" w:type="pct"/>
                  <w:vMerge w:val="continue"/>
                  <w:tcBorders>
                    <w:tl2br w:val="nil"/>
                    <w:tr2bl w:val="nil"/>
                  </w:tcBorders>
                  <w:vAlign w:val="center"/>
                </w:tcPr>
                <w:p w14:paraId="3869A57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240" w:type="pct"/>
                  <w:vMerge w:val="continue"/>
                  <w:tcBorders>
                    <w:tl2br w:val="nil"/>
                    <w:tr2bl w:val="nil"/>
                  </w:tcBorders>
                  <w:vAlign w:val="center"/>
                </w:tcPr>
                <w:p w14:paraId="22F88C0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40EA2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371" w:type="pct"/>
                  <w:vMerge w:val="continue"/>
                  <w:tcBorders>
                    <w:tl2br w:val="nil"/>
                    <w:tr2bl w:val="nil"/>
                  </w:tcBorders>
                  <w:vAlign w:val="center"/>
                </w:tcPr>
                <w:p w14:paraId="740D0C85">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7" w:type="pct"/>
                  <w:vMerge w:val="continue"/>
                  <w:tcBorders>
                    <w:tl2br w:val="nil"/>
                    <w:tr2bl w:val="nil"/>
                  </w:tcBorders>
                  <w:vAlign w:val="center"/>
                </w:tcPr>
                <w:p w14:paraId="045DF57F">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2" w:type="pct"/>
                  <w:tcBorders>
                    <w:tl2br w:val="nil"/>
                    <w:tr2bl w:val="nil"/>
                  </w:tcBorders>
                  <w:vAlign w:val="center"/>
                </w:tcPr>
                <w:p w14:paraId="57BEB9D4">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705" w:type="dxa"/>
                  <w:tcBorders>
                    <w:tl2br w:val="nil"/>
                    <w:tr2bl w:val="nil"/>
                  </w:tcBorders>
                  <w:shd w:val="clear" w:color="auto" w:fill="auto"/>
                  <w:tcMar>
                    <w:top w:w="0" w:type="dxa"/>
                    <w:left w:w="28" w:type="dxa"/>
                    <w:bottom w:w="0" w:type="dxa"/>
                    <w:right w:w="28" w:type="dxa"/>
                  </w:tcMar>
                  <w:vAlign w:val="center"/>
                </w:tcPr>
                <w:p w14:paraId="10747F5D">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41.33 </w:t>
                  </w:r>
                </w:p>
              </w:tc>
              <w:tc>
                <w:tcPr>
                  <w:tcW w:w="858" w:type="dxa"/>
                  <w:tcBorders>
                    <w:tl2br w:val="nil"/>
                    <w:tr2bl w:val="nil"/>
                  </w:tcBorders>
                  <w:shd w:val="clear" w:color="auto" w:fill="auto"/>
                  <w:tcMar>
                    <w:top w:w="0" w:type="dxa"/>
                    <w:left w:w="28" w:type="dxa"/>
                    <w:bottom w:w="0" w:type="dxa"/>
                    <w:right w:w="28" w:type="dxa"/>
                  </w:tcMar>
                  <w:vAlign w:val="center"/>
                </w:tcPr>
                <w:p w14:paraId="0994D6E9">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0.041 </w:t>
                  </w:r>
                </w:p>
              </w:tc>
              <w:tc>
                <w:tcPr>
                  <w:tcW w:w="842" w:type="dxa"/>
                  <w:tcBorders>
                    <w:tl2br w:val="nil"/>
                    <w:tr2bl w:val="nil"/>
                  </w:tcBorders>
                  <w:shd w:val="clear" w:color="auto" w:fill="auto"/>
                  <w:vAlign w:val="center"/>
                </w:tcPr>
                <w:p w14:paraId="027076D5">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0.124</w:t>
                  </w:r>
                </w:p>
              </w:tc>
              <w:tc>
                <w:tcPr>
                  <w:tcW w:w="361" w:type="pct"/>
                  <w:vMerge w:val="continue"/>
                  <w:tcBorders>
                    <w:tl2br w:val="nil"/>
                    <w:tr2bl w:val="nil"/>
                  </w:tcBorders>
                  <w:vAlign w:val="center"/>
                </w:tcPr>
                <w:p w14:paraId="30DFF0E4">
                  <w:pPr>
                    <w:contextualSpacing/>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66" w:type="pct"/>
                  <w:tcBorders>
                    <w:tl2br w:val="nil"/>
                    <w:tr2bl w:val="nil"/>
                  </w:tcBorders>
                  <w:vAlign w:val="center"/>
                </w:tcPr>
                <w:p w14:paraId="57897EAF">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63" w:type="dxa"/>
                  <w:tcBorders>
                    <w:tl2br w:val="nil"/>
                    <w:tr2bl w:val="nil"/>
                  </w:tcBorders>
                  <w:shd w:val="clear" w:color="auto" w:fill="auto"/>
                  <w:vAlign w:val="center"/>
                </w:tcPr>
                <w:p w14:paraId="4FAE4D66">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4.13 </w:t>
                  </w:r>
                </w:p>
              </w:tc>
              <w:tc>
                <w:tcPr>
                  <w:tcW w:w="728" w:type="dxa"/>
                  <w:tcBorders>
                    <w:tl2br w:val="nil"/>
                    <w:tr2bl w:val="nil"/>
                  </w:tcBorders>
                  <w:shd w:val="clear" w:color="auto" w:fill="auto"/>
                  <w:vAlign w:val="center"/>
                </w:tcPr>
                <w:p w14:paraId="28A5F21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779" w:type="dxa"/>
                  <w:tcBorders>
                    <w:tl2br w:val="nil"/>
                    <w:tr2bl w:val="nil"/>
                  </w:tcBorders>
                  <w:shd w:val="clear" w:color="auto" w:fill="auto"/>
                  <w:vAlign w:val="center"/>
                </w:tcPr>
                <w:p w14:paraId="710E83E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0.012 </w:t>
                  </w:r>
                </w:p>
              </w:tc>
              <w:tc>
                <w:tcPr>
                  <w:tcW w:w="254" w:type="pct"/>
                  <w:tcBorders>
                    <w:tl2br w:val="nil"/>
                    <w:tr2bl w:val="nil"/>
                  </w:tcBorders>
                  <w:shd w:val="clear" w:color="auto" w:fill="auto"/>
                  <w:vAlign w:val="center"/>
                </w:tcPr>
                <w:p w14:paraId="20EC2CB3">
                  <w:pPr>
                    <w:widowControl/>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206" w:type="pct"/>
                  <w:tcBorders>
                    <w:tl2br w:val="nil"/>
                    <w:tr2bl w:val="nil"/>
                  </w:tcBorders>
                  <w:shd w:val="clear" w:color="auto" w:fill="auto"/>
                  <w:vAlign w:val="center"/>
                </w:tcPr>
                <w:p w14:paraId="527B2D44">
                  <w:pPr>
                    <w:widowControl/>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1.8</w:t>
                  </w:r>
                </w:p>
              </w:tc>
              <w:tc>
                <w:tcPr>
                  <w:tcW w:w="373" w:type="pct"/>
                  <w:vMerge w:val="continue"/>
                  <w:tcBorders>
                    <w:tl2br w:val="nil"/>
                    <w:tr2bl w:val="nil"/>
                  </w:tcBorders>
                  <w:vAlign w:val="center"/>
                </w:tcPr>
                <w:p w14:paraId="50034D16">
                  <w:pPr>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40" w:type="pct"/>
                  <w:vMerge w:val="continue"/>
                  <w:tcBorders>
                    <w:tl2br w:val="nil"/>
                    <w:tr2bl w:val="nil"/>
                  </w:tcBorders>
                  <w:vAlign w:val="center"/>
                </w:tcPr>
                <w:p w14:paraId="0D7FFB0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240" w:type="pct"/>
                  <w:vMerge w:val="continue"/>
                  <w:tcBorders>
                    <w:tl2br w:val="nil"/>
                    <w:tr2bl w:val="nil"/>
                  </w:tcBorders>
                  <w:vAlign w:val="center"/>
                </w:tcPr>
                <w:p w14:paraId="4BE62B9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bl>
          <w:p w14:paraId="04382C7E">
            <w:pPr>
              <w:adjustRightInd w:val="0"/>
              <w:snapToGrid w:val="0"/>
              <w:spacing w:before="120" w:beforeLines="50"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由上表可知，DA00</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14:textFill>
                  <w14:solidFill>
                    <w14:schemeClr w14:val="tx1"/>
                  </w14:solidFill>
                </w14:textFill>
              </w:rPr>
              <w:t>排气筒中</w:t>
            </w:r>
            <w:r>
              <w:rPr>
                <w:rFonts w:hint="eastAsia" w:ascii="Times New Roman" w:hAnsi="Times New Roman" w:eastAsia="宋体" w:cs="Times New Roman"/>
                <w:bCs/>
                <w:color w:val="000000" w:themeColor="text1"/>
                <w:sz w:val="24"/>
                <w:lang w:val="en-US" w:eastAsia="zh-CN"/>
                <w14:textFill>
                  <w14:solidFill>
                    <w14:schemeClr w14:val="tx1"/>
                  </w14:solidFill>
                </w14:textFill>
              </w:rPr>
              <w:t>硫酸雾、甲醇、非甲烷总烃排放速率、</w:t>
            </w:r>
            <w:r>
              <w:rPr>
                <w:rFonts w:hint="default" w:ascii="Times New Roman" w:hAnsi="Times New Roman" w:eastAsia="宋体" w:cs="Times New Roman"/>
                <w:color w:val="000000" w:themeColor="text1"/>
                <w:spacing w:val="4"/>
                <w:sz w:val="24"/>
                <w14:textFill>
                  <w14:solidFill>
                    <w14:schemeClr w14:val="tx1"/>
                  </w14:solidFill>
                </w14:textFill>
              </w:rPr>
              <w:t>排放浓度可</w:t>
            </w:r>
            <w:r>
              <w:rPr>
                <w:rFonts w:hint="default" w:ascii="Times New Roman" w:hAnsi="Times New Roman" w:eastAsia="宋体" w:cs="Times New Roman"/>
                <w:color w:val="000000" w:themeColor="text1"/>
                <w:sz w:val="24"/>
                <w14:textFill>
                  <w14:solidFill>
                    <w14:schemeClr w14:val="tx1"/>
                  </w14:solidFill>
                </w14:textFill>
              </w:rPr>
              <w:t>满足</w:t>
            </w:r>
            <w:r>
              <w:rPr>
                <w:rFonts w:hint="default" w:ascii="Times New Roman" w:hAnsi="Times New Roman" w:eastAsia="宋体" w:cs="Times New Roman"/>
                <w:color w:val="000000" w:themeColor="text1"/>
                <w:sz w:val="24"/>
                <w:lang w:val="en-US" w:eastAsia="zh-CN"/>
                <w14:textFill>
                  <w14:solidFill>
                    <w14:schemeClr w14:val="tx1"/>
                  </w14:solidFill>
                </w14:textFill>
              </w:rPr>
              <w:t>江苏省地标《大气污染物综合排放标准》（DB32/4041-2021）表1中限值要求</w:t>
            </w:r>
            <w:r>
              <w:rPr>
                <w:rFonts w:hint="default" w:ascii="Times New Roman" w:hAnsi="Times New Roman" w:eastAsia="宋体" w:cs="Times New Roman"/>
                <w:bCs/>
                <w:color w:val="000000" w:themeColor="text1"/>
                <w:sz w:val="24"/>
                <w14:textFill>
                  <w14:solidFill>
                    <w14:schemeClr w14:val="tx1"/>
                  </w14:solidFill>
                </w14:textFill>
              </w:rPr>
              <w:t>，均能达标排放。</w:t>
            </w:r>
          </w:p>
          <w:p w14:paraId="56452735">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w:t>
            </w:r>
            <w:r>
              <w:rPr>
                <w:rFonts w:hint="eastAsia"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 xml:space="preserve">  本排气筒参数</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1731"/>
              <w:gridCol w:w="1442"/>
              <w:gridCol w:w="1671"/>
              <w:gridCol w:w="1129"/>
              <w:gridCol w:w="1753"/>
              <w:gridCol w:w="1222"/>
              <w:gridCol w:w="1821"/>
              <w:gridCol w:w="1125"/>
            </w:tblGrid>
            <w:tr w14:paraId="3532C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vMerge w:val="restart"/>
                  <w:vAlign w:val="center"/>
                </w:tcPr>
                <w:p w14:paraId="2147DE85">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排气筒名称</w:t>
                  </w:r>
                </w:p>
              </w:tc>
              <w:tc>
                <w:tcPr>
                  <w:tcW w:w="1166" w:type="pct"/>
                  <w:gridSpan w:val="2"/>
                  <w:vAlign w:val="center"/>
                </w:tcPr>
                <w:p w14:paraId="3934D697">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排气筒底部坐标</w:t>
                  </w:r>
                </w:p>
              </w:tc>
              <w:tc>
                <w:tcPr>
                  <w:tcW w:w="614" w:type="pct"/>
                  <w:vMerge w:val="restart"/>
                  <w:vAlign w:val="center"/>
                </w:tcPr>
                <w:p w14:paraId="21AC84E5">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排气筒底部海拔高度（m）</w:t>
                  </w:r>
                </w:p>
              </w:tc>
              <w:tc>
                <w:tcPr>
                  <w:tcW w:w="2177" w:type="pct"/>
                  <w:gridSpan w:val="4"/>
                  <w:vAlign w:val="center"/>
                </w:tcPr>
                <w:p w14:paraId="44AD09BB">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排气筒参数</w:t>
                  </w:r>
                </w:p>
              </w:tc>
              <w:tc>
                <w:tcPr>
                  <w:tcW w:w="413" w:type="pct"/>
                  <w:vMerge w:val="restart"/>
                  <w:vAlign w:val="center"/>
                </w:tcPr>
                <w:p w14:paraId="5A20FF10">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排气筒类型</w:t>
                  </w:r>
                </w:p>
              </w:tc>
            </w:tr>
            <w:tr w14:paraId="2FED3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vMerge w:val="continue"/>
                  <w:vAlign w:val="center"/>
                </w:tcPr>
                <w:p w14:paraId="672F2A9D">
                  <w:pPr>
                    <w:widowControl/>
                    <w:jc w:val="left"/>
                    <w:rPr>
                      <w:rFonts w:hint="default" w:ascii="Times New Roman" w:hAnsi="Times New Roman" w:eastAsia="宋体" w:cs="Times New Roman"/>
                      <w:b/>
                      <w:bCs/>
                      <w:color w:val="000000" w:themeColor="text1"/>
                      <w:szCs w:val="21"/>
                      <w14:textFill>
                        <w14:solidFill>
                          <w14:schemeClr w14:val="tx1"/>
                        </w14:solidFill>
                      </w14:textFill>
                    </w:rPr>
                  </w:pPr>
                </w:p>
              </w:tc>
              <w:tc>
                <w:tcPr>
                  <w:tcW w:w="636" w:type="pct"/>
                  <w:vAlign w:val="center"/>
                </w:tcPr>
                <w:p w14:paraId="3E47E79A">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经度（°）</w:t>
                  </w:r>
                </w:p>
              </w:tc>
              <w:tc>
                <w:tcPr>
                  <w:tcW w:w="530" w:type="pct"/>
                  <w:vAlign w:val="center"/>
                </w:tcPr>
                <w:p w14:paraId="090DB9C7">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纬度（°）</w:t>
                  </w:r>
                </w:p>
              </w:tc>
              <w:tc>
                <w:tcPr>
                  <w:tcW w:w="614" w:type="pct"/>
                  <w:vMerge w:val="continue"/>
                  <w:vAlign w:val="center"/>
                </w:tcPr>
                <w:p w14:paraId="71E1F093">
                  <w:pPr>
                    <w:widowControl/>
                    <w:jc w:val="left"/>
                    <w:rPr>
                      <w:rFonts w:hint="default" w:ascii="Times New Roman" w:hAnsi="Times New Roman" w:eastAsia="宋体" w:cs="Times New Roman"/>
                      <w:b/>
                      <w:bCs/>
                      <w:color w:val="000000" w:themeColor="text1"/>
                      <w:szCs w:val="21"/>
                      <w14:textFill>
                        <w14:solidFill>
                          <w14:schemeClr w14:val="tx1"/>
                        </w14:solidFill>
                      </w14:textFill>
                    </w:rPr>
                  </w:pPr>
                </w:p>
              </w:tc>
              <w:tc>
                <w:tcPr>
                  <w:tcW w:w="415" w:type="pct"/>
                  <w:vAlign w:val="center"/>
                </w:tcPr>
                <w:p w14:paraId="15873605">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高度（m）</w:t>
                  </w:r>
                </w:p>
              </w:tc>
              <w:tc>
                <w:tcPr>
                  <w:tcW w:w="644" w:type="pct"/>
                  <w:vAlign w:val="center"/>
                </w:tcPr>
                <w:p w14:paraId="0A0E7486">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出口内径（m）</w:t>
                  </w:r>
                </w:p>
              </w:tc>
              <w:tc>
                <w:tcPr>
                  <w:tcW w:w="449" w:type="pct"/>
                  <w:vAlign w:val="center"/>
                </w:tcPr>
                <w:p w14:paraId="3B78D9DA">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温度（</w:t>
                  </w:r>
                  <w:r>
                    <w:rPr>
                      <w:rFonts w:hint="default" w:ascii="Times New Roman" w:hAnsi="Times New Roman" w:eastAsia="宋体" w:cs="Times New Roman"/>
                      <w:b/>
                      <w:bCs/>
                      <w:color w:val="000000" w:themeColor="text1"/>
                      <w:sz w:val="18"/>
                      <w:szCs w:val="18"/>
                      <w14:textFill>
                        <w14:solidFill>
                          <w14:schemeClr w14:val="tx1"/>
                        </w14:solidFill>
                      </w14:textFill>
                    </w:rPr>
                    <w:t>℃</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668" w:type="pct"/>
                  <w:vAlign w:val="center"/>
                </w:tcPr>
                <w:p w14:paraId="7B25BB19">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烟气流速（m/s）</w:t>
                  </w:r>
                </w:p>
              </w:tc>
              <w:tc>
                <w:tcPr>
                  <w:tcW w:w="413" w:type="pct"/>
                  <w:vMerge w:val="continue"/>
                  <w:vAlign w:val="center"/>
                </w:tcPr>
                <w:p w14:paraId="5D2FFCFE">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p>
              </w:tc>
            </w:tr>
            <w:tr w14:paraId="49D64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vAlign w:val="center"/>
                </w:tcPr>
                <w:p w14:paraId="253CA36C">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DA00</w:t>
                  </w:r>
                  <w:r>
                    <w:rPr>
                      <w:rFonts w:hint="default" w:ascii="Times New Roman" w:hAnsi="Times New Roman" w:eastAsia="宋体" w:cs="Times New Roman"/>
                      <w:bCs/>
                      <w:color w:val="000000" w:themeColor="text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Cs w:val="21"/>
                      <w14:textFill>
                        <w14:solidFill>
                          <w14:schemeClr w14:val="tx1"/>
                        </w14:solidFill>
                      </w14:textFill>
                    </w:rPr>
                    <w:t>排气筒</w:t>
                  </w:r>
                </w:p>
              </w:tc>
              <w:tc>
                <w:tcPr>
                  <w:tcW w:w="636" w:type="pct"/>
                  <w:vAlign w:val="center"/>
                </w:tcPr>
                <w:p w14:paraId="76D14137">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119.6435874</w:t>
                  </w:r>
                </w:p>
              </w:tc>
              <w:tc>
                <w:tcPr>
                  <w:tcW w:w="530" w:type="pct"/>
                  <w:vAlign w:val="center"/>
                </w:tcPr>
                <w:p w14:paraId="511861DC">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31.7628521</w:t>
                  </w:r>
                </w:p>
              </w:tc>
              <w:tc>
                <w:tcPr>
                  <w:tcW w:w="614" w:type="pct"/>
                  <w:vAlign w:val="center"/>
                </w:tcPr>
                <w:p w14:paraId="713E2521">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w:t>
                  </w:r>
                </w:p>
              </w:tc>
              <w:tc>
                <w:tcPr>
                  <w:tcW w:w="415" w:type="pct"/>
                  <w:vAlign w:val="center"/>
                </w:tcPr>
                <w:p w14:paraId="771F5A11">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20</w:t>
                  </w:r>
                </w:p>
              </w:tc>
              <w:tc>
                <w:tcPr>
                  <w:tcW w:w="644" w:type="pct"/>
                  <w:vAlign w:val="center"/>
                </w:tcPr>
                <w:p w14:paraId="0D04F911">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0.15</w:t>
                  </w:r>
                </w:p>
              </w:tc>
              <w:tc>
                <w:tcPr>
                  <w:tcW w:w="449" w:type="pct"/>
                  <w:vAlign w:val="center"/>
                </w:tcPr>
                <w:p w14:paraId="35A3196E">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25</w:t>
                  </w:r>
                </w:p>
              </w:tc>
              <w:tc>
                <w:tcPr>
                  <w:tcW w:w="668" w:type="pct"/>
                  <w:vAlign w:val="center"/>
                </w:tcPr>
                <w:p w14:paraId="3321B4CA">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15.7</w:t>
                  </w:r>
                </w:p>
              </w:tc>
              <w:tc>
                <w:tcPr>
                  <w:tcW w:w="413" w:type="pct"/>
                  <w:vAlign w:val="center"/>
                </w:tcPr>
                <w:p w14:paraId="68ACA10A">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一般排放口</w:t>
                  </w:r>
                </w:p>
              </w:tc>
            </w:tr>
          </w:tbl>
          <w:p w14:paraId="493DF351">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（2）无组织废气</w:t>
            </w:r>
          </w:p>
          <w:p w14:paraId="4D202102">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本项目无组织废气排放情况见表4-</w:t>
            </w:r>
            <w:r>
              <w:rPr>
                <w:rFonts w:hint="eastAsia" w:ascii="Times New Roman" w:hAnsi="Times New Roman" w:eastAsia="宋体" w:cs="Times New Roman"/>
                <w:bCs/>
                <w:color w:val="000000" w:themeColor="text1"/>
                <w:sz w:val="24"/>
                <w:lang w:val="en-US" w:eastAsia="zh-CN"/>
                <w14:textFill>
                  <w14:solidFill>
                    <w14:schemeClr w14:val="tx1"/>
                  </w14:solidFill>
                </w14:textFill>
              </w:rPr>
              <w:t>9</w:t>
            </w:r>
            <w:r>
              <w:rPr>
                <w:rFonts w:hint="default" w:ascii="Times New Roman" w:hAnsi="Times New Roman" w:eastAsia="宋体" w:cs="Times New Roman"/>
                <w:bCs/>
                <w:color w:val="000000" w:themeColor="text1"/>
                <w:sz w:val="24"/>
                <w14:textFill>
                  <w14:solidFill>
                    <w14:schemeClr w14:val="tx1"/>
                  </w14:solidFill>
                </w14:textFill>
              </w:rPr>
              <w:t>。</w:t>
            </w:r>
          </w:p>
          <w:p w14:paraId="64AAE7A0">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w:t>
            </w:r>
            <w:r>
              <w:rPr>
                <w:rFonts w:hint="eastAsia" w:ascii="Times New Roman" w:hAnsi="Times New Roman" w:eastAsia="宋体"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14:textFill>
                  <w14:solidFill>
                    <w14:schemeClr w14:val="tx1"/>
                  </w14:solidFill>
                </w14:textFill>
              </w:rPr>
              <w:t xml:space="preserve">  本项目无组织废气产生及排放情况表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86"/>
              <w:gridCol w:w="2077"/>
              <w:gridCol w:w="1330"/>
              <w:gridCol w:w="1658"/>
              <w:gridCol w:w="950"/>
              <w:gridCol w:w="1658"/>
              <w:gridCol w:w="1402"/>
              <w:gridCol w:w="1617"/>
              <w:gridCol w:w="1130"/>
            </w:tblGrid>
            <w:tr w14:paraId="52D3C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0" w:type="auto"/>
                  <w:vAlign w:val="center"/>
                </w:tcPr>
                <w:p w14:paraId="09D46627">
                  <w:pPr>
                    <w:spacing w:line="276" w:lineRule="auto"/>
                    <w:ind w:left="-105" w:leftChars="-50" w:right="-105" w:rightChars="-5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面源名称</w:t>
                  </w:r>
                </w:p>
              </w:tc>
              <w:tc>
                <w:tcPr>
                  <w:tcW w:w="2077" w:type="dxa"/>
                  <w:vAlign w:val="center"/>
                </w:tcPr>
                <w:p w14:paraId="2F6ABD0C">
                  <w:pPr>
                    <w:spacing w:line="276"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污染物产生环节</w:t>
                  </w:r>
                </w:p>
              </w:tc>
              <w:tc>
                <w:tcPr>
                  <w:tcW w:w="1330" w:type="dxa"/>
                  <w:vAlign w:val="center"/>
                </w:tcPr>
                <w:p w14:paraId="7D98F6A1">
                  <w:pPr>
                    <w:spacing w:line="276" w:lineRule="auto"/>
                    <w:ind w:left="-105" w:leftChars="-50" w:right="-105" w:rightChars="-5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p w14:paraId="1079A57B">
                  <w:pPr>
                    <w:spacing w:line="276" w:lineRule="auto"/>
                    <w:ind w:left="-105" w:leftChars="-50" w:right="-105" w:rightChars="-5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名称</w:t>
                  </w:r>
                </w:p>
              </w:tc>
              <w:tc>
                <w:tcPr>
                  <w:tcW w:w="0" w:type="auto"/>
                  <w:vAlign w:val="center"/>
                </w:tcPr>
                <w:p w14:paraId="0ACD6F7D">
                  <w:pPr>
                    <w:spacing w:line="276"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污染物产生量t/a</w:t>
                  </w:r>
                </w:p>
              </w:tc>
              <w:tc>
                <w:tcPr>
                  <w:tcW w:w="0" w:type="auto"/>
                  <w:vAlign w:val="center"/>
                </w:tcPr>
                <w:p w14:paraId="16E88022">
                  <w:pPr>
                    <w:spacing w:line="276" w:lineRule="auto"/>
                    <w:ind w:left="-105" w:leftChars="-50" w:right="-105" w:rightChars="-5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治理措施</w:t>
                  </w:r>
                </w:p>
              </w:tc>
              <w:tc>
                <w:tcPr>
                  <w:tcW w:w="0" w:type="auto"/>
                  <w:vAlign w:val="center"/>
                </w:tcPr>
                <w:p w14:paraId="68299634">
                  <w:pPr>
                    <w:spacing w:line="276"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污染物排放量t/a</w:t>
                  </w:r>
                </w:p>
              </w:tc>
              <w:tc>
                <w:tcPr>
                  <w:tcW w:w="0" w:type="auto"/>
                  <w:vAlign w:val="center"/>
                </w:tcPr>
                <w:p w14:paraId="00811337">
                  <w:pPr>
                    <w:spacing w:line="276"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排放速率kg/h</w:t>
                  </w:r>
                </w:p>
              </w:tc>
              <w:tc>
                <w:tcPr>
                  <w:tcW w:w="0" w:type="auto"/>
                  <w:vAlign w:val="center"/>
                </w:tcPr>
                <w:p w14:paraId="1CD2BA77">
                  <w:pPr>
                    <w:spacing w:line="276"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面源面积（m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0" w:type="auto"/>
                  <w:vAlign w:val="center"/>
                </w:tcPr>
                <w:p w14:paraId="753DCA6C">
                  <w:pPr>
                    <w:spacing w:line="276" w:lineRule="auto"/>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高度</w:t>
                  </w:r>
                  <w:r>
                    <w:rPr>
                      <w:rFonts w:hint="default" w:ascii="Times New Roman" w:hAnsi="Times New Roman" w:eastAsia="宋体" w:cs="Times New Roman"/>
                      <w:b/>
                      <w:bCs/>
                      <w:color w:val="000000" w:themeColor="text1"/>
                      <w:szCs w:val="21"/>
                      <w14:textFill>
                        <w14:solidFill>
                          <w14:schemeClr w14:val="tx1"/>
                        </w14:solidFill>
                      </w14:textFill>
                    </w:rPr>
                    <w:t>（m）</w:t>
                  </w:r>
                </w:p>
              </w:tc>
            </w:tr>
            <w:tr w14:paraId="70E7B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8" w:hRule="atLeast"/>
              </w:trPr>
              <w:tc>
                <w:tcPr>
                  <w:tcW w:w="0" w:type="auto"/>
                  <w:vMerge w:val="restart"/>
                  <w:vAlign w:val="center"/>
                </w:tcPr>
                <w:p w14:paraId="0E5A2C3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生产厂房（二层）</w:t>
                  </w:r>
                </w:p>
              </w:tc>
              <w:tc>
                <w:tcPr>
                  <w:tcW w:w="2077" w:type="dxa"/>
                  <w:vMerge w:val="restart"/>
                  <w:vAlign w:val="center"/>
                </w:tcPr>
                <w:p w14:paraId="775858C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清洗线（酸洗、铜保护）</w:t>
                  </w:r>
                </w:p>
              </w:tc>
              <w:tc>
                <w:tcPr>
                  <w:tcW w:w="1330" w:type="dxa"/>
                  <w:shd w:val="clear" w:color="auto" w:fill="auto"/>
                  <w:vAlign w:val="center"/>
                </w:tcPr>
                <w:p w14:paraId="0A8A225D">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硫酸雾</w:t>
                  </w:r>
                </w:p>
              </w:tc>
              <w:tc>
                <w:tcPr>
                  <w:tcW w:w="0" w:type="auto"/>
                  <w:vAlign w:val="center"/>
                </w:tcPr>
                <w:p w14:paraId="3E4DDD8B">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0" w:type="auto"/>
                  <w:vMerge w:val="restart"/>
                  <w:vAlign w:val="center"/>
                </w:tcPr>
                <w:p w14:paraId="60086261">
                  <w:pPr>
                    <w:spacing w:line="276"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车间通风</w:t>
                  </w:r>
                </w:p>
              </w:tc>
              <w:tc>
                <w:tcPr>
                  <w:tcW w:w="0" w:type="auto"/>
                  <w:shd w:val="clear" w:color="auto" w:fill="auto"/>
                  <w:vAlign w:val="center"/>
                </w:tcPr>
                <w:p w14:paraId="1B35F616">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0" w:type="auto"/>
                  <w:vAlign w:val="center"/>
                </w:tcPr>
                <w:p w14:paraId="0E01B079">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c>
                <w:tcPr>
                  <w:tcW w:w="0" w:type="auto"/>
                  <w:vMerge w:val="restart"/>
                  <w:vAlign w:val="center"/>
                </w:tcPr>
                <w:p w14:paraId="4BBB8E63">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32.5*20</w:t>
                  </w:r>
                </w:p>
              </w:tc>
              <w:tc>
                <w:tcPr>
                  <w:tcW w:w="0" w:type="auto"/>
                  <w:vMerge w:val="restart"/>
                  <w:vAlign w:val="center"/>
                </w:tcPr>
                <w:p w14:paraId="3C854972">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r>
            <w:tr w14:paraId="2523C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8" w:hRule="atLeast"/>
              </w:trPr>
              <w:tc>
                <w:tcPr>
                  <w:tcW w:w="0" w:type="auto"/>
                  <w:vMerge w:val="continue"/>
                  <w:vAlign w:val="center"/>
                </w:tcPr>
                <w:p w14:paraId="0671227D">
                  <w:pPr>
                    <w:spacing w:line="276" w:lineRule="auto"/>
                    <w:ind w:left="-105" w:leftChars="-50" w:right="-105" w:rightChars="-5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2077" w:type="dxa"/>
                  <w:vMerge w:val="continue"/>
                  <w:vAlign w:val="center"/>
                </w:tcPr>
                <w:p w14:paraId="49423057">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330" w:type="dxa"/>
                  <w:shd w:val="clear" w:color="auto" w:fill="auto"/>
                  <w:vAlign w:val="center"/>
                </w:tcPr>
                <w:p w14:paraId="0E705E3C">
                  <w:pPr>
                    <w:contextualSpacing/>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0" w:type="auto"/>
                  <w:vAlign w:val="center"/>
                </w:tcPr>
                <w:p w14:paraId="60B8C227">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0" w:type="auto"/>
                  <w:vMerge w:val="continue"/>
                  <w:vAlign w:val="center"/>
                </w:tcPr>
                <w:p w14:paraId="07FD14B6">
                  <w:pPr>
                    <w:spacing w:line="276"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0" w:type="auto"/>
                  <w:shd w:val="clear" w:color="auto" w:fill="auto"/>
                  <w:vAlign w:val="center"/>
                </w:tcPr>
                <w:p w14:paraId="1BED3811">
                  <w:pPr>
                    <w:spacing w:line="276"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0" w:type="auto"/>
                  <w:vAlign w:val="center"/>
                </w:tcPr>
                <w:p w14:paraId="0DCC09DA">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0.005</w:t>
                  </w:r>
                </w:p>
              </w:tc>
              <w:tc>
                <w:tcPr>
                  <w:tcW w:w="0" w:type="auto"/>
                  <w:vMerge w:val="continue"/>
                  <w:vAlign w:val="center"/>
                </w:tcPr>
                <w:p w14:paraId="352BAC85">
                  <w:pPr>
                    <w:spacing w:line="276"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0" w:type="auto"/>
                  <w:vMerge w:val="continue"/>
                  <w:vAlign w:val="center"/>
                </w:tcPr>
                <w:p w14:paraId="25D5891D">
                  <w:pPr>
                    <w:spacing w:line="276"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14:paraId="7EBC5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90" w:hRule="atLeast"/>
              </w:trPr>
              <w:tc>
                <w:tcPr>
                  <w:tcW w:w="0" w:type="auto"/>
                  <w:vMerge w:val="continue"/>
                  <w:vAlign w:val="center"/>
                </w:tcPr>
                <w:p w14:paraId="1082ED24">
                  <w:pPr>
                    <w:spacing w:line="276" w:lineRule="auto"/>
                    <w:ind w:left="-105" w:leftChars="-50" w:right="-105" w:rightChars="-5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2077" w:type="dxa"/>
                  <w:vMerge w:val="continue"/>
                  <w:vAlign w:val="center"/>
                </w:tcPr>
                <w:p w14:paraId="46ABA29F">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330" w:type="dxa"/>
                  <w:shd w:val="clear" w:color="auto" w:fill="auto"/>
                  <w:vAlign w:val="center"/>
                </w:tcPr>
                <w:p w14:paraId="2F855022">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0" w:type="auto"/>
                  <w:vAlign w:val="center"/>
                </w:tcPr>
                <w:p w14:paraId="02418F13">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c>
                <w:tcPr>
                  <w:tcW w:w="0" w:type="auto"/>
                  <w:vMerge w:val="continue"/>
                  <w:vAlign w:val="center"/>
                </w:tcPr>
                <w:p w14:paraId="39DC22B9">
                  <w:pPr>
                    <w:spacing w:line="276" w:lineRule="auto"/>
                    <w:jc w:val="center"/>
                    <w:rPr>
                      <w:rFonts w:hint="default" w:ascii="Times New Roman" w:hAnsi="Times New Roman" w:eastAsia="宋体" w:cs="Times New Roman"/>
                      <w:color w:val="000000" w:themeColor="text1"/>
                      <w:szCs w:val="21"/>
                      <w14:textFill>
                        <w14:solidFill>
                          <w14:schemeClr w14:val="tx1"/>
                        </w14:solidFill>
                      </w14:textFill>
                    </w:rPr>
                  </w:pPr>
                </w:p>
              </w:tc>
              <w:tc>
                <w:tcPr>
                  <w:tcW w:w="0" w:type="auto"/>
                  <w:shd w:val="clear" w:color="auto" w:fill="auto"/>
                  <w:vAlign w:val="center"/>
                </w:tcPr>
                <w:p w14:paraId="62826B24">
                  <w:pPr>
                    <w:spacing w:line="276"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c>
                <w:tcPr>
                  <w:tcW w:w="0" w:type="auto"/>
                  <w:vAlign w:val="center"/>
                </w:tcPr>
                <w:p w14:paraId="192D104B">
                  <w:pPr>
                    <w:spacing w:line="276"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c>
                <w:tcPr>
                  <w:tcW w:w="0" w:type="auto"/>
                  <w:vMerge w:val="continue"/>
                  <w:vAlign w:val="center"/>
                </w:tcPr>
                <w:p w14:paraId="13C48EE8">
                  <w:pPr>
                    <w:spacing w:line="276"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0" w:type="auto"/>
                  <w:vMerge w:val="continue"/>
                  <w:vAlign w:val="center"/>
                </w:tcPr>
                <w:p w14:paraId="601A2DFB">
                  <w:pPr>
                    <w:spacing w:line="276"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bl>
          <w:p w14:paraId="0F0839D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厂界无组织废气（硫酸雾、甲醇、非甲烷总烃）排放</w:t>
            </w:r>
            <w:r>
              <w:rPr>
                <w:rFonts w:hint="eastAsia" w:ascii="Times New Roman" w:hAnsi="Times New Roman" w:eastAsia="宋体" w:cs="Times New Roman"/>
                <w:bCs/>
                <w:color w:val="000000" w:themeColor="text1"/>
                <w:sz w:val="24"/>
                <w:lang w:val="en-US" w:eastAsia="zh-CN"/>
                <w14:textFill>
                  <w14:solidFill>
                    <w14:schemeClr w14:val="tx1"/>
                  </w14:solidFill>
                </w14:textFill>
              </w:rPr>
              <w:t>满足</w:t>
            </w:r>
            <w:r>
              <w:rPr>
                <w:rFonts w:hint="default" w:ascii="Times New Roman" w:hAnsi="Times New Roman" w:eastAsia="宋体" w:cs="Times New Roman"/>
                <w:bCs/>
                <w:color w:val="000000" w:themeColor="text1"/>
                <w:sz w:val="24"/>
                <w:lang w:val="en-US" w:eastAsia="zh-CN"/>
                <w14:textFill>
                  <w14:solidFill>
                    <w14:schemeClr w14:val="tx1"/>
                  </w14:solidFill>
                </w14:textFill>
              </w:rPr>
              <w:t>江苏省地标《大气污染物综合排放标准》（DB32/4041-2021）中标准限值中表3标准</w:t>
            </w:r>
            <w:r>
              <w:rPr>
                <w:rFonts w:hint="eastAsia" w:ascii="Times New Roman" w:hAnsi="Times New Roman" w:eastAsia="宋体" w:cs="Times New Roman"/>
                <w:bCs/>
                <w:color w:val="000000" w:themeColor="text1"/>
                <w:sz w:val="24"/>
                <w:lang w:val="en-US" w:eastAsia="zh-CN"/>
                <w14:textFill>
                  <w14:solidFill>
                    <w14:schemeClr w14:val="tx1"/>
                  </w14:solidFill>
                </w14:textFill>
              </w:rPr>
              <w:t>；厂区内VOCs无组织排放标准满足《挥发性有机物无组织排放控制标准》（GB37822-2019）表A.1厂区内VOCs无组织排放限值。</w:t>
            </w:r>
          </w:p>
          <w:p w14:paraId="16651A6C">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4.非正常排放</w:t>
            </w:r>
          </w:p>
          <w:p w14:paraId="61395C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1EB722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w:t>
            </w:r>
            <w:r>
              <w:rPr>
                <w:rFonts w:hint="eastAsia" w:ascii="Times New Roman" w:hAnsi="Times New Roman" w:eastAsia="宋体" w:cs="Times New Roman"/>
                <w:bCs/>
                <w:color w:val="000000" w:themeColor="text1"/>
                <w:sz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14:textFill>
                  <w14:solidFill>
                    <w14:schemeClr w14:val="tx1"/>
                  </w14:solidFill>
                </w14:textFill>
              </w:rPr>
              <w:t>0%的排放，事故时间估算约</w:t>
            </w:r>
            <w:r>
              <w:rPr>
                <w:rFonts w:hint="eastAsia" w:ascii="Times New Roman" w:hAnsi="Times New Roman" w:eastAsia="宋体" w:cs="Times New Roman"/>
                <w:bCs/>
                <w:color w:val="000000" w:themeColor="text1"/>
                <w:sz w:val="24"/>
                <w:lang w:val="en-US" w:eastAsia="zh-CN"/>
                <w14:textFill>
                  <w14:solidFill>
                    <w14:schemeClr w14:val="tx1"/>
                  </w14:solidFill>
                </w14:textFill>
              </w:rPr>
              <w:t>1小时</w:t>
            </w:r>
            <w:r>
              <w:rPr>
                <w:rFonts w:hint="default" w:ascii="Times New Roman" w:hAnsi="Times New Roman" w:eastAsia="宋体" w:cs="Times New Roman"/>
                <w:bCs/>
                <w:color w:val="000000" w:themeColor="text1"/>
                <w:sz w:val="24"/>
                <w14:textFill>
                  <w14:solidFill>
                    <w14:schemeClr w14:val="tx1"/>
                  </w14:solidFill>
                </w14:textFill>
              </w:rPr>
              <w:t>。本项目非正常工况大气污染物排放情况见下表。</w:t>
            </w:r>
          </w:p>
          <w:p w14:paraId="00F9444B">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非正常工况有组织废气源强表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95"/>
              <w:gridCol w:w="2933"/>
              <w:gridCol w:w="1412"/>
              <w:gridCol w:w="1994"/>
              <w:gridCol w:w="1747"/>
              <w:gridCol w:w="1562"/>
              <w:gridCol w:w="1426"/>
              <w:gridCol w:w="1325"/>
            </w:tblGrid>
            <w:tr w14:paraId="5EE37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5" w:hRule="atLeast"/>
                <w:jc w:val="center"/>
              </w:trPr>
              <w:tc>
                <w:tcPr>
                  <w:tcW w:w="439" w:type="pct"/>
                  <w:tcBorders>
                    <w:tl2br w:val="nil"/>
                    <w:tr2bl w:val="nil"/>
                  </w:tcBorders>
                  <w:shd w:val="clear" w:color="auto" w:fill="auto"/>
                  <w:vAlign w:val="center"/>
                </w:tcPr>
                <w:p w14:paraId="60A0BD33">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污染源</w:t>
                  </w:r>
                </w:p>
              </w:tc>
              <w:tc>
                <w:tcPr>
                  <w:tcW w:w="1078" w:type="pct"/>
                  <w:tcBorders>
                    <w:tl2br w:val="nil"/>
                    <w:tr2bl w:val="nil"/>
                  </w:tcBorders>
                  <w:shd w:val="clear" w:color="auto" w:fill="auto"/>
                  <w:vAlign w:val="center"/>
                </w:tcPr>
                <w:p w14:paraId="0AE857D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非正常排放原因</w:t>
                  </w:r>
                </w:p>
              </w:tc>
              <w:tc>
                <w:tcPr>
                  <w:tcW w:w="519" w:type="pct"/>
                  <w:tcBorders>
                    <w:tl2br w:val="nil"/>
                    <w:tr2bl w:val="nil"/>
                  </w:tcBorders>
                  <w:shd w:val="clear" w:color="auto" w:fill="auto"/>
                  <w:noWrap/>
                  <w:vAlign w:val="center"/>
                </w:tcPr>
                <w:p w14:paraId="27FEA55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w:t>
                  </w:r>
                </w:p>
              </w:tc>
              <w:tc>
                <w:tcPr>
                  <w:tcW w:w="733" w:type="pct"/>
                  <w:tcBorders>
                    <w:tl2br w:val="nil"/>
                    <w:tr2bl w:val="nil"/>
                  </w:tcBorders>
                  <w:shd w:val="clear" w:color="auto" w:fill="auto"/>
                  <w:vAlign w:val="center"/>
                </w:tcPr>
                <w:p w14:paraId="13702B7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非正常排放浓度</w:t>
                  </w:r>
                </w:p>
                <w:p w14:paraId="21DAD21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642" w:type="pct"/>
                  <w:tcBorders>
                    <w:tl2br w:val="nil"/>
                    <w:tr2bl w:val="nil"/>
                  </w:tcBorders>
                  <w:shd w:val="clear" w:color="auto" w:fill="auto"/>
                  <w:vAlign w:val="center"/>
                </w:tcPr>
                <w:p w14:paraId="4D00572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非正常排放速率（kg/h）</w:t>
                  </w:r>
                </w:p>
              </w:tc>
              <w:tc>
                <w:tcPr>
                  <w:tcW w:w="574" w:type="pct"/>
                  <w:tcBorders>
                    <w:tl2br w:val="nil"/>
                    <w:tr2bl w:val="nil"/>
                  </w:tcBorders>
                  <w:shd w:val="clear" w:color="auto" w:fill="auto"/>
                  <w:vAlign w:val="center"/>
                </w:tcPr>
                <w:p w14:paraId="665AD4EB">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非正常排放量（kg）</w:t>
                  </w:r>
                </w:p>
              </w:tc>
              <w:tc>
                <w:tcPr>
                  <w:tcW w:w="524" w:type="pct"/>
                  <w:tcBorders>
                    <w:tl2br w:val="nil"/>
                    <w:tr2bl w:val="nil"/>
                  </w:tcBorders>
                  <w:shd w:val="clear" w:color="auto" w:fill="auto"/>
                  <w:vAlign w:val="center"/>
                </w:tcPr>
                <w:p w14:paraId="7D1C0E2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单次持续时间（h）</w:t>
                  </w:r>
                </w:p>
              </w:tc>
              <w:tc>
                <w:tcPr>
                  <w:tcW w:w="487" w:type="pct"/>
                  <w:tcBorders>
                    <w:tl2br w:val="nil"/>
                    <w:tr2bl w:val="nil"/>
                  </w:tcBorders>
                  <w:shd w:val="clear" w:color="auto" w:fill="auto"/>
                  <w:vAlign w:val="center"/>
                </w:tcPr>
                <w:p w14:paraId="75F2090A">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年发生频次</w:t>
                  </w:r>
                </w:p>
                <w:p w14:paraId="324C4EF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（次）</w:t>
                  </w:r>
                </w:p>
              </w:tc>
            </w:tr>
            <w:tr w14:paraId="03CA6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shd w:val="clear" w:color="auto" w:fill="auto"/>
                  <w:vAlign w:val="center"/>
                </w:tcPr>
                <w:p w14:paraId="68FC8CF1">
                  <w:pPr>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DA001</w:t>
                  </w:r>
                </w:p>
              </w:tc>
              <w:tc>
                <w:tcPr>
                  <w:tcW w:w="1078" w:type="pct"/>
                  <w:vMerge w:val="restart"/>
                  <w:tcBorders>
                    <w:tl2br w:val="nil"/>
                    <w:tr2bl w:val="nil"/>
                  </w:tcBorders>
                  <w:shd w:val="clear" w:color="auto" w:fill="auto"/>
                  <w:vAlign w:val="center"/>
                </w:tcPr>
                <w:p w14:paraId="50B51B2E">
                  <w:pPr>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废气处理装置出现故障</w:t>
                  </w:r>
                </w:p>
              </w:tc>
              <w:tc>
                <w:tcPr>
                  <w:tcW w:w="519" w:type="pct"/>
                  <w:tcBorders>
                    <w:tl2br w:val="nil"/>
                    <w:tr2bl w:val="nil"/>
                  </w:tcBorders>
                  <w:shd w:val="clear" w:color="auto" w:fill="auto"/>
                  <w:noWrap/>
                  <w:vAlign w:val="center"/>
                </w:tcPr>
                <w:p w14:paraId="2F2DB8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硫酸雾</w:t>
                  </w:r>
                </w:p>
              </w:tc>
              <w:tc>
                <w:tcPr>
                  <w:tcW w:w="1994" w:type="dxa"/>
                  <w:tcBorders>
                    <w:tl2br w:val="nil"/>
                    <w:tr2bl w:val="nil"/>
                  </w:tcBorders>
                  <w:shd w:val="clear" w:color="auto" w:fill="auto"/>
                  <w:vAlign w:val="center"/>
                </w:tcPr>
                <w:p w14:paraId="36269F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23.84</w:t>
                  </w:r>
                </w:p>
              </w:tc>
              <w:tc>
                <w:tcPr>
                  <w:tcW w:w="1747" w:type="dxa"/>
                  <w:tcBorders>
                    <w:tl2br w:val="nil"/>
                    <w:tr2bl w:val="nil"/>
                  </w:tcBorders>
                  <w:shd w:val="clear" w:color="auto" w:fill="auto"/>
                  <w:vAlign w:val="center"/>
                </w:tcPr>
                <w:p w14:paraId="50C880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0.024</w:t>
                  </w:r>
                </w:p>
              </w:tc>
              <w:tc>
                <w:tcPr>
                  <w:tcW w:w="1562" w:type="dxa"/>
                  <w:tcBorders>
                    <w:tl2br w:val="nil"/>
                    <w:tr2bl w:val="nil"/>
                  </w:tcBorders>
                  <w:shd w:val="clear" w:color="auto" w:fill="auto"/>
                  <w:vAlign w:val="center"/>
                </w:tcPr>
                <w:p w14:paraId="1EEF57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0.024</w:t>
                  </w:r>
                </w:p>
              </w:tc>
              <w:tc>
                <w:tcPr>
                  <w:tcW w:w="524" w:type="pct"/>
                  <w:tcBorders>
                    <w:tl2br w:val="nil"/>
                    <w:tr2bl w:val="nil"/>
                  </w:tcBorders>
                  <w:shd w:val="clear" w:color="auto" w:fill="auto"/>
                  <w:noWrap/>
                  <w:vAlign w:val="center"/>
                </w:tcPr>
                <w:p w14:paraId="10BF46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87" w:type="pct"/>
                  <w:tcBorders>
                    <w:tl2br w:val="nil"/>
                    <w:tr2bl w:val="nil"/>
                  </w:tcBorders>
                  <w:shd w:val="clear" w:color="auto" w:fill="auto"/>
                  <w:noWrap/>
                  <w:vAlign w:val="center"/>
                </w:tcPr>
                <w:p w14:paraId="464401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1EC18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shd w:val="clear" w:color="auto" w:fill="auto"/>
                  <w:vAlign w:val="center"/>
                </w:tcPr>
                <w:p w14:paraId="00CA4A5B">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078" w:type="pct"/>
                  <w:vMerge w:val="continue"/>
                  <w:tcBorders>
                    <w:tl2br w:val="nil"/>
                    <w:tr2bl w:val="nil"/>
                  </w:tcBorders>
                  <w:shd w:val="clear" w:color="auto" w:fill="auto"/>
                  <w:vAlign w:val="center"/>
                </w:tcPr>
                <w:p w14:paraId="7E096181">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19" w:type="pct"/>
                  <w:tcBorders>
                    <w:tl2br w:val="nil"/>
                    <w:tr2bl w:val="nil"/>
                  </w:tcBorders>
                  <w:shd w:val="clear" w:color="auto" w:fill="auto"/>
                  <w:noWrap/>
                  <w:vAlign w:val="center"/>
                </w:tcPr>
                <w:p w14:paraId="3C561EB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1994" w:type="dxa"/>
                  <w:tcBorders>
                    <w:tl2br w:val="nil"/>
                    <w:tr2bl w:val="nil"/>
                  </w:tcBorders>
                  <w:shd w:val="clear" w:color="auto" w:fill="auto"/>
                  <w:vAlign w:val="center"/>
                </w:tcPr>
                <w:p w14:paraId="58A93DB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48.17</w:t>
                  </w:r>
                </w:p>
              </w:tc>
              <w:tc>
                <w:tcPr>
                  <w:tcW w:w="1747" w:type="dxa"/>
                  <w:tcBorders>
                    <w:tl2br w:val="nil"/>
                    <w:tr2bl w:val="nil"/>
                  </w:tcBorders>
                  <w:shd w:val="clear" w:color="auto" w:fill="auto"/>
                  <w:vAlign w:val="center"/>
                </w:tcPr>
                <w:p w14:paraId="2493FB8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0.048</w:t>
                  </w:r>
                </w:p>
              </w:tc>
              <w:tc>
                <w:tcPr>
                  <w:tcW w:w="1562" w:type="dxa"/>
                  <w:tcBorders>
                    <w:tl2br w:val="nil"/>
                    <w:tr2bl w:val="nil"/>
                  </w:tcBorders>
                  <w:shd w:val="clear" w:color="auto" w:fill="auto"/>
                  <w:vAlign w:val="center"/>
                </w:tcPr>
                <w:p w14:paraId="0B1679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0.048</w:t>
                  </w:r>
                </w:p>
              </w:tc>
              <w:tc>
                <w:tcPr>
                  <w:tcW w:w="524" w:type="pct"/>
                  <w:tcBorders>
                    <w:tl2br w:val="nil"/>
                    <w:tr2bl w:val="nil"/>
                  </w:tcBorders>
                  <w:shd w:val="clear" w:color="auto" w:fill="auto"/>
                  <w:noWrap/>
                  <w:vAlign w:val="center"/>
                </w:tcPr>
                <w:p w14:paraId="082953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87" w:type="pct"/>
                  <w:tcBorders>
                    <w:tl2br w:val="nil"/>
                    <w:tr2bl w:val="nil"/>
                  </w:tcBorders>
                  <w:shd w:val="clear" w:color="auto" w:fill="auto"/>
                  <w:noWrap/>
                  <w:vAlign w:val="center"/>
                </w:tcPr>
                <w:p w14:paraId="6DF02B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2002E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shd w:val="clear" w:color="auto" w:fill="auto"/>
                  <w:vAlign w:val="center"/>
                </w:tcPr>
                <w:p w14:paraId="65693F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p>
              </w:tc>
              <w:tc>
                <w:tcPr>
                  <w:tcW w:w="1078" w:type="pct"/>
                  <w:vMerge w:val="continue"/>
                  <w:tcBorders>
                    <w:tl2br w:val="nil"/>
                    <w:tr2bl w:val="nil"/>
                  </w:tcBorders>
                  <w:shd w:val="clear" w:color="auto" w:fill="auto"/>
                  <w:vAlign w:val="center"/>
                </w:tcPr>
                <w:p w14:paraId="5227E7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19" w:type="pct"/>
                  <w:tcBorders>
                    <w:tl2br w:val="nil"/>
                    <w:tr2bl w:val="nil"/>
                  </w:tcBorders>
                  <w:shd w:val="clear" w:color="auto" w:fill="auto"/>
                  <w:noWrap/>
                  <w:vAlign w:val="center"/>
                </w:tcPr>
                <w:p w14:paraId="78803A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1994" w:type="dxa"/>
                  <w:tcBorders>
                    <w:tl2br w:val="nil"/>
                    <w:tr2bl w:val="nil"/>
                  </w:tcBorders>
                  <w:shd w:val="clear" w:color="auto" w:fill="auto"/>
                  <w:vAlign w:val="center"/>
                </w:tcPr>
                <w:p w14:paraId="239E91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20.67</w:t>
                  </w:r>
                </w:p>
              </w:tc>
              <w:tc>
                <w:tcPr>
                  <w:tcW w:w="1747" w:type="dxa"/>
                  <w:tcBorders>
                    <w:tl2br w:val="nil"/>
                    <w:tr2bl w:val="nil"/>
                  </w:tcBorders>
                  <w:shd w:val="clear" w:color="auto" w:fill="auto"/>
                  <w:vAlign w:val="center"/>
                </w:tcPr>
                <w:p w14:paraId="407F15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0.021</w:t>
                  </w:r>
                </w:p>
              </w:tc>
              <w:tc>
                <w:tcPr>
                  <w:tcW w:w="1562" w:type="dxa"/>
                  <w:tcBorders>
                    <w:tl2br w:val="nil"/>
                    <w:tr2bl w:val="nil"/>
                  </w:tcBorders>
                  <w:shd w:val="clear" w:color="auto" w:fill="auto"/>
                  <w:vAlign w:val="center"/>
                </w:tcPr>
                <w:p w14:paraId="5ECD47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0.021</w:t>
                  </w:r>
                </w:p>
              </w:tc>
              <w:tc>
                <w:tcPr>
                  <w:tcW w:w="524" w:type="pct"/>
                  <w:tcBorders>
                    <w:tl2br w:val="nil"/>
                    <w:tr2bl w:val="nil"/>
                  </w:tcBorders>
                  <w:shd w:val="clear" w:color="auto" w:fill="auto"/>
                  <w:noWrap/>
                  <w:vAlign w:val="center"/>
                </w:tcPr>
                <w:p w14:paraId="3EC009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87" w:type="pct"/>
                  <w:tcBorders>
                    <w:tl2br w:val="nil"/>
                    <w:tr2bl w:val="nil"/>
                  </w:tcBorders>
                  <w:shd w:val="clear" w:color="auto" w:fill="auto"/>
                  <w:noWrap/>
                  <w:vAlign w:val="center"/>
                </w:tcPr>
                <w:p w14:paraId="0E2AB9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bl>
          <w:p w14:paraId="56667E7F">
            <w:pPr>
              <w:adjustRightInd w:val="0"/>
              <w:snapToGrid w:val="0"/>
              <w:spacing w:before="120" w:beforeLines="50" w:line="360" w:lineRule="auto"/>
              <w:rPr>
                <w:rFonts w:hint="default" w:ascii="Times New Roman" w:hAnsi="Times New Roman" w:eastAsia="宋体" w:cs="Times New Roman"/>
                <w:bCs/>
                <w:color w:val="000000" w:themeColor="text1"/>
                <w:sz w:val="24"/>
                <w14:textFill>
                  <w14:solidFill>
                    <w14:schemeClr w14:val="tx1"/>
                  </w14:solidFill>
                </w14:textFill>
              </w:rPr>
            </w:pPr>
          </w:p>
        </w:tc>
      </w:tr>
    </w:tbl>
    <w:p w14:paraId="0A328A28">
      <w:pPr>
        <w:numPr>
          <w:ilvl w:val="0"/>
          <w:numId w:val="0"/>
        </w:numPr>
        <w:rPr>
          <w:rFonts w:hint="default" w:ascii="Times New Roman" w:hAnsi="Times New Roman" w:cs="Times New Roman"/>
          <w:color w:val="000000" w:themeColor="text1"/>
          <w14:textFill>
            <w14:solidFill>
              <w14:schemeClr w14:val="tx1"/>
            </w14:solidFill>
          </w14:textFill>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1"/>
      </w:tblGrid>
      <w:tr w14:paraId="6D9E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trPr>
        <w:tc>
          <w:tcPr>
            <w:tcW w:w="230" w:type="pct"/>
            <w:vAlign w:val="center"/>
          </w:tcPr>
          <w:p w14:paraId="67078D63">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运营期环境影响和保护措施</w:t>
            </w:r>
          </w:p>
        </w:tc>
        <w:tc>
          <w:tcPr>
            <w:tcW w:w="4769" w:type="pct"/>
          </w:tcPr>
          <w:p w14:paraId="4A0E6688">
            <w:pPr>
              <w:keepNext w:val="0"/>
              <w:keepLines w:val="0"/>
              <w:pageBreakBefore w:val="0"/>
              <w:widowControl w:val="0"/>
              <w:numPr>
                <w:ilvl w:val="0"/>
                <w:numId w:val="0"/>
              </w:numPr>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5.废气达标分析</w:t>
            </w:r>
          </w:p>
          <w:p w14:paraId="6C75E7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①排气筒排放废气达标分析</w:t>
            </w:r>
          </w:p>
          <w:p w14:paraId="23CC49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本项目有组织废气排放达标情况详见</w:t>
            </w:r>
            <w:r>
              <w:rPr>
                <w:rFonts w:hint="eastAsia" w:ascii="Times New Roman" w:hAnsi="Times New Roman" w:eastAsia="宋体" w:cs="Times New Roman"/>
                <w:bCs/>
                <w:color w:val="000000" w:themeColor="text1"/>
                <w:sz w:val="24"/>
                <w:lang w:val="en-US" w:eastAsia="zh-CN"/>
                <w14:textFill>
                  <w14:solidFill>
                    <w14:schemeClr w14:val="tx1"/>
                  </w14:solidFill>
                </w14:textFill>
              </w:rPr>
              <w:t>下表</w:t>
            </w:r>
            <w:r>
              <w:rPr>
                <w:rFonts w:hint="default" w:ascii="Times New Roman" w:hAnsi="Times New Roman" w:eastAsia="宋体" w:cs="Times New Roman"/>
                <w:bCs/>
                <w:color w:val="000000" w:themeColor="text1"/>
                <w:sz w:val="24"/>
                <w14:textFill>
                  <w14:solidFill>
                    <w14:schemeClr w14:val="tx1"/>
                  </w14:solidFill>
                </w14:textFill>
              </w:rPr>
              <w:t>。</w:t>
            </w:r>
          </w:p>
          <w:p w14:paraId="08A896B0">
            <w:pPr>
              <w:spacing w:line="240" w:lineRule="auto"/>
              <w:ind w:firstLine="0" w:firstLineChars="0"/>
              <w:jc w:val="center"/>
              <w:rPr>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14:textFill>
                  <w14:solidFill>
                    <w14:schemeClr w14:val="tx1"/>
                  </w14:solidFill>
                </w14:textFill>
              </w:rPr>
              <w:t>排气筒排放废气达标排放情况</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83"/>
              <w:gridCol w:w="906"/>
              <w:gridCol w:w="1219"/>
              <w:gridCol w:w="1035"/>
              <w:gridCol w:w="2106"/>
              <w:gridCol w:w="1219"/>
              <w:gridCol w:w="1035"/>
              <w:gridCol w:w="507"/>
            </w:tblGrid>
            <w:tr w14:paraId="248681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6" w:type="pct"/>
                  <w:noWrap w:val="0"/>
                  <w:vAlign w:val="center"/>
                </w:tcPr>
                <w:p w14:paraId="4301324A">
                  <w:pPr>
                    <w:jc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编号</w:t>
                  </w:r>
                </w:p>
              </w:tc>
              <w:tc>
                <w:tcPr>
                  <w:tcW w:w="573" w:type="pct"/>
                  <w:noWrap w:val="0"/>
                  <w:vAlign w:val="center"/>
                </w:tcPr>
                <w:p w14:paraId="4E0C9B08">
                  <w:pPr>
                    <w:jc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w:t>
                  </w:r>
                </w:p>
              </w:tc>
              <w:tc>
                <w:tcPr>
                  <w:tcW w:w="693" w:type="pct"/>
                  <w:noWrap w:val="0"/>
                  <w:vAlign w:val="center"/>
                </w:tcPr>
                <w:p w14:paraId="1D424D70">
                  <w:pPr>
                    <w:jc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排放浓度</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623" w:type="pct"/>
                  <w:noWrap w:val="0"/>
                  <w:vAlign w:val="center"/>
                </w:tcPr>
                <w:p w14:paraId="6B77E6DE">
                  <w:pPr>
                    <w:jc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排放速率</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（kg/h）</w:t>
                  </w:r>
                </w:p>
              </w:tc>
              <w:tc>
                <w:tcPr>
                  <w:tcW w:w="1000" w:type="pct"/>
                  <w:noWrap w:val="0"/>
                  <w:vAlign w:val="center"/>
                </w:tcPr>
                <w:p w14:paraId="62EFA32B">
                  <w:pPr>
                    <w:jc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执行标准</w:t>
                  </w:r>
                </w:p>
              </w:tc>
              <w:tc>
                <w:tcPr>
                  <w:tcW w:w="707" w:type="pct"/>
                  <w:noWrap w:val="0"/>
                  <w:vAlign w:val="center"/>
                </w:tcPr>
                <w:p w14:paraId="6AB8BE21">
                  <w:pPr>
                    <w:jc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浓度限值（mg/m</w:t>
                  </w:r>
                  <w:r>
                    <w:rPr>
                      <w:rFonts w:hint="default" w:ascii="Times New Roman" w:hAnsi="Times New Roman" w:eastAsia="宋体" w:cs="Times New Roman"/>
                      <w:b/>
                      <w:bCs/>
                      <w:i w:val="0"/>
                      <w:iCs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619" w:type="pct"/>
                  <w:noWrap w:val="0"/>
                  <w:vAlign w:val="center"/>
                </w:tcPr>
                <w:p w14:paraId="4CA8116F">
                  <w:pPr>
                    <w:jc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速率限值（kg/h）</w:t>
                  </w:r>
                </w:p>
              </w:tc>
              <w:tc>
                <w:tcPr>
                  <w:tcW w:w="394" w:type="pct"/>
                  <w:noWrap w:val="0"/>
                  <w:vAlign w:val="center"/>
                </w:tcPr>
                <w:p w14:paraId="00E7FE54">
                  <w:pPr>
                    <w:jc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达标情况</w:t>
                  </w:r>
                </w:p>
              </w:tc>
            </w:tr>
            <w:tr w14:paraId="1C6BD5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6" w:type="pct"/>
                  <w:vMerge w:val="restart"/>
                  <w:noWrap w:val="0"/>
                  <w:vAlign w:val="center"/>
                </w:tcPr>
                <w:p w14:paraId="10AC2E17">
                  <w:pPr>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DA</w:t>
                  </w:r>
                </w:p>
                <w:p w14:paraId="5E038FB5">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573" w:type="pct"/>
                  <w:shd w:val="clear" w:color="auto" w:fill="auto"/>
                  <w:noWrap w:val="0"/>
                  <w:vAlign w:val="center"/>
                </w:tcPr>
                <w:p w14:paraId="3386192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硫酸雾</w:t>
                  </w:r>
                </w:p>
              </w:tc>
              <w:tc>
                <w:tcPr>
                  <w:tcW w:w="693" w:type="pct"/>
                  <w:shd w:val="clear" w:color="auto" w:fill="auto"/>
                  <w:noWrap w:val="0"/>
                  <w:vAlign w:val="center"/>
                </w:tcPr>
                <w:p w14:paraId="5CCE812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4.77 </w:t>
                  </w:r>
                </w:p>
              </w:tc>
              <w:tc>
                <w:tcPr>
                  <w:tcW w:w="623" w:type="pct"/>
                  <w:shd w:val="clear" w:color="auto" w:fill="auto"/>
                  <w:noWrap w:val="0"/>
                  <w:vAlign w:val="center"/>
                </w:tcPr>
                <w:p w14:paraId="27D5554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0.005 </w:t>
                  </w:r>
                </w:p>
              </w:tc>
              <w:tc>
                <w:tcPr>
                  <w:tcW w:w="1000" w:type="pct"/>
                  <w:vMerge w:val="restart"/>
                  <w:noWrap w:val="0"/>
                  <w:vAlign w:val="center"/>
                </w:tcPr>
                <w:p w14:paraId="502C2BCB">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《大气污染物综合排放标准》（DB32/4041-2021）表1</w:t>
                  </w:r>
                </w:p>
              </w:tc>
              <w:tc>
                <w:tcPr>
                  <w:tcW w:w="707" w:type="pct"/>
                  <w:shd w:val="clear" w:color="auto" w:fill="auto"/>
                  <w:noWrap w:val="0"/>
                  <w:vAlign w:val="center"/>
                </w:tcPr>
                <w:p w14:paraId="0713486A">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619" w:type="pct"/>
                  <w:shd w:val="clear" w:color="auto" w:fill="auto"/>
                  <w:noWrap w:val="0"/>
                  <w:vAlign w:val="center"/>
                </w:tcPr>
                <w:p w14:paraId="47F86571">
                  <w:pPr>
                    <w:widowControl/>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1.1</w:t>
                  </w:r>
                </w:p>
              </w:tc>
              <w:tc>
                <w:tcPr>
                  <w:tcW w:w="394" w:type="pct"/>
                  <w:noWrap w:val="0"/>
                  <w:vAlign w:val="center"/>
                </w:tcPr>
                <w:p w14:paraId="39024C90">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1BC786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0BDC75AC">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73" w:type="pct"/>
                  <w:shd w:val="clear" w:color="auto" w:fill="auto"/>
                  <w:noWrap w:val="0"/>
                  <w:vAlign w:val="center"/>
                </w:tcPr>
                <w:p w14:paraId="0086FDA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p>
              </w:tc>
              <w:tc>
                <w:tcPr>
                  <w:tcW w:w="693" w:type="pct"/>
                  <w:shd w:val="clear" w:color="auto" w:fill="auto"/>
                  <w:noWrap w:val="0"/>
                  <w:vAlign w:val="center"/>
                </w:tcPr>
                <w:p w14:paraId="738203F7">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9.63 </w:t>
                  </w:r>
                </w:p>
              </w:tc>
              <w:tc>
                <w:tcPr>
                  <w:tcW w:w="623" w:type="pct"/>
                  <w:shd w:val="clear" w:color="auto" w:fill="auto"/>
                  <w:noWrap w:val="0"/>
                  <w:vAlign w:val="center"/>
                </w:tcPr>
                <w:p w14:paraId="5B6E9D0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0.010 </w:t>
                  </w:r>
                </w:p>
              </w:tc>
              <w:tc>
                <w:tcPr>
                  <w:tcW w:w="1000" w:type="pct"/>
                  <w:vMerge w:val="continue"/>
                  <w:noWrap w:val="0"/>
                  <w:vAlign w:val="center"/>
                </w:tcPr>
                <w:p w14:paraId="60079B82">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07" w:type="pct"/>
                  <w:shd w:val="clear" w:color="auto" w:fill="auto"/>
                  <w:noWrap w:val="0"/>
                  <w:vAlign w:val="center"/>
                </w:tcPr>
                <w:p w14:paraId="5A907369">
                  <w:pPr>
                    <w:widowControl/>
                    <w:adjustRightInd w:val="0"/>
                    <w:snapToGrid w:val="0"/>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60</w:t>
                  </w:r>
                </w:p>
              </w:tc>
              <w:tc>
                <w:tcPr>
                  <w:tcW w:w="619" w:type="pct"/>
                  <w:shd w:val="clear" w:color="auto" w:fill="auto"/>
                  <w:noWrap w:val="0"/>
                  <w:vAlign w:val="center"/>
                </w:tcPr>
                <w:p w14:paraId="0BAA88E1">
                  <w:pPr>
                    <w:widowControl/>
                    <w:adjustRightInd w:val="0"/>
                    <w:snapToGrid w:val="0"/>
                    <w:spacing w:line="28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394" w:type="pct"/>
                  <w:noWrap w:val="0"/>
                  <w:vAlign w:val="center"/>
                </w:tcPr>
                <w:p w14:paraId="5B2A0D20">
                  <w:pPr>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0D086B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4FB11EA0">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73" w:type="pct"/>
                  <w:shd w:val="clear" w:color="auto" w:fill="auto"/>
                  <w:noWrap w:val="0"/>
                  <w:vAlign w:val="center"/>
                </w:tcPr>
                <w:p w14:paraId="344F733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693" w:type="pct"/>
                  <w:shd w:val="clear" w:color="auto" w:fill="auto"/>
                  <w:noWrap w:val="0"/>
                  <w:vAlign w:val="center"/>
                </w:tcPr>
                <w:p w14:paraId="1E58DA1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4.13 </w:t>
                  </w:r>
                </w:p>
              </w:tc>
              <w:tc>
                <w:tcPr>
                  <w:tcW w:w="623" w:type="pct"/>
                  <w:shd w:val="clear" w:color="auto" w:fill="auto"/>
                  <w:noWrap w:val="0"/>
                  <w:vAlign w:val="center"/>
                </w:tcPr>
                <w:p w14:paraId="4245199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1000" w:type="pct"/>
                  <w:vMerge w:val="continue"/>
                  <w:noWrap w:val="0"/>
                  <w:vAlign w:val="center"/>
                </w:tcPr>
                <w:p w14:paraId="59503CDB">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07" w:type="pct"/>
                  <w:shd w:val="clear" w:color="auto" w:fill="auto"/>
                  <w:noWrap w:val="0"/>
                  <w:vAlign w:val="center"/>
                </w:tcPr>
                <w:p w14:paraId="15479BD5">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619" w:type="pct"/>
                  <w:shd w:val="clear" w:color="auto" w:fill="auto"/>
                  <w:noWrap w:val="0"/>
                  <w:vAlign w:val="center"/>
                </w:tcPr>
                <w:p w14:paraId="217AF0FD">
                  <w:pPr>
                    <w:widowControl/>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1.8</w:t>
                  </w:r>
                </w:p>
              </w:tc>
              <w:tc>
                <w:tcPr>
                  <w:tcW w:w="394" w:type="pct"/>
                  <w:noWrap w:val="0"/>
                  <w:vAlign w:val="center"/>
                </w:tcPr>
                <w:p w14:paraId="48395617">
                  <w:pPr>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bl>
          <w:p w14:paraId="22CB15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②厂界废气达标分析</w:t>
            </w:r>
          </w:p>
          <w:p w14:paraId="7A5370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采用《环境影响评价技术导则－大气环境》（HJ2.2-2018）中推荐的AERSCREEN（不考虑地形）模型对正常工况下污染物的厂界贡献值进行估算。</w:t>
            </w:r>
          </w:p>
          <w:p w14:paraId="1CE2B5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A.废气污染源参数见下表。</w:t>
            </w:r>
          </w:p>
          <w:p w14:paraId="08BBFDA7">
            <w:pPr>
              <w:spacing w:line="240" w:lineRule="auto"/>
              <w:ind w:firstLine="0" w:firstLineChars="0"/>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主要废气污染源参数一览表</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点源</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w:t>
            </w:r>
          </w:p>
          <w:tbl>
            <w:tblPr>
              <w:tblStyle w:val="27"/>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520"/>
              <w:gridCol w:w="1803"/>
              <w:gridCol w:w="1853"/>
              <w:gridCol w:w="653"/>
              <w:gridCol w:w="653"/>
              <w:gridCol w:w="689"/>
              <w:gridCol w:w="793"/>
              <w:gridCol w:w="906"/>
              <w:gridCol w:w="736"/>
            </w:tblGrid>
            <w:tr w14:paraId="06B228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c>
                <w:tcPr>
                  <w:tcW w:w="305" w:type="pct"/>
                  <w:vMerge w:val="restart"/>
                  <w:noWrap w:val="0"/>
                  <w:vAlign w:val="center"/>
                </w:tcPr>
                <w:p w14:paraId="5A5F4A1C">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bookmarkStart w:id="12" w:name="_Hlk130049242"/>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点源</w:t>
                  </w:r>
                </w:p>
                <w:p w14:paraId="4C63233C">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名称</w:t>
                  </w:r>
                </w:p>
              </w:tc>
              <w:tc>
                <w:tcPr>
                  <w:tcW w:w="1050" w:type="pct"/>
                  <w:vMerge w:val="restart"/>
                  <w:noWrap w:val="0"/>
                  <w:vAlign w:val="center"/>
                </w:tcPr>
                <w:p w14:paraId="15199C59">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排气筒底部中心坐标</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o</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1079" w:type="pct"/>
                  <w:vMerge w:val="restart"/>
                  <w:noWrap w:val="0"/>
                  <w:vAlign w:val="center"/>
                </w:tcPr>
                <w:p w14:paraId="0326E9DD">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排气筒底部海拔</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1602" w:type="pct"/>
                  <w:gridSpan w:val="4"/>
                  <w:noWrap w:val="0"/>
                  <w:vAlign w:val="center"/>
                </w:tcPr>
                <w:p w14:paraId="3522B605">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排气筒参数</w:t>
                  </w:r>
                </w:p>
              </w:tc>
              <w:tc>
                <w:tcPr>
                  <w:tcW w:w="531" w:type="pct"/>
                  <w:vMerge w:val="restart"/>
                  <w:noWrap w:val="0"/>
                  <w:vAlign w:val="center"/>
                </w:tcPr>
                <w:p w14:paraId="12EA0510">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污染物名称</w:t>
                  </w:r>
                </w:p>
              </w:tc>
              <w:tc>
                <w:tcPr>
                  <w:tcW w:w="430" w:type="pct"/>
                  <w:vMerge w:val="restart"/>
                  <w:noWrap w:val="0"/>
                  <w:vAlign w:val="center"/>
                </w:tcPr>
                <w:p w14:paraId="6BB60BF2">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排放速率</w:t>
                  </w:r>
                </w:p>
                <w:p w14:paraId="0CFE3611">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kg/h</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r>
            <w:tr w14:paraId="49518D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c>
                <w:tcPr>
                  <w:tcW w:w="305" w:type="pct"/>
                  <w:vMerge w:val="continue"/>
                  <w:noWrap w:val="0"/>
                  <w:vAlign w:val="center"/>
                </w:tcPr>
                <w:p w14:paraId="6203F0C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050" w:type="pct"/>
                  <w:vMerge w:val="continue"/>
                  <w:noWrap w:val="0"/>
                  <w:vAlign w:val="center"/>
                </w:tcPr>
                <w:p w14:paraId="48E24D1A">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079" w:type="pct"/>
                  <w:vMerge w:val="continue"/>
                  <w:noWrap w:val="0"/>
                  <w:vAlign w:val="center"/>
                </w:tcPr>
                <w:p w14:paraId="4EAECCC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376" w:type="pct"/>
                  <w:noWrap w:val="0"/>
                  <w:vAlign w:val="center"/>
                </w:tcPr>
                <w:p w14:paraId="2FF82A1D">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高度</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376" w:type="pct"/>
                  <w:noWrap w:val="0"/>
                  <w:vAlign w:val="center"/>
                </w:tcPr>
                <w:p w14:paraId="44347F81">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内径</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401" w:type="pct"/>
                  <w:noWrap w:val="0"/>
                  <w:vAlign w:val="center"/>
                </w:tcPr>
                <w:p w14:paraId="574B0BDD">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温度</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448" w:type="pct"/>
                  <w:noWrap w:val="0"/>
                  <w:vAlign w:val="center"/>
                </w:tcPr>
                <w:p w14:paraId="18CA7012">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流速</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m/s</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531" w:type="pct"/>
                  <w:vMerge w:val="continue"/>
                  <w:noWrap w:val="0"/>
                  <w:vAlign w:val="center"/>
                </w:tcPr>
                <w:p w14:paraId="7A4D4976">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30" w:type="pct"/>
                  <w:vMerge w:val="continue"/>
                  <w:noWrap w:val="0"/>
                  <w:vAlign w:val="center"/>
                </w:tcPr>
                <w:p w14:paraId="51CB697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0C1A1E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c>
                <w:tcPr>
                  <w:tcW w:w="305" w:type="pct"/>
                  <w:vMerge w:val="restart"/>
                  <w:noWrap w:val="0"/>
                  <w:vAlign w:val="center"/>
                </w:tcPr>
                <w:p w14:paraId="5EA89366">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DA</w:t>
                  </w:r>
                </w:p>
                <w:p w14:paraId="72661CA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p>
              </w:tc>
              <w:tc>
                <w:tcPr>
                  <w:tcW w:w="1050" w:type="pct"/>
                  <w:vMerge w:val="restart"/>
                  <w:noWrap w:val="0"/>
                  <w:vAlign w:val="center"/>
                </w:tcPr>
                <w:p w14:paraId="7C4BB1F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119.632129，31.758614</w:t>
                  </w:r>
                </w:p>
              </w:tc>
              <w:tc>
                <w:tcPr>
                  <w:tcW w:w="1079" w:type="pct"/>
                  <w:vMerge w:val="restart"/>
                  <w:noWrap w:val="0"/>
                  <w:vAlign w:val="center"/>
                </w:tcPr>
                <w:p w14:paraId="274CCD8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376" w:type="pct"/>
                  <w:vMerge w:val="restart"/>
                  <w:noWrap w:val="0"/>
                  <w:vAlign w:val="center"/>
                </w:tcPr>
                <w:p w14:paraId="2F8400B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w:t>
                  </w:r>
                </w:p>
              </w:tc>
              <w:tc>
                <w:tcPr>
                  <w:tcW w:w="376" w:type="pct"/>
                  <w:vMerge w:val="restart"/>
                  <w:noWrap w:val="0"/>
                  <w:vAlign w:val="center"/>
                </w:tcPr>
                <w:p w14:paraId="6DA4353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0.15</w:t>
                  </w:r>
                </w:p>
              </w:tc>
              <w:tc>
                <w:tcPr>
                  <w:tcW w:w="401" w:type="pct"/>
                  <w:vMerge w:val="restart"/>
                  <w:noWrap w:val="0"/>
                  <w:vAlign w:val="center"/>
                </w:tcPr>
                <w:p w14:paraId="5DECF4D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c>
                <w:tcPr>
                  <w:tcW w:w="448" w:type="pct"/>
                  <w:vMerge w:val="restart"/>
                  <w:noWrap w:val="0"/>
                  <w:vAlign w:val="center"/>
                </w:tcPr>
                <w:p w14:paraId="5725219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w:t>
                  </w:r>
                </w:p>
              </w:tc>
              <w:tc>
                <w:tcPr>
                  <w:tcW w:w="531" w:type="pct"/>
                  <w:shd w:val="clear" w:color="auto" w:fill="auto"/>
                  <w:noWrap w:val="0"/>
                  <w:vAlign w:val="center"/>
                </w:tcPr>
                <w:p w14:paraId="65AB5E76">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硫酸雾</w:t>
                  </w:r>
                </w:p>
              </w:tc>
              <w:tc>
                <w:tcPr>
                  <w:tcW w:w="430" w:type="pct"/>
                  <w:shd w:val="clear" w:color="auto" w:fill="auto"/>
                  <w:noWrap w:val="0"/>
                  <w:vAlign w:val="center"/>
                </w:tcPr>
                <w:p w14:paraId="62841FBD">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0.005 </w:t>
                  </w:r>
                </w:p>
              </w:tc>
            </w:tr>
            <w:tr w14:paraId="03BD80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c>
                <w:tcPr>
                  <w:tcW w:w="305" w:type="pct"/>
                  <w:vMerge w:val="continue"/>
                  <w:noWrap w:val="0"/>
                  <w:vAlign w:val="center"/>
                </w:tcPr>
                <w:p w14:paraId="6100DD2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050" w:type="pct"/>
                  <w:vMerge w:val="continue"/>
                  <w:noWrap w:val="0"/>
                  <w:vAlign w:val="center"/>
                </w:tcPr>
                <w:p w14:paraId="3EEF17D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079" w:type="pct"/>
                  <w:vMerge w:val="continue"/>
                  <w:noWrap w:val="0"/>
                  <w:vAlign w:val="center"/>
                </w:tcPr>
                <w:p w14:paraId="2BB3E649">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376" w:type="pct"/>
                  <w:vMerge w:val="continue"/>
                  <w:noWrap w:val="0"/>
                  <w:vAlign w:val="center"/>
                </w:tcPr>
                <w:p w14:paraId="722F656D">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376" w:type="pct"/>
                  <w:vMerge w:val="continue"/>
                  <w:noWrap w:val="0"/>
                  <w:vAlign w:val="center"/>
                </w:tcPr>
                <w:p w14:paraId="4CE4B2E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01" w:type="pct"/>
                  <w:vMerge w:val="continue"/>
                  <w:noWrap w:val="0"/>
                  <w:vAlign w:val="center"/>
                </w:tcPr>
                <w:p w14:paraId="2F8C33F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48" w:type="pct"/>
                  <w:vMerge w:val="continue"/>
                  <w:noWrap w:val="0"/>
                  <w:vAlign w:val="center"/>
                </w:tcPr>
                <w:p w14:paraId="5986D6D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531" w:type="pct"/>
                  <w:shd w:val="clear" w:color="auto" w:fill="auto"/>
                  <w:noWrap w:val="0"/>
                  <w:vAlign w:val="center"/>
                </w:tcPr>
                <w:p w14:paraId="5FC34B5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p>
              </w:tc>
              <w:tc>
                <w:tcPr>
                  <w:tcW w:w="430" w:type="pct"/>
                  <w:shd w:val="clear" w:color="auto" w:fill="auto"/>
                  <w:noWrap w:val="0"/>
                  <w:vAlign w:val="center"/>
                </w:tcPr>
                <w:p w14:paraId="732E3353">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0.010 </w:t>
                  </w:r>
                </w:p>
              </w:tc>
            </w:tr>
            <w:tr w14:paraId="106DAD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c>
                <w:tcPr>
                  <w:tcW w:w="305" w:type="pct"/>
                  <w:vMerge w:val="continue"/>
                  <w:noWrap w:val="0"/>
                  <w:vAlign w:val="center"/>
                </w:tcPr>
                <w:p w14:paraId="6BC60E1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050" w:type="pct"/>
                  <w:vMerge w:val="continue"/>
                  <w:noWrap w:val="0"/>
                  <w:vAlign w:val="center"/>
                </w:tcPr>
                <w:p w14:paraId="7D2D04D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079" w:type="pct"/>
                  <w:vMerge w:val="continue"/>
                  <w:noWrap w:val="0"/>
                  <w:vAlign w:val="center"/>
                </w:tcPr>
                <w:p w14:paraId="402D058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376" w:type="pct"/>
                  <w:vMerge w:val="continue"/>
                  <w:noWrap w:val="0"/>
                  <w:vAlign w:val="center"/>
                </w:tcPr>
                <w:p w14:paraId="48EB174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376" w:type="pct"/>
                  <w:vMerge w:val="continue"/>
                  <w:noWrap w:val="0"/>
                  <w:vAlign w:val="center"/>
                </w:tcPr>
                <w:p w14:paraId="17E8991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01" w:type="pct"/>
                  <w:vMerge w:val="continue"/>
                  <w:noWrap w:val="0"/>
                  <w:vAlign w:val="center"/>
                </w:tcPr>
                <w:p w14:paraId="458DD5A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48" w:type="pct"/>
                  <w:vMerge w:val="continue"/>
                  <w:noWrap w:val="0"/>
                  <w:vAlign w:val="center"/>
                </w:tcPr>
                <w:p w14:paraId="0D7F70C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531" w:type="pct"/>
                  <w:shd w:val="clear" w:color="auto" w:fill="auto"/>
                  <w:noWrap w:val="0"/>
                  <w:vAlign w:val="center"/>
                </w:tcPr>
                <w:p w14:paraId="08136E6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430" w:type="pct"/>
                  <w:shd w:val="clear" w:color="auto" w:fill="auto"/>
                  <w:noWrap w:val="0"/>
                  <w:vAlign w:val="center"/>
                </w:tcPr>
                <w:p w14:paraId="6FFB40E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0.004 </w:t>
                  </w:r>
                </w:p>
              </w:tc>
            </w:tr>
            <w:bookmarkEnd w:id="12"/>
          </w:tbl>
          <w:p w14:paraId="4A41CCF8">
            <w:pPr>
              <w:spacing w:line="240" w:lineRule="auto"/>
              <w:ind w:firstLine="0" w:firstLineChars="0"/>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主要废气污染源参数一览表</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矩形面源</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997"/>
              <w:gridCol w:w="813"/>
              <w:gridCol w:w="813"/>
              <w:gridCol w:w="814"/>
              <w:gridCol w:w="899"/>
              <w:gridCol w:w="1130"/>
              <w:gridCol w:w="754"/>
            </w:tblGrid>
            <w:tr w14:paraId="477BA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818" w:type="pct"/>
                  <w:vMerge w:val="restart"/>
                  <w:tcBorders>
                    <w:tl2br w:val="nil"/>
                    <w:tr2bl w:val="nil"/>
                  </w:tcBorders>
                  <w:noWrap w:val="0"/>
                  <w:vAlign w:val="center"/>
                </w:tcPr>
                <w:p w14:paraId="6A95D970">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面源名称</w:t>
                  </w:r>
                </w:p>
              </w:tc>
              <w:tc>
                <w:tcPr>
                  <w:tcW w:w="1173" w:type="pct"/>
                  <w:tcBorders>
                    <w:tl2br w:val="nil"/>
                    <w:tr2bl w:val="nil"/>
                  </w:tcBorders>
                  <w:noWrap w:val="0"/>
                  <w:vAlign w:val="center"/>
                </w:tcPr>
                <w:p w14:paraId="42AD7D37">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坐标</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o</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449" w:type="pct"/>
                  <w:vMerge w:val="restart"/>
                  <w:tcBorders>
                    <w:tl2br w:val="nil"/>
                    <w:tr2bl w:val="nil"/>
                  </w:tcBorders>
                  <w:noWrap w:val="0"/>
                  <w:vAlign w:val="center"/>
                </w:tcPr>
                <w:p w14:paraId="338BECB5">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海拔高度（m）</w:t>
                  </w:r>
                </w:p>
              </w:tc>
              <w:tc>
                <w:tcPr>
                  <w:tcW w:w="433" w:type="pct"/>
                  <w:vMerge w:val="restart"/>
                  <w:tcBorders>
                    <w:tl2br w:val="nil"/>
                    <w:tr2bl w:val="nil"/>
                  </w:tcBorders>
                  <w:noWrap w:val="0"/>
                  <w:vAlign w:val="center"/>
                </w:tcPr>
                <w:p w14:paraId="718FF386">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长度（m）</w:t>
                  </w:r>
                </w:p>
              </w:tc>
              <w:tc>
                <w:tcPr>
                  <w:tcW w:w="471" w:type="pct"/>
                  <w:vMerge w:val="restart"/>
                  <w:tcBorders>
                    <w:tl2br w:val="nil"/>
                    <w:tr2bl w:val="nil"/>
                  </w:tcBorders>
                  <w:noWrap w:val="0"/>
                  <w:vAlign w:val="center"/>
                </w:tcPr>
                <w:p w14:paraId="586F8751">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宽度（m）</w:t>
                  </w:r>
                </w:p>
              </w:tc>
              <w:tc>
                <w:tcPr>
                  <w:tcW w:w="535" w:type="pct"/>
                  <w:vMerge w:val="restart"/>
                  <w:tcBorders>
                    <w:tl2br w:val="nil"/>
                    <w:tr2bl w:val="nil"/>
                  </w:tcBorders>
                  <w:noWrap w:val="0"/>
                  <w:vAlign w:val="center"/>
                </w:tcPr>
                <w:p w14:paraId="1E4AF565">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有效高度（m）</w:t>
                  </w:r>
                </w:p>
              </w:tc>
              <w:tc>
                <w:tcPr>
                  <w:tcW w:w="669" w:type="pct"/>
                  <w:tcBorders>
                    <w:tl2br w:val="nil"/>
                    <w:tr2bl w:val="nil"/>
                  </w:tcBorders>
                  <w:noWrap w:val="0"/>
                  <w:vAlign w:val="center"/>
                </w:tcPr>
                <w:p w14:paraId="184189FD">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污染物</w:t>
                  </w:r>
                </w:p>
              </w:tc>
              <w:tc>
                <w:tcPr>
                  <w:tcW w:w="449" w:type="pct"/>
                  <w:tcBorders>
                    <w:tl2br w:val="nil"/>
                    <w:tr2bl w:val="nil"/>
                  </w:tcBorders>
                  <w:noWrap w:val="0"/>
                  <w:vAlign w:val="center"/>
                </w:tcPr>
                <w:p w14:paraId="637ABC48">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排放速率</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kg/h</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r>
            <w:tr w14:paraId="33251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tcBorders>
                    <w:tl2br w:val="nil"/>
                    <w:tr2bl w:val="nil"/>
                  </w:tcBorders>
                  <w:noWrap w:val="0"/>
                  <w:vAlign w:val="center"/>
                </w:tcPr>
                <w:p w14:paraId="4641BE5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生产厂房（二层）</w:t>
                  </w:r>
                </w:p>
              </w:tc>
              <w:tc>
                <w:tcPr>
                  <w:tcW w:w="1173" w:type="pct"/>
                  <w:vMerge w:val="restart"/>
                  <w:tcBorders>
                    <w:tl2br w:val="nil"/>
                    <w:tr2bl w:val="nil"/>
                  </w:tcBorders>
                  <w:noWrap w:val="0"/>
                  <w:vAlign w:val="center"/>
                </w:tcPr>
                <w:p w14:paraId="06A9F43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119.631942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，31.758605</w:t>
                  </w:r>
                </w:p>
              </w:tc>
              <w:tc>
                <w:tcPr>
                  <w:tcW w:w="449" w:type="pct"/>
                  <w:vMerge w:val="restart"/>
                  <w:tcBorders>
                    <w:tl2br w:val="nil"/>
                    <w:tr2bl w:val="nil"/>
                  </w:tcBorders>
                  <w:noWrap/>
                  <w:vAlign w:val="center"/>
                </w:tcPr>
                <w:p w14:paraId="77B5B80D">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433" w:type="pct"/>
                  <w:vMerge w:val="restart"/>
                  <w:tcBorders>
                    <w:tl2br w:val="nil"/>
                    <w:tr2bl w:val="nil"/>
                  </w:tcBorders>
                  <w:noWrap w:val="0"/>
                  <w:vAlign w:val="center"/>
                </w:tcPr>
                <w:p w14:paraId="4BE0648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32.5</w:t>
                  </w:r>
                </w:p>
              </w:tc>
              <w:tc>
                <w:tcPr>
                  <w:tcW w:w="471" w:type="pct"/>
                  <w:vMerge w:val="restart"/>
                  <w:tcBorders>
                    <w:tl2br w:val="nil"/>
                    <w:tr2bl w:val="nil"/>
                  </w:tcBorders>
                  <w:noWrap w:val="0"/>
                  <w:vAlign w:val="center"/>
                </w:tcPr>
                <w:p w14:paraId="5270B81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w:t>
                  </w:r>
                </w:p>
              </w:tc>
              <w:tc>
                <w:tcPr>
                  <w:tcW w:w="535" w:type="pct"/>
                  <w:vMerge w:val="restart"/>
                  <w:tcBorders>
                    <w:tl2br w:val="nil"/>
                    <w:tr2bl w:val="nil"/>
                  </w:tcBorders>
                  <w:noWrap w:val="0"/>
                  <w:vAlign w:val="center"/>
                </w:tcPr>
                <w:p w14:paraId="06D889A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12</w:t>
                  </w:r>
                </w:p>
              </w:tc>
              <w:tc>
                <w:tcPr>
                  <w:tcW w:w="669" w:type="pct"/>
                  <w:tcBorders>
                    <w:tl2br w:val="nil"/>
                    <w:tr2bl w:val="nil"/>
                  </w:tcBorders>
                  <w:shd w:val="clear" w:color="auto" w:fill="auto"/>
                  <w:noWrap w:val="0"/>
                  <w:vAlign w:val="center"/>
                </w:tcPr>
                <w:p w14:paraId="77DDF2E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硫酸雾</w:t>
                  </w:r>
                </w:p>
              </w:tc>
              <w:tc>
                <w:tcPr>
                  <w:tcW w:w="449" w:type="pct"/>
                  <w:tcBorders>
                    <w:tl2br w:val="nil"/>
                    <w:tr2bl w:val="nil"/>
                  </w:tcBorders>
                  <w:shd w:val="clear" w:color="auto" w:fill="auto"/>
                  <w:noWrap w:val="0"/>
                  <w:vAlign w:val="center"/>
                </w:tcPr>
                <w:p w14:paraId="5140F01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0.002</w:t>
                  </w:r>
                </w:p>
              </w:tc>
            </w:tr>
            <w:tr w14:paraId="26631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Borders>
                    <w:tl2br w:val="nil"/>
                    <w:tr2bl w:val="nil"/>
                  </w:tcBorders>
                  <w:noWrap w:val="0"/>
                  <w:vAlign w:val="center"/>
                </w:tcPr>
                <w:p w14:paraId="29D2F41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3" w:type="pct"/>
                  <w:vMerge w:val="continue"/>
                  <w:tcBorders>
                    <w:tl2br w:val="nil"/>
                    <w:tr2bl w:val="nil"/>
                  </w:tcBorders>
                  <w:noWrap w:val="0"/>
                  <w:vAlign w:val="center"/>
                </w:tcPr>
                <w:p w14:paraId="1E832EA9">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49" w:type="pct"/>
                  <w:vMerge w:val="continue"/>
                  <w:tcBorders>
                    <w:tl2br w:val="nil"/>
                    <w:tr2bl w:val="nil"/>
                  </w:tcBorders>
                  <w:noWrap/>
                  <w:vAlign w:val="center"/>
                </w:tcPr>
                <w:p w14:paraId="72D14E6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33" w:type="pct"/>
                  <w:vMerge w:val="continue"/>
                  <w:tcBorders>
                    <w:tl2br w:val="nil"/>
                    <w:tr2bl w:val="nil"/>
                  </w:tcBorders>
                  <w:noWrap w:val="0"/>
                  <w:vAlign w:val="center"/>
                </w:tcPr>
                <w:p w14:paraId="026B046D">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71" w:type="pct"/>
                  <w:vMerge w:val="continue"/>
                  <w:tcBorders>
                    <w:tl2br w:val="nil"/>
                    <w:tr2bl w:val="nil"/>
                  </w:tcBorders>
                  <w:noWrap w:val="0"/>
                  <w:vAlign w:val="center"/>
                </w:tcPr>
                <w:p w14:paraId="32F58543">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535" w:type="pct"/>
                  <w:vMerge w:val="continue"/>
                  <w:tcBorders>
                    <w:tl2br w:val="nil"/>
                    <w:tr2bl w:val="nil"/>
                  </w:tcBorders>
                  <w:noWrap w:val="0"/>
                  <w:vAlign w:val="center"/>
                </w:tcPr>
                <w:p w14:paraId="7ED8806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69" w:type="pct"/>
                  <w:tcBorders>
                    <w:tl2br w:val="nil"/>
                    <w:tr2bl w:val="nil"/>
                  </w:tcBorders>
                  <w:shd w:val="clear" w:color="auto" w:fill="auto"/>
                  <w:noWrap w:val="0"/>
                  <w:vAlign w:val="center"/>
                </w:tcPr>
                <w:p w14:paraId="667E10D7">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p>
              </w:tc>
              <w:tc>
                <w:tcPr>
                  <w:tcW w:w="449" w:type="pct"/>
                  <w:tcBorders>
                    <w:tl2br w:val="nil"/>
                    <w:tr2bl w:val="nil"/>
                  </w:tcBorders>
                  <w:shd w:val="clear" w:color="auto" w:fill="auto"/>
                  <w:noWrap w:val="0"/>
                  <w:vAlign w:val="center"/>
                </w:tcPr>
                <w:p w14:paraId="5094DA6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0.005</w:t>
                  </w:r>
                </w:p>
              </w:tc>
            </w:tr>
            <w:tr w14:paraId="0C0F9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Borders>
                    <w:tl2br w:val="nil"/>
                    <w:tr2bl w:val="nil"/>
                  </w:tcBorders>
                  <w:noWrap w:val="0"/>
                  <w:vAlign w:val="center"/>
                </w:tcPr>
                <w:p w14:paraId="59B83FC7">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3" w:type="pct"/>
                  <w:vMerge w:val="continue"/>
                  <w:tcBorders>
                    <w:tl2br w:val="nil"/>
                    <w:tr2bl w:val="nil"/>
                  </w:tcBorders>
                  <w:noWrap w:val="0"/>
                  <w:vAlign w:val="center"/>
                </w:tcPr>
                <w:p w14:paraId="565DC583">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49" w:type="pct"/>
                  <w:vMerge w:val="continue"/>
                  <w:tcBorders>
                    <w:tl2br w:val="nil"/>
                    <w:tr2bl w:val="nil"/>
                  </w:tcBorders>
                  <w:noWrap/>
                  <w:vAlign w:val="center"/>
                </w:tcPr>
                <w:p w14:paraId="5E8D2A7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33" w:type="pct"/>
                  <w:vMerge w:val="continue"/>
                  <w:tcBorders>
                    <w:tl2br w:val="nil"/>
                    <w:tr2bl w:val="nil"/>
                  </w:tcBorders>
                  <w:noWrap w:val="0"/>
                  <w:vAlign w:val="center"/>
                </w:tcPr>
                <w:p w14:paraId="30A50EE3">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71" w:type="pct"/>
                  <w:vMerge w:val="continue"/>
                  <w:tcBorders>
                    <w:tl2br w:val="nil"/>
                    <w:tr2bl w:val="nil"/>
                  </w:tcBorders>
                  <w:noWrap w:val="0"/>
                  <w:vAlign w:val="center"/>
                </w:tcPr>
                <w:p w14:paraId="4AAC422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535" w:type="pct"/>
                  <w:vMerge w:val="continue"/>
                  <w:tcBorders>
                    <w:tl2br w:val="nil"/>
                    <w:tr2bl w:val="nil"/>
                  </w:tcBorders>
                  <w:noWrap w:val="0"/>
                  <w:vAlign w:val="center"/>
                </w:tcPr>
                <w:p w14:paraId="3C556F3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69" w:type="pct"/>
                  <w:tcBorders>
                    <w:tl2br w:val="nil"/>
                    <w:tr2bl w:val="nil"/>
                  </w:tcBorders>
                  <w:shd w:val="clear" w:color="auto" w:fill="auto"/>
                  <w:noWrap w:val="0"/>
                  <w:vAlign w:val="center"/>
                </w:tcPr>
                <w:p w14:paraId="73B39E89">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449" w:type="pct"/>
                  <w:tcBorders>
                    <w:tl2br w:val="nil"/>
                    <w:tr2bl w:val="nil"/>
                  </w:tcBorders>
                  <w:shd w:val="clear" w:color="auto" w:fill="auto"/>
                  <w:noWrap w:val="0"/>
                  <w:vAlign w:val="center"/>
                </w:tcPr>
                <w:p w14:paraId="69DEB97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0.002</w:t>
                  </w:r>
                </w:p>
              </w:tc>
            </w:tr>
          </w:tbl>
          <w:p w14:paraId="5F3914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B.估算模式所用参数见下表</w:t>
            </w:r>
          </w:p>
          <w:p w14:paraId="723D2087">
            <w:pPr>
              <w:spacing w:line="240" w:lineRule="auto"/>
              <w:ind w:firstLine="0" w:firstLineChars="0"/>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大气环境影响评价估算模型参数</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373"/>
              <w:gridCol w:w="4230"/>
            </w:tblGrid>
            <w:tr w14:paraId="16BD7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4" w:type="pct"/>
                  <w:gridSpan w:val="2"/>
                  <w:noWrap w:val="0"/>
                  <w:vAlign w:val="center"/>
                </w:tcPr>
                <w:p w14:paraId="6AD9D944">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参数</w:t>
                  </w:r>
                </w:p>
              </w:tc>
              <w:tc>
                <w:tcPr>
                  <w:tcW w:w="2455" w:type="pct"/>
                  <w:noWrap w:val="0"/>
                  <w:vAlign w:val="center"/>
                </w:tcPr>
                <w:p w14:paraId="46B1192B">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取值</w:t>
                  </w:r>
                </w:p>
              </w:tc>
            </w:tr>
            <w:tr w14:paraId="4CA83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restart"/>
                  <w:noWrap w:val="0"/>
                  <w:vAlign w:val="center"/>
                </w:tcPr>
                <w:p w14:paraId="4E10A3A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城市农村/选项</w:t>
                  </w:r>
                </w:p>
              </w:tc>
              <w:tc>
                <w:tcPr>
                  <w:tcW w:w="1376" w:type="pct"/>
                  <w:noWrap w:val="0"/>
                  <w:vAlign w:val="center"/>
                </w:tcPr>
                <w:p w14:paraId="55A31D2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城市/农村</w:t>
                  </w:r>
                </w:p>
              </w:tc>
              <w:tc>
                <w:tcPr>
                  <w:tcW w:w="2455" w:type="pct"/>
                  <w:noWrap w:val="0"/>
                  <w:vAlign w:val="center"/>
                </w:tcPr>
                <w:p w14:paraId="314EACC7">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城市</w:t>
                  </w:r>
                </w:p>
              </w:tc>
            </w:tr>
            <w:tr w14:paraId="12C8F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noWrap w:val="0"/>
                  <w:vAlign w:val="center"/>
                </w:tcPr>
                <w:p w14:paraId="62221A9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376" w:type="pct"/>
                  <w:noWrap w:val="0"/>
                  <w:vAlign w:val="center"/>
                </w:tcPr>
                <w:p w14:paraId="7FB09A7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人口数</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城市人口数</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2455" w:type="pct"/>
                  <w:noWrap w:val="0"/>
                  <w:vAlign w:val="center"/>
                </w:tcPr>
                <w:p w14:paraId="7232370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600000</w:t>
                  </w:r>
                </w:p>
              </w:tc>
            </w:tr>
            <w:tr w14:paraId="4CED5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4" w:type="pct"/>
                  <w:gridSpan w:val="2"/>
                  <w:noWrap w:val="0"/>
                  <w:vAlign w:val="center"/>
                </w:tcPr>
                <w:p w14:paraId="40F3545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最高环境温度</w:t>
                  </w:r>
                </w:p>
              </w:tc>
              <w:tc>
                <w:tcPr>
                  <w:tcW w:w="2455" w:type="pct"/>
                  <w:noWrap w:val="0"/>
                  <w:vAlign w:val="center"/>
                </w:tcPr>
                <w:p w14:paraId="729E0A1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°C</w:t>
                  </w:r>
                </w:p>
              </w:tc>
            </w:tr>
            <w:tr w14:paraId="7F44B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4" w:type="pct"/>
                  <w:gridSpan w:val="2"/>
                  <w:noWrap w:val="0"/>
                  <w:vAlign w:val="center"/>
                </w:tcPr>
                <w:p w14:paraId="259CBF9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最低环境温度</w:t>
                  </w:r>
                </w:p>
              </w:tc>
              <w:tc>
                <w:tcPr>
                  <w:tcW w:w="2455" w:type="pct"/>
                  <w:noWrap w:val="0"/>
                  <w:vAlign w:val="center"/>
                </w:tcPr>
                <w:p w14:paraId="433304F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5.50</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°C</w:t>
                  </w:r>
                </w:p>
              </w:tc>
            </w:tr>
            <w:tr w14:paraId="5DDE1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4" w:type="pct"/>
                  <w:gridSpan w:val="2"/>
                  <w:noWrap w:val="0"/>
                  <w:vAlign w:val="center"/>
                </w:tcPr>
                <w:p w14:paraId="3D5ED827">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土地利用类型</w:t>
                  </w:r>
                </w:p>
              </w:tc>
              <w:tc>
                <w:tcPr>
                  <w:tcW w:w="2455" w:type="pct"/>
                  <w:noWrap w:val="0"/>
                  <w:vAlign w:val="center"/>
                </w:tcPr>
                <w:p w14:paraId="6CBB96B2">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城市</w:t>
                  </w:r>
                </w:p>
              </w:tc>
            </w:tr>
            <w:tr w14:paraId="3F8FF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4" w:type="pct"/>
                  <w:gridSpan w:val="2"/>
                  <w:noWrap w:val="0"/>
                  <w:vAlign w:val="center"/>
                </w:tcPr>
                <w:p w14:paraId="316B8096">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区域湿度条件</w:t>
                  </w:r>
                </w:p>
              </w:tc>
              <w:tc>
                <w:tcPr>
                  <w:tcW w:w="2455" w:type="pct"/>
                  <w:noWrap w:val="0"/>
                  <w:vAlign w:val="center"/>
                </w:tcPr>
                <w:p w14:paraId="751528E8">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潮湿</w:t>
                  </w:r>
                </w:p>
              </w:tc>
            </w:tr>
            <w:tr w14:paraId="231A7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restart"/>
                  <w:noWrap w:val="0"/>
                  <w:vAlign w:val="center"/>
                </w:tcPr>
                <w:p w14:paraId="089A4D1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是否考虑地形</w:t>
                  </w:r>
                </w:p>
              </w:tc>
              <w:tc>
                <w:tcPr>
                  <w:tcW w:w="1376" w:type="pct"/>
                  <w:noWrap w:val="0"/>
                  <w:vAlign w:val="center"/>
                </w:tcPr>
                <w:p w14:paraId="612814B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考虑地形</w:t>
                  </w:r>
                </w:p>
              </w:tc>
              <w:tc>
                <w:tcPr>
                  <w:tcW w:w="2455" w:type="pct"/>
                  <w:noWrap w:val="0"/>
                  <w:vAlign w:val="center"/>
                </w:tcPr>
                <w:p w14:paraId="7C57786A">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否</w:t>
                  </w:r>
                </w:p>
              </w:tc>
            </w:tr>
            <w:tr w14:paraId="26709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noWrap w:val="0"/>
                  <w:vAlign w:val="center"/>
                </w:tcPr>
                <w:p w14:paraId="67D423A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376" w:type="pct"/>
                  <w:noWrap w:val="0"/>
                  <w:vAlign w:val="center"/>
                </w:tcPr>
                <w:p w14:paraId="525A3A7F">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地形数据分辨率</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2455" w:type="pct"/>
                  <w:noWrap w:val="0"/>
                  <w:vAlign w:val="center"/>
                </w:tcPr>
                <w:p w14:paraId="2C20650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r w14:paraId="2AD52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restart"/>
                  <w:noWrap w:val="0"/>
                  <w:vAlign w:val="center"/>
                </w:tcPr>
                <w:p w14:paraId="359CAEE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是否考虑海岸线熏烟</w:t>
                  </w:r>
                </w:p>
              </w:tc>
              <w:tc>
                <w:tcPr>
                  <w:tcW w:w="1376" w:type="pct"/>
                  <w:noWrap w:val="0"/>
                  <w:vAlign w:val="center"/>
                </w:tcPr>
                <w:p w14:paraId="16D5F85C">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考虑海岸线熏烟</w:t>
                  </w:r>
                </w:p>
              </w:tc>
              <w:tc>
                <w:tcPr>
                  <w:tcW w:w="2455" w:type="pct"/>
                  <w:noWrap w:val="0"/>
                  <w:vAlign w:val="center"/>
                </w:tcPr>
                <w:p w14:paraId="2E268E4A">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否</w:t>
                  </w:r>
                </w:p>
              </w:tc>
            </w:tr>
            <w:tr w14:paraId="724E4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noWrap w:val="0"/>
                  <w:vAlign w:val="center"/>
                </w:tcPr>
                <w:p w14:paraId="4FFA81E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376" w:type="pct"/>
                  <w:noWrap w:val="0"/>
                  <w:vAlign w:val="center"/>
                </w:tcPr>
                <w:p w14:paraId="336FCFAE">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海岸线距离/km</w:t>
                  </w:r>
                </w:p>
              </w:tc>
              <w:tc>
                <w:tcPr>
                  <w:tcW w:w="2455" w:type="pct"/>
                  <w:noWrap w:val="0"/>
                  <w:vAlign w:val="center"/>
                </w:tcPr>
                <w:p w14:paraId="28BAC7A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r w14:paraId="59673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noWrap w:val="0"/>
                  <w:vAlign w:val="center"/>
                </w:tcPr>
                <w:p w14:paraId="3D252670">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376" w:type="pct"/>
                  <w:noWrap w:val="0"/>
                  <w:vAlign w:val="center"/>
                </w:tcPr>
                <w:p w14:paraId="092E2DD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海岸线方向/o</w:t>
                  </w:r>
                </w:p>
              </w:tc>
              <w:tc>
                <w:tcPr>
                  <w:tcW w:w="2455" w:type="pct"/>
                  <w:noWrap w:val="0"/>
                  <w:vAlign w:val="center"/>
                </w:tcPr>
                <w:p w14:paraId="2966E60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bl>
          <w:p w14:paraId="2E0F20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C.估算结果</w:t>
            </w:r>
          </w:p>
          <w:p w14:paraId="280158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14:textFill>
                  <w14:solidFill>
                    <w14:schemeClr w14:val="tx1"/>
                  </w14:solidFill>
                </w14:textFill>
              </w:rPr>
            </w:pPr>
            <w:bookmarkStart w:id="13" w:name="_Hlk128128805"/>
            <w:r>
              <w:rPr>
                <w:rFonts w:hint="eastAsia" w:ascii="Times New Roman" w:hAnsi="Times New Roman" w:eastAsia="宋体" w:cs="Times New Roman"/>
                <w:bCs/>
                <w:color w:val="000000" w:themeColor="text1"/>
                <w:sz w:val="24"/>
                <w:lang w:val="en-US" w:eastAsia="zh-CN"/>
                <w14:textFill>
                  <w14:solidFill>
                    <w14:schemeClr w14:val="tx1"/>
                  </w14:solidFill>
                </w14:textFill>
              </w:rPr>
              <w:t>本项目有组织、无组织排放的污染物最大贡献值均小于厂界监控浓度限值，具体见下表。</w:t>
            </w:r>
          </w:p>
          <w:p w14:paraId="5056FA98">
            <w:pPr>
              <w:spacing w:line="240" w:lineRule="auto"/>
              <w:ind w:firstLine="0" w:firstLineChars="0"/>
              <w:jc w:val="cente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表4-15 厂界污染物排放达标分析</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300"/>
              <w:gridCol w:w="1953"/>
              <w:gridCol w:w="2102"/>
              <w:gridCol w:w="2169"/>
              <w:gridCol w:w="1082"/>
            </w:tblGrid>
            <w:tr w14:paraId="664671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55" w:type="pct"/>
                  <w:noWrap w:val="0"/>
                  <w:vAlign w:val="center"/>
                </w:tcPr>
                <w:p w14:paraId="121252AB">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污染物名称</w:t>
                  </w:r>
                </w:p>
              </w:tc>
              <w:tc>
                <w:tcPr>
                  <w:tcW w:w="1134" w:type="pct"/>
                  <w:noWrap w:val="0"/>
                  <w:vAlign w:val="center"/>
                </w:tcPr>
                <w:p w14:paraId="360B5E2D">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最大贡献值（μg/m</w:t>
                  </w:r>
                  <w:r>
                    <w:rPr>
                      <w:rFonts w:hint="default" w:ascii="Times New Roman" w:hAnsi="Times New Roman" w:eastAsia="宋体" w:cs="Times New Roman"/>
                      <w:b/>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1221" w:type="pct"/>
                  <w:noWrap w:val="0"/>
                  <w:vAlign w:val="center"/>
                </w:tcPr>
                <w:p w14:paraId="7811A531">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厂界监控浓度限值</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μg/m</w:t>
                  </w:r>
                  <w:r>
                    <w:rPr>
                      <w:rFonts w:hint="default" w:ascii="Times New Roman" w:hAnsi="Times New Roman" w:eastAsia="宋体" w:cs="Times New Roman"/>
                      <w:b/>
                      <w:bCs w:val="0"/>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w:t>
                  </w:r>
                </w:p>
              </w:tc>
              <w:tc>
                <w:tcPr>
                  <w:tcW w:w="1260" w:type="pct"/>
                  <w:noWrap w:val="0"/>
                  <w:vAlign w:val="center"/>
                </w:tcPr>
                <w:p w14:paraId="30A8E5C1">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标准来源</w:t>
                  </w:r>
                </w:p>
              </w:tc>
              <w:tc>
                <w:tcPr>
                  <w:tcW w:w="628" w:type="pct"/>
                  <w:noWrap w:val="0"/>
                  <w:vAlign w:val="center"/>
                </w:tcPr>
                <w:p w14:paraId="08ACF612">
                  <w:pPr>
                    <w:contextualSpacing/>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达标分析</w:t>
                  </w:r>
                </w:p>
              </w:tc>
            </w:tr>
            <w:tr w14:paraId="3B2593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55" w:type="pct"/>
                  <w:shd w:val="clear" w:color="auto" w:fill="auto"/>
                  <w:noWrap w:val="0"/>
                  <w:vAlign w:val="center"/>
                </w:tcPr>
                <w:p w14:paraId="0283F967">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硫酸雾</w:t>
                  </w:r>
                </w:p>
              </w:tc>
              <w:tc>
                <w:tcPr>
                  <w:tcW w:w="1947" w:type="dxa"/>
                  <w:noWrap w:val="0"/>
                  <w:vAlign w:val="center"/>
                </w:tcPr>
                <w:p w14:paraId="44FF9F7D">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2.1851</w:t>
                  </w:r>
                </w:p>
              </w:tc>
              <w:tc>
                <w:tcPr>
                  <w:tcW w:w="1221" w:type="pct"/>
                  <w:noWrap w:val="0"/>
                  <w:vAlign w:val="center"/>
                </w:tcPr>
                <w:p w14:paraId="2464E0EB">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300</w:t>
                  </w:r>
                </w:p>
              </w:tc>
              <w:tc>
                <w:tcPr>
                  <w:tcW w:w="1260" w:type="pct"/>
                  <w:vMerge w:val="restart"/>
                  <w:noWrap w:val="0"/>
                  <w:vAlign w:val="center"/>
                </w:tcPr>
                <w:p w14:paraId="38B3C37B">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《大气污染物综合排放标准》（DB32/4041-2021）表3</w:t>
                  </w:r>
                </w:p>
              </w:tc>
              <w:tc>
                <w:tcPr>
                  <w:tcW w:w="628" w:type="pct"/>
                  <w:noWrap w:val="0"/>
                  <w:vAlign w:val="center"/>
                </w:tcPr>
                <w:p w14:paraId="7383CC87">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达标</w:t>
                  </w:r>
                </w:p>
              </w:tc>
            </w:tr>
            <w:tr w14:paraId="211104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55" w:type="pct"/>
                  <w:shd w:val="clear" w:color="auto" w:fill="auto"/>
                  <w:noWrap w:val="0"/>
                  <w:vAlign w:val="center"/>
                </w:tcPr>
                <w:p w14:paraId="376EF18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非甲烷总烃</w:t>
                  </w:r>
                </w:p>
              </w:tc>
              <w:tc>
                <w:tcPr>
                  <w:tcW w:w="1947" w:type="dxa"/>
                  <w:noWrap w:val="0"/>
                  <w:vAlign w:val="center"/>
                </w:tcPr>
                <w:p w14:paraId="6F3EA8F8">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5.1478</w:t>
                  </w:r>
                </w:p>
              </w:tc>
              <w:tc>
                <w:tcPr>
                  <w:tcW w:w="1221" w:type="pct"/>
                  <w:noWrap w:val="0"/>
                  <w:vAlign w:val="center"/>
                </w:tcPr>
                <w:p w14:paraId="3F7704EA">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4000</w:t>
                  </w:r>
                </w:p>
              </w:tc>
              <w:tc>
                <w:tcPr>
                  <w:tcW w:w="1260" w:type="pct"/>
                  <w:vMerge w:val="continue"/>
                  <w:noWrap w:val="0"/>
                  <w:vAlign w:val="center"/>
                </w:tcPr>
                <w:p w14:paraId="7D66C605">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28" w:type="pct"/>
                  <w:noWrap w:val="0"/>
                  <w:vAlign w:val="center"/>
                </w:tcPr>
                <w:p w14:paraId="2F84BBE4">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达标</w:t>
                  </w:r>
                </w:p>
              </w:tc>
            </w:tr>
            <w:tr w14:paraId="20B5D5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55" w:type="pct"/>
                  <w:shd w:val="clear" w:color="auto" w:fill="auto"/>
                  <w:noWrap w:val="0"/>
                  <w:vAlign w:val="center"/>
                </w:tcPr>
                <w:p w14:paraId="09317A02">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甲醇</w:t>
                  </w:r>
                </w:p>
              </w:tc>
              <w:tc>
                <w:tcPr>
                  <w:tcW w:w="1947" w:type="dxa"/>
                  <w:noWrap w:val="0"/>
                  <w:vAlign w:val="center"/>
                </w:tcPr>
                <w:p w14:paraId="38F87DDD">
                  <w:pPr>
                    <w:contextualSpacing/>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2.0591</w:t>
                  </w:r>
                </w:p>
              </w:tc>
              <w:tc>
                <w:tcPr>
                  <w:tcW w:w="1221" w:type="pct"/>
                  <w:noWrap w:val="0"/>
                  <w:vAlign w:val="center"/>
                </w:tcPr>
                <w:p w14:paraId="1EF998E3">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1000</w:t>
                  </w:r>
                </w:p>
              </w:tc>
              <w:tc>
                <w:tcPr>
                  <w:tcW w:w="1260" w:type="pct"/>
                  <w:vMerge w:val="continue"/>
                  <w:noWrap w:val="0"/>
                  <w:vAlign w:val="center"/>
                </w:tcPr>
                <w:p w14:paraId="187FDAD9">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28" w:type="pct"/>
                  <w:noWrap w:val="0"/>
                  <w:vAlign w:val="center"/>
                </w:tcPr>
                <w:p w14:paraId="4B8441F1">
                  <w:pPr>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达标</w:t>
                  </w:r>
                </w:p>
              </w:tc>
            </w:tr>
          </w:tbl>
          <w:p w14:paraId="7F08E098">
            <w:pPr>
              <w:contextualSpacing/>
              <w:jc w:val="both"/>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注：表中最大贡献值为排气筒及无组织同种污染物最大浓度叠加值。</w:t>
            </w:r>
            <w:bookmarkEnd w:id="13"/>
          </w:p>
          <w:p w14:paraId="0D7C4321">
            <w:pPr>
              <w:keepNext w:val="0"/>
              <w:keepLines w:val="0"/>
              <w:pageBreakBefore w:val="0"/>
              <w:widowControl w:val="0"/>
              <w:numPr>
                <w:ilvl w:val="0"/>
                <w:numId w:val="0"/>
              </w:numPr>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000000" w:themeColor="text1"/>
                <w:sz w:val="24"/>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14:textFill>
                  <w14:solidFill>
                    <w14:schemeClr w14:val="tx1"/>
                  </w14:solidFill>
                </w14:textFill>
              </w:rPr>
              <w:t>监测计划</w:t>
            </w:r>
          </w:p>
          <w:p w14:paraId="0BAFD4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参照《排污单位自行监测技术指南</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总则》（HJ819-2017）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、《排污许可证申请与核发技术规范 电子工业》（HJ1031—2019）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中相关要求，项目废气自行监测方案见下表。</w:t>
            </w:r>
          </w:p>
          <w:p w14:paraId="0CC7C05B">
            <w:pPr>
              <w:adjustRightInd w:val="0"/>
              <w:snapToGrid w:val="0"/>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表4-1</w:t>
            </w:r>
            <w:r>
              <w:rPr>
                <w:rFonts w:hint="eastAsia"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 xml:space="preserve">  建设项目运营期废气监测计划表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9"/>
              <w:gridCol w:w="433"/>
              <w:gridCol w:w="1326"/>
              <w:gridCol w:w="1159"/>
              <w:gridCol w:w="874"/>
              <w:gridCol w:w="2062"/>
              <w:gridCol w:w="702"/>
              <w:gridCol w:w="1760"/>
            </w:tblGrid>
            <w:tr w14:paraId="6D45B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3" w:type="pct"/>
                  <w:tcBorders>
                    <w:tl2br w:val="nil"/>
                    <w:tr2bl w:val="nil"/>
                  </w:tcBorders>
                  <w:vAlign w:val="center"/>
                </w:tcPr>
                <w:p w14:paraId="21B8DA40">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时段</w:t>
                  </w:r>
                </w:p>
              </w:tc>
              <w:tc>
                <w:tcPr>
                  <w:tcW w:w="281" w:type="pct"/>
                  <w:tcBorders>
                    <w:tl2br w:val="nil"/>
                    <w:tr2bl w:val="nil"/>
                  </w:tcBorders>
                  <w:shd w:val="clear" w:color="auto" w:fill="auto"/>
                  <w:vAlign w:val="center"/>
                </w:tcPr>
                <w:p w14:paraId="080289C8">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799" w:type="pct"/>
                  <w:tcBorders>
                    <w:tl2br w:val="nil"/>
                    <w:tr2bl w:val="nil"/>
                  </w:tcBorders>
                  <w:shd w:val="clear" w:color="auto" w:fill="auto"/>
                  <w:vAlign w:val="center"/>
                </w:tcPr>
                <w:p w14:paraId="3CC4EF90">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监测位置</w:t>
                  </w:r>
                </w:p>
              </w:tc>
              <w:tc>
                <w:tcPr>
                  <w:tcW w:w="701" w:type="pct"/>
                  <w:tcBorders>
                    <w:tl2br w:val="nil"/>
                    <w:tr2bl w:val="nil"/>
                  </w:tcBorders>
                  <w:shd w:val="clear" w:color="auto" w:fill="auto"/>
                  <w:vAlign w:val="center"/>
                </w:tcPr>
                <w:p w14:paraId="3A76FE5B">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监测项目</w:t>
                  </w:r>
                </w:p>
              </w:tc>
              <w:tc>
                <w:tcPr>
                  <w:tcW w:w="536" w:type="pct"/>
                  <w:tcBorders>
                    <w:tl2br w:val="nil"/>
                    <w:tr2bl w:val="nil"/>
                  </w:tcBorders>
                  <w:shd w:val="clear" w:color="auto" w:fill="auto"/>
                  <w:vAlign w:val="center"/>
                </w:tcPr>
                <w:p w14:paraId="6CBE3C9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监测频率</w:t>
                  </w:r>
                </w:p>
              </w:tc>
              <w:tc>
                <w:tcPr>
                  <w:tcW w:w="1225" w:type="pct"/>
                  <w:tcBorders>
                    <w:tl2br w:val="nil"/>
                    <w:tr2bl w:val="nil"/>
                  </w:tcBorders>
                  <w:vAlign w:val="center"/>
                </w:tcPr>
                <w:p w14:paraId="33D872B5">
                  <w:pPr>
                    <w:spacing w:line="24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c>
                <w:tcPr>
                  <w:tcW w:w="436" w:type="pct"/>
                  <w:tcBorders>
                    <w:tl2br w:val="nil"/>
                    <w:tr2bl w:val="nil"/>
                  </w:tcBorders>
                  <w:shd w:val="clear" w:color="auto" w:fill="auto"/>
                  <w:vAlign w:val="center"/>
                </w:tcPr>
                <w:p w14:paraId="504F83DF">
                  <w:pPr>
                    <w:spacing w:line="24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监测方法</w:t>
                  </w:r>
                </w:p>
              </w:tc>
              <w:tc>
                <w:tcPr>
                  <w:tcW w:w="816" w:type="pct"/>
                  <w:tcBorders>
                    <w:tl2br w:val="nil"/>
                    <w:tr2bl w:val="nil"/>
                  </w:tcBorders>
                  <w:vAlign w:val="center"/>
                </w:tcPr>
                <w:p w14:paraId="0DDFE3A2">
                  <w:pPr>
                    <w:spacing w:line="24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依据</w:t>
                  </w:r>
                </w:p>
              </w:tc>
            </w:tr>
            <w:tr w14:paraId="71C24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restart"/>
                  <w:tcBorders>
                    <w:tl2br w:val="nil"/>
                    <w:tr2bl w:val="nil"/>
                  </w:tcBorders>
                  <w:vAlign w:val="center"/>
                </w:tcPr>
                <w:p w14:paraId="2F447003">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营运期</w:t>
                  </w:r>
                </w:p>
              </w:tc>
              <w:tc>
                <w:tcPr>
                  <w:tcW w:w="281" w:type="pct"/>
                  <w:vMerge w:val="restart"/>
                  <w:tcBorders>
                    <w:tl2br w:val="nil"/>
                    <w:tr2bl w:val="nil"/>
                  </w:tcBorders>
                  <w:shd w:val="clear" w:color="auto" w:fill="auto"/>
                  <w:vAlign w:val="center"/>
                </w:tcPr>
                <w:p w14:paraId="007EE40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799" w:type="pct"/>
                  <w:tcBorders>
                    <w:tl2br w:val="nil"/>
                    <w:tr2bl w:val="nil"/>
                  </w:tcBorders>
                  <w:shd w:val="clear" w:color="auto" w:fill="auto"/>
                  <w:vAlign w:val="center"/>
                </w:tcPr>
                <w:p w14:paraId="7030ABB0">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DA00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排气筒</w:t>
                  </w:r>
                </w:p>
              </w:tc>
              <w:tc>
                <w:tcPr>
                  <w:tcW w:w="701" w:type="pct"/>
                  <w:tcBorders>
                    <w:tl2br w:val="nil"/>
                    <w:tr2bl w:val="nil"/>
                  </w:tcBorders>
                  <w:shd w:val="clear" w:color="auto" w:fill="auto"/>
                  <w:vAlign w:val="center"/>
                </w:tcPr>
                <w:p w14:paraId="3FCEC15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硫酸雾、非甲烷总烃、甲醇</w:t>
                  </w:r>
                </w:p>
              </w:tc>
              <w:tc>
                <w:tcPr>
                  <w:tcW w:w="536" w:type="pct"/>
                  <w:tcBorders>
                    <w:tl2br w:val="nil"/>
                    <w:tr2bl w:val="nil"/>
                  </w:tcBorders>
                  <w:shd w:val="clear" w:color="auto" w:fill="auto"/>
                  <w:vAlign w:val="center"/>
                </w:tcPr>
                <w:p w14:paraId="345441F2">
                  <w:pPr>
                    <w:spacing w:line="240" w:lineRule="exact"/>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1次/年</w:t>
                  </w:r>
                </w:p>
              </w:tc>
              <w:tc>
                <w:tcPr>
                  <w:tcW w:w="1225" w:type="pct"/>
                  <w:tcBorders>
                    <w:tl2br w:val="nil"/>
                    <w:tr2bl w:val="nil"/>
                  </w:tcBorders>
                  <w:vAlign w:val="center"/>
                </w:tcPr>
                <w:p w14:paraId="027DC958">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《大气污染物综合排放标准》（DB32/4041-2021）</w:t>
                  </w:r>
                </w:p>
              </w:tc>
              <w:tc>
                <w:tcPr>
                  <w:tcW w:w="436" w:type="pct"/>
                  <w:vMerge w:val="restart"/>
                  <w:tcBorders>
                    <w:tl2br w:val="nil"/>
                    <w:tr2bl w:val="nil"/>
                  </w:tcBorders>
                  <w:shd w:val="clear" w:color="auto" w:fill="auto"/>
                  <w:vAlign w:val="center"/>
                </w:tcPr>
                <w:p w14:paraId="075357C2">
                  <w:pPr>
                    <w:spacing w:line="24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采用国家规定最新监测方法与标准</w:t>
                  </w:r>
                </w:p>
              </w:tc>
              <w:tc>
                <w:tcPr>
                  <w:tcW w:w="816" w:type="pct"/>
                  <w:vMerge w:val="restart"/>
                  <w:tcBorders>
                    <w:tl2br w:val="nil"/>
                    <w:tr2bl w:val="nil"/>
                  </w:tcBorders>
                  <w:vAlign w:val="center"/>
                </w:tcPr>
                <w:p w14:paraId="4D667631">
                  <w:pPr>
                    <w:spacing w:line="2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《排污单位自行监测技术指南 总则》（HJ819-2017）</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、《排污许可证申请与核发技术规范 电子工业》（HJ1031—2019）</w:t>
                  </w:r>
                </w:p>
              </w:tc>
            </w:tr>
            <w:tr w14:paraId="3221E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25F6839A">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81" w:type="pct"/>
                  <w:vMerge w:val="continue"/>
                  <w:tcBorders>
                    <w:tl2br w:val="nil"/>
                    <w:tr2bl w:val="nil"/>
                  </w:tcBorders>
                  <w:shd w:val="clear" w:color="auto" w:fill="auto"/>
                  <w:vAlign w:val="center"/>
                </w:tcPr>
                <w:p w14:paraId="22383D0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pct"/>
                  <w:tcBorders>
                    <w:tl2br w:val="nil"/>
                    <w:tr2bl w:val="nil"/>
                  </w:tcBorders>
                  <w:shd w:val="clear" w:color="auto" w:fill="auto"/>
                  <w:vAlign w:val="center"/>
                </w:tcPr>
                <w:p w14:paraId="7D5ABEB2">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厂界外1m范围内上风向1个点，下风向3个点</w:t>
                  </w:r>
                </w:p>
              </w:tc>
              <w:tc>
                <w:tcPr>
                  <w:tcW w:w="701" w:type="pct"/>
                  <w:tcBorders>
                    <w:tl2br w:val="nil"/>
                    <w:tr2bl w:val="nil"/>
                  </w:tcBorders>
                  <w:shd w:val="clear" w:color="auto" w:fill="auto"/>
                  <w:vAlign w:val="center"/>
                </w:tcPr>
                <w:p w14:paraId="16039D8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硫酸雾、非甲烷总烃、甲醇</w:t>
                  </w:r>
                </w:p>
              </w:tc>
              <w:tc>
                <w:tcPr>
                  <w:tcW w:w="536" w:type="pct"/>
                  <w:tcBorders>
                    <w:tl2br w:val="nil"/>
                    <w:tr2bl w:val="nil"/>
                  </w:tcBorders>
                  <w:shd w:val="clear" w:color="auto" w:fill="auto"/>
                  <w:vAlign w:val="center"/>
                </w:tcPr>
                <w:p w14:paraId="24401BE9">
                  <w:pPr>
                    <w:spacing w:line="240" w:lineRule="exact"/>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1次/年</w:t>
                  </w:r>
                </w:p>
              </w:tc>
              <w:tc>
                <w:tcPr>
                  <w:tcW w:w="1225" w:type="pct"/>
                  <w:tcBorders>
                    <w:tl2br w:val="nil"/>
                    <w:tr2bl w:val="nil"/>
                  </w:tcBorders>
                  <w:vAlign w:val="center"/>
                </w:tcPr>
                <w:p w14:paraId="60CDE933">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《大气污染物综合排放标准》（DB32/4041-2021）</w:t>
                  </w:r>
                </w:p>
              </w:tc>
              <w:tc>
                <w:tcPr>
                  <w:tcW w:w="436" w:type="pct"/>
                  <w:vMerge w:val="continue"/>
                  <w:tcBorders>
                    <w:tl2br w:val="nil"/>
                    <w:tr2bl w:val="nil"/>
                  </w:tcBorders>
                  <w:shd w:val="clear" w:color="auto" w:fill="auto"/>
                  <w:vAlign w:val="center"/>
                </w:tcPr>
                <w:p w14:paraId="74545469">
                  <w:pPr>
                    <w:spacing w:line="2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16" w:type="pct"/>
                  <w:vMerge w:val="continue"/>
                  <w:tcBorders>
                    <w:tl2br w:val="nil"/>
                    <w:tr2bl w:val="nil"/>
                  </w:tcBorders>
                  <w:vAlign w:val="center"/>
                </w:tcPr>
                <w:p w14:paraId="0636D8EC">
                  <w:pPr>
                    <w:spacing w:line="2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5FE64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104DDA30">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81" w:type="pct"/>
                  <w:vMerge w:val="continue"/>
                  <w:tcBorders>
                    <w:tl2br w:val="nil"/>
                    <w:tr2bl w:val="nil"/>
                  </w:tcBorders>
                  <w:shd w:val="clear" w:color="auto" w:fill="auto"/>
                  <w:vAlign w:val="center"/>
                </w:tcPr>
                <w:p w14:paraId="06CB1EA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pct"/>
                  <w:tcBorders>
                    <w:tl2br w:val="nil"/>
                    <w:tr2bl w:val="nil"/>
                  </w:tcBorders>
                  <w:shd w:val="clear" w:color="auto" w:fill="auto"/>
                  <w:vAlign w:val="center"/>
                </w:tcPr>
                <w:p w14:paraId="0E87A52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厂房外</w:t>
                  </w:r>
                </w:p>
              </w:tc>
              <w:tc>
                <w:tcPr>
                  <w:tcW w:w="701" w:type="pct"/>
                  <w:tcBorders>
                    <w:tl2br w:val="nil"/>
                    <w:tr2bl w:val="nil"/>
                  </w:tcBorders>
                  <w:shd w:val="clear" w:color="auto" w:fill="auto"/>
                  <w:vAlign w:val="center"/>
                </w:tcPr>
                <w:p w14:paraId="7207552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536" w:type="pct"/>
                  <w:tcBorders>
                    <w:tl2br w:val="nil"/>
                    <w:tr2bl w:val="nil"/>
                  </w:tcBorders>
                  <w:shd w:val="clear" w:color="auto" w:fill="auto"/>
                  <w:vAlign w:val="center"/>
                </w:tcPr>
                <w:p w14:paraId="29E97251">
                  <w:pPr>
                    <w:spacing w:line="240" w:lineRule="exact"/>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1次/年</w:t>
                  </w:r>
                </w:p>
              </w:tc>
              <w:tc>
                <w:tcPr>
                  <w:tcW w:w="1225" w:type="pct"/>
                  <w:tcBorders>
                    <w:tl2br w:val="nil"/>
                    <w:tr2bl w:val="nil"/>
                  </w:tcBorders>
                  <w:shd w:val="clear" w:color="auto" w:fill="auto"/>
                  <w:vAlign w:val="center"/>
                </w:tcPr>
                <w:p w14:paraId="5A4DE5CF">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《挥发性有机物无组织排放控制标准》（GB37822-2019）</w:t>
                  </w:r>
                </w:p>
              </w:tc>
              <w:tc>
                <w:tcPr>
                  <w:tcW w:w="436" w:type="pct"/>
                  <w:vMerge w:val="continue"/>
                  <w:tcBorders>
                    <w:tl2br w:val="nil"/>
                    <w:tr2bl w:val="nil"/>
                  </w:tcBorders>
                  <w:shd w:val="clear" w:color="auto" w:fill="auto"/>
                  <w:vAlign w:val="center"/>
                </w:tcPr>
                <w:p w14:paraId="73C77A15">
                  <w:pPr>
                    <w:spacing w:line="2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16" w:type="pct"/>
                  <w:vMerge w:val="continue"/>
                  <w:tcBorders>
                    <w:tl2br w:val="nil"/>
                    <w:tr2bl w:val="nil"/>
                  </w:tcBorders>
                  <w:vAlign w:val="center"/>
                </w:tcPr>
                <w:p w14:paraId="3CAD3267">
                  <w:pPr>
                    <w:spacing w:line="2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bl>
          <w:p w14:paraId="6E4493C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卫生防护距离</w:t>
            </w:r>
          </w:p>
          <w:p w14:paraId="54E00B52">
            <w:pPr>
              <w:spacing w:line="360" w:lineRule="auto"/>
              <w:ind w:firstLine="480" w:firstLineChars="200"/>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卫生防护距离计算</w:t>
            </w:r>
            <w:r>
              <w:rPr>
                <w:rFonts w:hint="default" w:ascii="Times New Roman" w:hAnsi="Times New Roman" w:eastAsia="宋体" w:cs="Times New Roman"/>
                <w:bCs/>
                <w:color w:val="000000" w:themeColor="text1"/>
                <w:sz w:val="24"/>
                <w:lang w:eastAsia="zh-CN"/>
                <w14:textFill>
                  <w14:solidFill>
                    <w14:schemeClr w14:val="tx1"/>
                  </w14:solidFill>
                </w14:textFill>
              </w:rPr>
              <w:t>：</w:t>
            </w:r>
          </w:p>
          <w:p w14:paraId="429652F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根据《大气有害物质无组织排放卫生防护距离推导技术导则》（GB/T39499-2020）规定中制定的卫生防护距离制定方法，计算本项目卫生防护距离。卫生防护距离按下式计算：</w:t>
            </w:r>
          </w:p>
          <w:p w14:paraId="03370B99">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object>
                <v:shape id="_x0000_i1025" o:spt="75" type="#_x0000_t75" style="height:34.4pt;width:143.2pt;" o:ole="t" filled="f" o:preferrelative="t" stroked="f" coordsize="21600,21600">
                  <v:path/>
                  <v:fill on="f" focussize="0,0"/>
                  <v:stroke on="f"/>
                  <v:imagedata r:id="rId19" o:title=""/>
                  <o:lock v:ext="edit" aspectratio="t"/>
                  <w10:wrap type="none"/>
                  <w10:anchorlock/>
                </v:shape>
                <o:OLEObject Type="Embed" ProgID="Equation.2" ShapeID="_x0000_i1025" DrawAspect="Content" ObjectID="_1468075725" r:id="rId18">
                  <o:LockedField>false</o:LockedField>
                </o:OLEObject>
              </w:object>
            </w:r>
          </w:p>
          <w:p w14:paraId="756EF44A">
            <w:pPr>
              <w:spacing w:line="360" w:lineRule="auto"/>
              <w:ind w:firstLine="42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式中：Cm—环境一次浓度标准限值（mg/m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1B86A464">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L—工业企业所需的防护距离（m）；</w:t>
            </w:r>
          </w:p>
          <w:p w14:paraId="3E9F8555">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Qc—有害气体无组织排放量可以达到的控制水平（kg/h）；</w:t>
            </w:r>
          </w:p>
          <w:p w14:paraId="79809276">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r—有害气体无组织排放源所在生产单元的等效半径（m）；根据生产单元的占地面积S</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计算，r=</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S/</w:t>
            </w:r>
            <w:r>
              <w:rPr>
                <w:rFonts w:hint="default" w:ascii="Times New Roman" w:hAnsi="Times New Roman" w:eastAsia="宋体" w:cs="Times New Roman"/>
                <w:color w:val="000000" w:themeColor="text1"/>
                <w:sz w:val="24"/>
                <w:lang w:val="en-US" w:eastAsia="zh-CN"/>
                <w14:textFill>
                  <w14:solidFill>
                    <w14:schemeClr w14:val="tx1"/>
                  </w14:solidFill>
                </w14:textFill>
              </w:rPr>
              <w:t>Π</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vertAlign w:val="superscript"/>
                <w14:textFill>
                  <w14:solidFill>
                    <w14:schemeClr w14:val="tx1"/>
                  </w14:solidFill>
                </w14:textFill>
              </w:rPr>
              <w:t>0.5</w:t>
            </w:r>
            <w:r>
              <w:rPr>
                <w:rFonts w:hint="default" w:ascii="Times New Roman" w:hAnsi="Times New Roman" w:eastAsia="宋体" w:cs="Times New Roman"/>
                <w:color w:val="000000" w:themeColor="text1"/>
                <w:sz w:val="24"/>
                <w14:textFill>
                  <w14:solidFill>
                    <w14:schemeClr w14:val="tx1"/>
                  </w14:solidFill>
                </w14:textFill>
              </w:rPr>
              <w:t>。</w:t>
            </w:r>
          </w:p>
          <w:p w14:paraId="16B568C3">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A、B、C、D—卫生防护距离计算系数。</w:t>
            </w:r>
          </w:p>
          <w:p w14:paraId="35E504EA">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表4-1</w:t>
            </w:r>
            <w:r>
              <w:rPr>
                <w:rFonts w:hint="eastAsia"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 xml:space="preserve">  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02"/>
              <w:gridCol w:w="1339"/>
              <w:gridCol w:w="651"/>
              <w:gridCol w:w="651"/>
              <w:gridCol w:w="655"/>
              <w:gridCol w:w="653"/>
              <w:gridCol w:w="653"/>
              <w:gridCol w:w="655"/>
              <w:gridCol w:w="653"/>
              <w:gridCol w:w="653"/>
              <w:gridCol w:w="650"/>
            </w:tblGrid>
            <w:tr w14:paraId="6E161D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3B35217A">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0823C9EB">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E43EFE4">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卫生防护距离L（m）</w:t>
                  </w:r>
                </w:p>
              </w:tc>
            </w:tr>
            <w:tr w14:paraId="062801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0570072">
                  <w:pPr>
                    <w:rPr>
                      <w:rFonts w:hint="default" w:ascii="Times New Roman" w:hAnsi="Times New Roman" w:eastAsia="宋体" w:cs="Times New Roman"/>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120C8A89">
                  <w:pPr>
                    <w:rPr>
                      <w:rFonts w:hint="default" w:ascii="Times New Roman" w:hAnsi="Times New Roman" w:eastAsia="宋体" w:cs="Times New Roman"/>
                      <w:b/>
                      <w:bCs/>
                      <w:color w:val="000000" w:themeColor="text1"/>
                      <w:szCs w:val="21"/>
                      <w14:textFill>
                        <w14:solidFill>
                          <w14:schemeClr w14:val="tx1"/>
                        </w14:solidFill>
                      </w14:textFill>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FAE7329">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682410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1000＜L≤2000</w:t>
                  </w:r>
                </w:p>
              </w:tc>
              <w:tc>
                <w:tcPr>
                  <w:tcW w:w="1136" w:type="pct"/>
                  <w:gridSpan w:val="3"/>
                  <w:tcBorders>
                    <w:top w:val="single" w:color="auto" w:sz="2" w:space="0"/>
                    <w:left w:val="single" w:color="auto" w:sz="2" w:space="0"/>
                    <w:bottom w:val="single" w:color="auto" w:sz="2" w:space="0"/>
                    <w:right w:val="nil"/>
                  </w:tcBorders>
                  <w:vAlign w:val="center"/>
                </w:tcPr>
                <w:p w14:paraId="02A46FA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L＞2000</w:t>
                  </w:r>
                </w:p>
              </w:tc>
            </w:tr>
            <w:tr w14:paraId="5CEF69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7B17C245">
                  <w:pPr>
                    <w:rPr>
                      <w:rFonts w:hint="default" w:ascii="Times New Roman" w:hAnsi="Times New Roman" w:eastAsia="宋体" w:cs="Times New Roman"/>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650AB82">
                  <w:pPr>
                    <w:rPr>
                      <w:rFonts w:hint="default" w:ascii="Times New Roman" w:hAnsi="Times New Roman" w:eastAsia="宋体" w:cs="Times New Roman"/>
                      <w:b/>
                      <w:bCs/>
                      <w:color w:val="000000" w:themeColor="text1"/>
                      <w:szCs w:val="21"/>
                      <w14:textFill>
                        <w14:solidFill>
                          <w14:schemeClr w14:val="tx1"/>
                        </w14:solidFill>
                      </w14:textFill>
                    </w:rPr>
                  </w:pPr>
                </w:p>
              </w:tc>
              <w:tc>
                <w:tcPr>
                  <w:tcW w:w="3410" w:type="pct"/>
                  <w:gridSpan w:val="9"/>
                  <w:tcBorders>
                    <w:top w:val="single" w:color="auto" w:sz="2" w:space="0"/>
                    <w:left w:val="single" w:color="auto" w:sz="2" w:space="0"/>
                    <w:bottom w:val="single" w:color="auto" w:sz="2" w:space="0"/>
                    <w:right w:val="nil"/>
                  </w:tcBorders>
                  <w:vAlign w:val="center"/>
                </w:tcPr>
                <w:p w14:paraId="2F15CA94">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工业企业大气污染源构成类型</w:t>
                  </w:r>
                </w:p>
              </w:tc>
            </w:tr>
            <w:tr w14:paraId="5DE1A4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6CF597CF">
                  <w:pPr>
                    <w:rPr>
                      <w:rFonts w:hint="default" w:ascii="Times New Roman" w:hAnsi="Times New Roman" w:eastAsia="宋体" w:cs="Times New Roman"/>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FAF4FB2">
                  <w:pPr>
                    <w:rPr>
                      <w:rFonts w:hint="default" w:ascii="Times New Roman" w:hAnsi="Times New Roman" w:eastAsia="宋体" w:cs="Times New Roman"/>
                      <w:b/>
                      <w:bCs/>
                      <w:color w:val="000000" w:themeColor="text1"/>
                      <w:szCs w:val="21"/>
                      <w14:textFill>
                        <w14:solidFill>
                          <w14:schemeClr w14:val="tx1"/>
                        </w14:solidFill>
                      </w14:textFill>
                    </w:rPr>
                  </w:pPr>
                </w:p>
              </w:tc>
              <w:tc>
                <w:tcPr>
                  <w:tcW w:w="378" w:type="pct"/>
                  <w:tcBorders>
                    <w:top w:val="single" w:color="auto" w:sz="2" w:space="0"/>
                    <w:left w:val="single" w:color="auto" w:sz="2" w:space="0"/>
                    <w:bottom w:val="single" w:color="auto" w:sz="2" w:space="0"/>
                    <w:right w:val="single" w:color="auto" w:sz="2" w:space="0"/>
                  </w:tcBorders>
                  <w:vAlign w:val="center"/>
                </w:tcPr>
                <w:p w14:paraId="6FA27F53">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Ⅰ</w:t>
                  </w:r>
                </w:p>
              </w:tc>
              <w:tc>
                <w:tcPr>
                  <w:tcW w:w="378" w:type="pct"/>
                  <w:tcBorders>
                    <w:top w:val="single" w:color="auto" w:sz="2" w:space="0"/>
                    <w:left w:val="single" w:color="auto" w:sz="2" w:space="0"/>
                    <w:bottom w:val="single" w:color="auto" w:sz="2" w:space="0"/>
                    <w:right w:val="single" w:color="auto" w:sz="2" w:space="0"/>
                  </w:tcBorders>
                  <w:vAlign w:val="center"/>
                </w:tcPr>
                <w:p w14:paraId="30527653">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Ⅱ</w:t>
                  </w:r>
                </w:p>
              </w:tc>
              <w:tc>
                <w:tcPr>
                  <w:tcW w:w="380" w:type="pct"/>
                  <w:tcBorders>
                    <w:top w:val="single" w:color="auto" w:sz="2" w:space="0"/>
                    <w:left w:val="single" w:color="auto" w:sz="2" w:space="0"/>
                    <w:bottom w:val="single" w:color="auto" w:sz="2" w:space="0"/>
                    <w:right w:val="single" w:color="auto" w:sz="2" w:space="0"/>
                  </w:tcBorders>
                  <w:vAlign w:val="center"/>
                </w:tcPr>
                <w:p w14:paraId="56058EB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8BB300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vAlign w:val="center"/>
                </w:tcPr>
                <w:p w14:paraId="556EA89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Ⅱ</w:t>
                  </w:r>
                </w:p>
              </w:tc>
              <w:tc>
                <w:tcPr>
                  <w:tcW w:w="379" w:type="pct"/>
                  <w:tcBorders>
                    <w:top w:val="single" w:color="auto" w:sz="2" w:space="0"/>
                    <w:left w:val="single" w:color="auto" w:sz="2" w:space="0"/>
                    <w:bottom w:val="single" w:color="auto" w:sz="2" w:space="0"/>
                    <w:right w:val="single" w:color="auto" w:sz="2" w:space="0"/>
                  </w:tcBorders>
                  <w:vAlign w:val="center"/>
                </w:tcPr>
                <w:p w14:paraId="189D24B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vAlign w:val="center"/>
                </w:tcPr>
                <w:p w14:paraId="1FA9BA0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vAlign w:val="center"/>
                </w:tcPr>
                <w:p w14:paraId="0557BA0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Ⅱ</w:t>
                  </w:r>
                </w:p>
              </w:tc>
              <w:tc>
                <w:tcPr>
                  <w:tcW w:w="378" w:type="pct"/>
                  <w:tcBorders>
                    <w:top w:val="single" w:color="auto" w:sz="2" w:space="0"/>
                    <w:left w:val="single" w:color="auto" w:sz="2" w:space="0"/>
                    <w:bottom w:val="single" w:color="auto" w:sz="2" w:space="0"/>
                    <w:right w:val="nil"/>
                  </w:tcBorders>
                  <w:vAlign w:val="center"/>
                </w:tcPr>
                <w:p w14:paraId="40817B0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Ⅲ</w:t>
                  </w:r>
                </w:p>
              </w:tc>
            </w:tr>
            <w:tr w14:paraId="32AB35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23D2891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A</w:t>
                  </w:r>
                </w:p>
              </w:tc>
              <w:tc>
                <w:tcPr>
                  <w:tcW w:w="777" w:type="pct"/>
                  <w:tcBorders>
                    <w:top w:val="single" w:color="auto" w:sz="2" w:space="0"/>
                    <w:left w:val="single" w:color="auto" w:sz="2" w:space="0"/>
                    <w:bottom w:val="single" w:color="auto" w:sz="2" w:space="0"/>
                    <w:right w:val="single" w:color="auto" w:sz="2" w:space="0"/>
                  </w:tcBorders>
                  <w:vAlign w:val="center"/>
                </w:tcPr>
                <w:p w14:paraId="4A78604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&lt;2</w:t>
                  </w:r>
                </w:p>
              </w:tc>
              <w:tc>
                <w:tcPr>
                  <w:tcW w:w="378" w:type="pct"/>
                  <w:tcBorders>
                    <w:top w:val="single" w:color="auto" w:sz="2" w:space="0"/>
                    <w:left w:val="single" w:color="auto" w:sz="2" w:space="0"/>
                    <w:bottom w:val="single" w:color="auto" w:sz="2" w:space="0"/>
                    <w:right w:val="single" w:color="auto" w:sz="2" w:space="0"/>
                  </w:tcBorders>
                  <w:vAlign w:val="center"/>
                </w:tcPr>
                <w:p w14:paraId="5F8CD33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400</w:t>
                  </w:r>
                </w:p>
              </w:tc>
              <w:tc>
                <w:tcPr>
                  <w:tcW w:w="378" w:type="pct"/>
                  <w:tcBorders>
                    <w:top w:val="single" w:color="auto" w:sz="2" w:space="0"/>
                    <w:left w:val="single" w:color="auto" w:sz="2" w:space="0"/>
                    <w:bottom w:val="single" w:color="auto" w:sz="2" w:space="0"/>
                    <w:right w:val="single" w:color="auto" w:sz="2" w:space="0"/>
                  </w:tcBorders>
                  <w:vAlign w:val="center"/>
                </w:tcPr>
                <w:p w14:paraId="53C426E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400</w:t>
                  </w:r>
                </w:p>
              </w:tc>
              <w:tc>
                <w:tcPr>
                  <w:tcW w:w="380" w:type="pct"/>
                  <w:tcBorders>
                    <w:top w:val="single" w:color="auto" w:sz="2" w:space="0"/>
                    <w:left w:val="single" w:color="auto" w:sz="2" w:space="0"/>
                    <w:bottom w:val="single" w:color="auto" w:sz="2" w:space="0"/>
                    <w:right w:val="single" w:color="auto" w:sz="2" w:space="0"/>
                  </w:tcBorders>
                  <w:vAlign w:val="center"/>
                </w:tcPr>
                <w:p w14:paraId="4DBDDDB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4EAFA6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27E9D0C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AF80CB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23204B9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80</w:t>
                  </w:r>
                </w:p>
              </w:tc>
              <w:tc>
                <w:tcPr>
                  <w:tcW w:w="379" w:type="pct"/>
                  <w:tcBorders>
                    <w:top w:val="single" w:color="auto" w:sz="2" w:space="0"/>
                    <w:left w:val="single" w:color="auto" w:sz="2" w:space="0"/>
                    <w:bottom w:val="single" w:color="auto" w:sz="2" w:space="0"/>
                    <w:right w:val="single" w:color="auto" w:sz="2" w:space="0"/>
                  </w:tcBorders>
                  <w:vAlign w:val="center"/>
                </w:tcPr>
                <w:p w14:paraId="2BCE9CF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80</w:t>
                  </w:r>
                </w:p>
              </w:tc>
              <w:tc>
                <w:tcPr>
                  <w:tcW w:w="378" w:type="pct"/>
                  <w:tcBorders>
                    <w:top w:val="single" w:color="auto" w:sz="2" w:space="0"/>
                    <w:left w:val="single" w:color="auto" w:sz="2" w:space="0"/>
                    <w:bottom w:val="single" w:color="auto" w:sz="2" w:space="0"/>
                    <w:right w:val="nil"/>
                  </w:tcBorders>
                  <w:vAlign w:val="center"/>
                </w:tcPr>
                <w:p w14:paraId="49F5BF5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80</w:t>
                  </w:r>
                </w:p>
              </w:tc>
            </w:tr>
            <w:tr w14:paraId="34C1FB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361CEAD8">
                  <w:pPr>
                    <w:rPr>
                      <w:rFonts w:hint="default" w:ascii="Times New Roman" w:hAnsi="Times New Roman" w:eastAsia="宋体" w:cs="Times New Roman"/>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1B24A6F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2-4</w:t>
                  </w:r>
                </w:p>
              </w:tc>
              <w:tc>
                <w:tcPr>
                  <w:tcW w:w="378" w:type="pct"/>
                  <w:tcBorders>
                    <w:top w:val="single" w:color="auto" w:sz="2" w:space="0"/>
                    <w:left w:val="single" w:color="auto" w:sz="2" w:space="0"/>
                    <w:bottom w:val="single" w:color="auto" w:sz="2" w:space="0"/>
                    <w:right w:val="single" w:color="auto" w:sz="2" w:space="0"/>
                  </w:tcBorders>
                  <w:vAlign w:val="center"/>
                </w:tcPr>
                <w:p w14:paraId="6111571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0D238123">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470</w:t>
                  </w:r>
                </w:p>
              </w:tc>
              <w:tc>
                <w:tcPr>
                  <w:tcW w:w="380" w:type="pct"/>
                  <w:tcBorders>
                    <w:top w:val="single" w:color="auto" w:sz="2" w:space="0"/>
                    <w:left w:val="single" w:color="auto" w:sz="2" w:space="0"/>
                    <w:bottom w:val="single" w:color="auto" w:sz="2" w:space="0"/>
                    <w:right w:val="single" w:color="auto" w:sz="2" w:space="0"/>
                  </w:tcBorders>
                  <w:vAlign w:val="center"/>
                </w:tcPr>
                <w:p w14:paraId="25E6AF5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AE8C12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700</w:t>
                  </w:r>
                </w:p>
              </w:tc>
              <w:tc>
                <w:tcPr>
                  <w:tcW w:w="379" w:type="pct"/>
                  <w:tcBorders>
                    <w:top w:val="single" w:color="auto" w:sz="2" w:space="0"/>
                    <w:left w:val="single" w:color="auto" w:sz="2" w:space="0"/>
                    <w:bottom w:val="single" w:color="auto" w:sz="2" w:space="0"/>
                    <w:right w:val="single" w:color="auto" w:sz="2" w:space="0"/>
                  </w:tcBorders>
                  <w:vAlign w:val="center"/>
                </w:tcPr>
                <w:p w14:paraId="4AF3B41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470</w:t>
                  </w:r>
                </w:p>
              </w:tc>
              <w:tc>
                <w:tcPr>
                  <w:tcW w:w="379" w:type="pct"/>
                  <w:tcBorders>
                    <w:top w:val="single" w:color="auto" w:sz="2" w:space="0"/>
                    <w:left w:val="single" w:color="auto" w:sz="2" w:space="0"/>
                    <w:bottom w:val="single" w:color="auto" w:sz="2" w:space="0"/>
                    <w:right w:val="single" w:color="auto" w:sz="2" w:space="0"/>
                  </w:tcBorders>
                  <w:vAlign w:val="center"/>
                </w:tcPr>
                <w:p w14:paraId="0DDB9FE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76EFF37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380</w:t>
                  </w:r>
                </w:p>
              </w:tc>
              <w:tc>
                <w:tcPr>
                  <w:tcW w:w="379" w:type="pct"/>
                  <w:tcBorders>
                    <w:top w:val="single" w:color="auto" w:sz="2" w:space="0"/>
                    <w:left w:val="single" w:color="auto" w:sz="2" w:space="0"/>
                    <w:bottom w:val="single" w:color="auto" w:sz="2" w:space="0"/>
                    <w:right w:val="single" w:color="auto" w:sz="2" w:space="0"/>
                  </w:tcBorders>
                  <w:vAlign w:val="center"/>
                </w:tcPr>
                <w:p w14:paraId="4B60B90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250</w:t>
                  </w:r>
                </w:p>
              </w:tc>
              <w:tc>
                <w:tcPr>
                  <w:tcW w:w="378" w:type="pct"/>
                  <w:tcBorders>
                    <w:top w:val="single" w:color="auto" w:sz="2" w:space="0"/>
                    <w:left w:val="single" w:color="auto" w:sz="2" w:space="0"/>
                    <w:bottom w:val="single" w:color="auto" w:sz="2" w:space="0"/>
                    <w:right w:val="nil"/>
                  </w:tcBorders>
                  <w:vAlign w:val="center"/>
                </w:tcPr>
                <w:p w14:paraId="1D41F35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190</w:t>
                  </w:r>
                </w:p>
              </w:tc>
            </w:tr>
            <w:tr w14:paraId="79D559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2AF1F61E">
                  <w:pPr>
                    <w:rPr>
                      <w:rFonts w:hint="default" w:ascii="Times New Roman" w:hAnsi="Times New Roman" w:eastAsia="宋体" w:cs="Times New Roman"/>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54B7743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&gt;4</w:t>
                  </w:r>
                </w:p>
              </w:tc>
              <w:tc>
                <w:tcPr>
                  <w:tcW w:w="378" w:type="pct"/>
                  <w:tcBorders>
                    <w:top w:val="single" w:color="auto" w:sz="2" w:space="0"/>
                    <w:left w:val="single" w:color="auto" w:sz="2" w:space="0"/>
                    <w:bottom w:val="single" w:color="auto" w:sz="2" w:space="0"/>
                    <w:right w:val="single" w:color="auto" w:sz="2" w:space="0"/>
                  </w:tcBorders>
                  <w:vAlign w:val="center"/>
                </w:tcPr>
                <w:p w14:paraId="7DDDDBE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530</w:t>
                  </w:r>
                </w:p>
              </w:tc>
              <w:tc>
                <w:tcPr>
                  <w:tcW w:w="378" w:type="pct"/>
                  <w:tcBorders>
                    <w:top w:val="single" w:color="auto" w:sz="2" w:space="0"/>
                    <w:left w:val="single" w:color="auto" w:sz="2" w:space="0"/>
                    <w:bottom w:val="single" w:color="auto" w:sz="2" w:space="0"/>
                    <w:right w:val="single" w:color="auto" w:sz="2" w:space="0"/>
                  </w:tcBorders>
                  <w:vAlign w:val="center"/>
                </w:tcPr>
                <w:p w14:paraId="47285E7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350</w:t>
                  </w:r>
                </w:p>
              </w:tc>
              <w:tc>
                <w:tcPr>
                  <w:tcW w:w="380" w:type="pct"/>
                  <w:tcBorders>
                    <w:top w:val="single" w:color="auto" w:sz="2" w:space="0"/>
                    <w:left w:val="single" w:color="auto" w:sz="2" w:space="0"/>
                    <w:bottom w:val="single" w:color="auto" w:sz="2" w:space="0"/>
                    <w:right w:val="single" w:color="auto" w:sz="2" w:space="0"/>
                  </w:tcBorders>
                  <w:vAlign w:val="center"/>
                </w:tcPr>
                <w:p w14:paraId="4EF7E7B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vAlign w:val="center"/>
                </w:tcPr>
                <w:p w14:paraId="22F128E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530</w:t>
                  </w:r>
                </w:p>
              </w:tc>
              <w:tc>
                <w:tcPr>
                  <w:tcW w:w="379" w:type="pct"/>
                  <w:tcBorders>
                    <w:top w:val="single" w:color="auto" w:sz="2" w:space="0"/>
                    <w:left w:val="single" w:color="auto" w:sz="2" w:space="0"/>
                    <w:bottom w:val="single" w:color="auto" w:sz="2" w:space="0"/>
                    <w:right w:val="single" w:color="auto" w:sz="2" w:space="0"/>
                  </w:tcBorders>
                  <w:vAlign w:val="center"/>
                </w:tcPr>
                <w:p w14:paraId="325B423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28FFC89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vAlign w:val="center"/>
                </w:tcPr>
                <w:p w14:paraId="3C40FAB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290</w:t>
                  </w:r>
                </w:p>
              </w:tc>
              <w:tc>
                <w:tcPr>
                  <w:tcW w:w="379" w:type="pct"/>
                  <w:tcBorders>
                    <w:top w:val="single" w:color="auto" w:sz="2" w:space="0"/>
                    <w:left w:val="single" w:color="auto" w:sz="2" w:space="0"/>
                    <w:bottom w:val="single" w:color="auto" w:sz="2" w:space="0"/>
                    <w:right w:val="single" w:color="auto" w:sz="2" w:space="0"/>
                  </w:tcBorders>
                  <w:vAlign w:val="center"/>
                </w:tcPr>
                <w:p w14:paraId="053A7CD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190</w:t>
                  </w:r>
                </w:p>
              </w:tc>
              <w:tc>
                <w:tcPr>
                  <w:tcW w:w="378" w:type="pct"/>
                  <w:tcBorders>
                    <w:top w:val="single" w:color="auto" w:sz="2" w:space="0"/>
                    <w:left w:val="single" w:color="auto" w:sz="2" w:space="0"/>
                    <w:bottom w:val="single" w:color="auto" w:sz="2" w:space="0"/>
                    <w:right w:val="nil"/>
                  </w:tcBorders>
                  <w:vAlign w:val="center"/>
                </w:tcPr>
                <w:p w14:paraId="5B96754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140</w:t>
                  </w:r>
                </w:p>
              </w:tc>
            </w:tr>
            <w:tr w14:paraId="713103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D984F9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B</w:t>
                  </w:r>
                </w:p>
              </w:tc>
              <w:tc>
                <w:tcPr>
                  <w:tcW w:w="777" w:type="pct"/>
                  <w:tcBorders>
                    <w:top w:val="single" w:color="auto" w:sz="2" w:space="0"/>
                    <w:left w:val="single" w:color="auto" w:sz="2" w:space="0"/>
                    <w:bottom w:val="single" w:color="auto" w:sz="2" w:space="0"/>
                    <w:right w:val="single" w:color="auto" w:sz="2" w:space="0"/>
                  </w:tcBorders>
                  <w:vAlign w:val="center"/>
                </w:tcPr>
                <w:p w14:paraId="4A4EBCC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B06F71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4CCF846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0.015</w:t>
                  </w:r>
                </w:p>
              </w:tc>
              <w:tc>
                <w:tcPr>
                  <w:tcW w:w="1136" w:type="pct"/>
                  <w:gridSpan w:val="3"/>
                  <w:tcBorders>
                    <w:top w:val="single" w:color="auto" w:sz="2" w:space="0"/>
                    <w:left w:val="single" w:color="auto" w:sz="2" w:space="0"/>
                    <w:bottom w:val="single" w:color="auto" w:sz="2" w:space="0"/>
                    <w:right w:val="nil"/>
                  </w:tcBorders>
                  <w:vAlign w:val="center"/>
                </w:tcPr>
                <w:p w14:paraId="5128DA6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0.015</w:t>
                  </w:r>
                </w:p>
              </w:tc>
            </w:tr>
            <w:tr w14:paraId="11DA06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75F43B27">
                  <w:pPr>
                    <w:rPr>
                      <w:rFonts w:hint="default" w:ascii="Times New Roman" w:hAnsi="Times New Roman" w:eastAsia="宋体" w:cs="Times New Roman"/>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1B09874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038AE72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2505D0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0.036</w:t>
                  </w:r>
                </w:p>
              </w:tc>
              <w:tc>
                <w:tcPr>
                  <w:tcW w:w="1136" w:type="pct"/>
                  <w:gridSpan w:val="3"/>
                  <w:tcBorders>
                    <w:top w:val="single" w:color="auto" w:sz="2" w:space="0"/>
                    <w:left w:val="single" w:color="auto" w:sz="2" w:space="0"/>
                    <w:bottom w:val="single" w:color="auto" w:sz="2" w:space="0"/>
                    <w:right w:val="nil"/>
                  </w:tcBorders>
                  <w:vAlign w:val="center"/>
                </w:tcPr>
                <w:p w14:paraId="147C405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0.036</w:t>
                  </w:r>
                </w:p>
              </w:tc>
            </w:tr>
            <w:tr w14:paraId="6D37EE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2505F5D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p>
              </w:tc>
              <w:tc>
                <w:tcPr>
                  <w:tcW w:w="777" w:type="pct"/>
                  <w:tcBorders>
                    <w:top w:val="single" w:color="auto" w:sz="2" w:space="0"/>
                    <w:left w:val="single" w:color="auto" w:sz="2" w:space="0"/>
                    <w:bottom w:val="single" w:color="auto" w:sz="2" w:space="0"/>
                    <w:right w:val="single" w:color="auto" w:sz="2" w:space="0"/>
                  </w:tcBorders>
                  <w:vAlign w:val="center"/>
                </w:tcPr>
                <w:p w14:paraId="4563F6E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A71F8F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3E9073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1.79</w:t>
                  </w:r>
                </w:p>
              </w:tc>
              <w:tc>
                <w:tcPr>
                  <w:tcW w:w="1136" w:type="pct"/>
                  <w:gridSpan w:val="3"/>
                  <w:tcBorders>
                    <w:top w:val="single" w:color="auto" w:sz="2" w:space="0"/>
                    <w:left w:val="single" w:color="auto" w:sz="2" w:space="0"/>
                    <w:bottom w:val="single" w:color="auto" w:sz="2" w:space="0"/>
                    <w:right w:val="nil"/>
                  </w:tcBorders>
                  <w:vAlign w:val="center"/>
                </w:tcPr>
                <w:p w14:paraId="648CDC6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1.79</w:t>
                  </w:r>
                </w:p>
              </w:tc>
            </w:tr>
            <w:tr w14:paraId="2CCD5F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2AA33D27">
                  <w:pPr>
                    <w:rPr>
                      <w:rFonts w:hint="default" w:ascii="Times New Roman" w:hAnsi="Times New Roman" w:eastAsia="宋体" w:cs="Times New Roman"/>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78C50A9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7054057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22E148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1.77</w:t>
                  </w:r>
                </w:p>
              </w:tc>
              <w:tc>
                <w:tcPr>
                  <w:tcW w:w="1136" w:type="pct"/>
                  <w:gridSpan w:val="3"/>
                  <w:tcBorders>
                    <w:top w:val="single" w:color="auto" w:sz="2" w:space="0"/>
                    <w:left w:val="single" w:color="auto" w:sz="2" w:space="0"/>
                    <w:bottom w:val="single" w:color="auto" w:sz="2" w:space="0"/>
                    <w:right w:val="nil"/>
                  </w:tcBorders>
                  <w:vAlign w:val="center"/>
                </w:tcPr>
                <w:p w14:paraId="5573749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1.77</w:t>
                  </w:r>
                </w:p>
              </w:tc>
            </w:tr>
            <w:tr w14:paraId="0D75E3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5635408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w:t>
                  </w:r>
                </w:p>
              </w:tc>
              <w:tc>
                <w:tcPr>
                  <w:tcW w:w="777" w:type="pct"/>
                  <w:tcBorders>
                    <w:top w:val="single" w:color="auto" w:sz="2" w:space="0"/>
                    <w:left w:val="single" w:color="auto" w:sz="2" w:space="0"/>
                    <w:bottom w:val="single" w:color="auto" w:sz="2" w:space="0"/>
                    <w:right w:val="single" w:color="auto" w:sz="2" w:space="0"/>
                  </w:tcBorders>
                  <w:vAlign w:val="center"/>
                </w:tcPr>
                <w:p w14:paraId="096C4C0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96E4AA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7A67B1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0.78</w:t>
                  </w:r>
                </w:p>
              </w:tc>
              <w:tc>
                <w:tcPr>
                  <w:tcW w:w="1136" w:type="pct"/>
                  <w:gridSpan w:val="3"/>
                  <w:tcBorders>
                    <w:top w:val="single" w:color="auto" w:sz="2" w:space="0"/>
                    <w:left w:val="single" w:color="auto" w:sz="2" w:space="0"/>
                    <w:bottom w:val="single" w:color="auto" w:sz="2" w:space="0"/>
                    <w:right w:val="nil"/>
                  </w:tcBorders>
                  <w:vAlign w:val="center"/>
                </w:tcPr>
                <w:p w14:paraId="0C2BCF0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0.57</w:t>
                  </w:r>
                </w:p>
              </w:tc>
            </w:tr>
            <w:tr w14:paraId="6321EE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0200563">
                  <w:pPr>
                    <w:rPr>
                      <w:rFonts w:hint="default" w:ascii="Times New Roman" w:hAnsi="Times New Roman" w:eastAsia="宋体" w:cs="Times New Roman"/>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41B32FB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57AB0E79">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2588AD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0.84</w:t>
                  </w:r>
                </w:p>
              </w:tc>
              <w:tc>
                <w:tcPr>
                  <w:tcW w:w="1136" w:type="pct"/>
                  <w:gridSpan w:val="3"/>
                  <w:tcBorders>
                    <w:top w:val="single" w:color="auto" w:sz="2" w:space="0"/>
                    <w:left w:val="single" w:color="auto" w:sz="2" w:space="0"/>
                    <w:bottom w:val="single" w:color="auto" w:sz="2" w:space="0"/>
                    <w:right w:val="nil"/>
                  </w:tcBorders>
                  <w:vAlign w:val="center"/>
                </w:tcPr>
                <w:p w14:paraId="757BE92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0.76</w:t>
                  </w:r>
                </w:p>
              </w:tc>
            </w:tr>
            <w:tr w14:paraId="339C35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16F48227">
                  <w:pPr>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注：</w:t>
                  </w:r>
                  <w:r>
                    <w:rPr>
                      <w:rFonts w:hint="default" w:ascii="Times New Roman" w:hAnsi="Times New Roman" w:eastAsia="宋体" w:cs="Times New Roman"/>
                      <w:color w:val="000000" w:themeColor="text1"/>
                      <w:sz w:val="18"/>
                      <w:szCs w:val="18"/>
                      <w14:textFill>
                        <w14:solidFill>
                          <w14:schemeClr w14:val="tx1"/>
                        </w14:solidFill>
                      </w14:textFill>
                    </w:rPr>
                    <w:t>Ⅰ类：与无组织排放源共存的排放同种有害气体的排气筒的排放量，大于或等于标准规定的允许排放量的1/3者。</w:t>
                  </w:r>
                </w:p>
                <w:p w14:paraId="0485741B">
                  <w:pPr>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20ACAFBD">
                  <w:pPr>
                    <w:jc w:val="left"/>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Ⅲ类：无排放同种有害物质的排气筒与无组织排放源共存，但无组织排放的有害物质的容许浓度是按慢性反应指标确定者。</w:t>
                  </w:r>
                </w:p>
              </w:tc>
            </w:tr>
          </w:tbl>
          <w:p w14:paraId="430143F0">
            <w:pPr>
              <w:adjustRightInd w:val="0"/>
              <w:snapToGrid w:val="0"/>
              <w:spacing w:line="500" w:lineRule="exact"/>
              <w:ind w:firstLine="480" w:firstLineChars="200"/>
              <w:jc w:val="left"/>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不同</w:t>
            </w:r>
            <w:r>
              <w:rPr>
                <w:rFonts w:hint="eastAsia" w:ascii="Times New Roman" w:hAnsi="Times New Roman" w:eastAsia="宋体" w:cs="Times New Roman"/>
                <w:color w:val="000000" w:themeColor="text1"/>
                <w:sz w:val="24"/>
                <w:lang w:val="en-US" w:eastAsia="zh-CN"/>
                <w14:textFill>
                  <w14:solidFill>
                    <w14:schemeClr w14:val="tx1"/>
                  </w14:solidFill>
                </w14:textFill>
              </w:rPr>
              <w:t>行业</w:t>
            </w:r>
            <w:r>
              <w:rPr>
                <w:rFonts w:hint="default" w:ascii="Times New Roman" w:hAnsi="Times New Roman" w:eastAsia="宋体" w:cs="Times New Roman"/>
                <w:color w:val="000000" w:themeColor="text1"/>
                <w:sz w:val="24"/>
                <w:lang w:val="en-US" w:eastAsia="zh-CN"/>
                <w14:textFill>
                  <w14:solidFill>
                    <w14:schemeClr w14:val="tx1"/>
                  </w14:solidFill>
                </w14:textFill>
              </w:rPr>
              <w:t>及生产工艺产生无组织排放的特征大气有害物质差别较大。在选取特征</w:t>
            </w:r>
            <w:r>
              <w:rPr>
                <w:rFonts w:hint="eastAsia" w:ascii="Times New Roman" w:hAnsi="Times New Roman" w:eastAsia="宋体" w:cs="Times New Roman"/>
                <w:color w:val="000000" w:themeColor="text1"/>
                <w:sz w:val="24"/>
                <w:lang w:val="en-US" w:eastAsia="zh-CN"/>
                <w14:textFill>
                  <w14:solidFill>
                    <w14:schemeClr w14:val="tx1"/>
                  </w14:solidFill>
                </w14:textFill>
              </w:rPr>
              <w:t>大</w:t>
            </w:r>
            <w:r>
              <w:rPr>
                <w:rFonts w:hint="default" w:ascii="Times New Roman" w:hAnsi="Times New Roman" w:eastAsia="宋体" w:cs="Times New Roman"/>
                <w:color w:val="000000" w:themeColor="text1"/>
                <w:sz w:val="24"/>
                <w:lang w:val="en-US" w:eastAsia="zh-CN"/>
                <w14:textFill>
                  <w14:solidFill>
                    <w14:schemeClr w14:val="tx1"/>
                  </w14:solidFill>
                </w14:textFill>
              </w:rPr>
              <w:t>气有害物质时</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应首先考虑其对人体健康损害毒性特点</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并根据目标行业企业的产品产量及其原辅材科、工艺特征、中间产物、产排污特点等具体情况，确定单个大气有害物质的无组织排放量及等标排放量(Q</w:t>
            </w:r>
            <w:r>
              <w:rPr>
                <w:rFonts w:hint="eastAsia" w:ascii="Times New Roman" w:hAnsi="Times New Roman" w:eastAsia="宋体" w:cs="Times New Roman"/>
                <w:color w:val="000000" w:themeColor="text1"/>
                <w:sz w:val="24"/>
                <w:lang w:val="en-US" w:eastAsia="zh-CN"/>
                <w14:textFill>
                  <w14:solidFill>
                    <w14:schemeClr w14:val="tx1"/>
                  </w14:solidFill>
                </w14:textFill>
              </w:rPr>
              <w:t>c</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Qm</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最终确定卫生防护距离相关的主要特征大气有害物质1种~2种</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5D2E59A">
            <w:pPr>
              <w:adjustRightInd w:val="0"/>
              <w:snapToGrid w:val="0"/>
              <w:spacing w:line="500" w:lineRule="exact"/>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当目标企业无组织排放存在多种有毒有害污染物时，基于单个污染物的等际排放量计算结果，优先选择等标排放量</w:t>
            </w:r>
            <w:r>
              <w:rPr>
                <w:rFonts w:hint="eastAsia" w:ascii="Times New Roman" w:hAnsi="Times New Roman" w:eastAsia="宋体" w:cs="Times New Roman"/>
                <w:color w:val="000000" w:themeColor="text1"/>
                <w:sz w:val="24"/>
                <w:lang w:val="en-US" w:eastAsia="zh-CN"/>
                <w14:textFill>
                  <w14:solidFill>
                    <w14:schemeClr w14:val="tx1"/>
                  </w14:solidFill>
                </w14:textFill>
              </w:rPr>
              <w:t>最</w:t>
            </w:r>
            <w:r>
              <w:rPr>
                <w:rFonts w:hint="default" w:ascii="Times New Roman" w:hAnsi="Times New Roman" w:eastAsia="宋体" w:cs="Times New Roman"/>
                <w:color w:val="000000" w:themeColor="text1"/>
                <w:sz w:val="24"/>
                <w:lang w:val="en-US" w:eastAsia="zh-CN"/>
                <w14:textFill>
                  <w14:solidFill>
                    <w14:schemeClr w14:val="tx1"/>
                  </w14:solidFill>
                </w14:textFill>
              </w:rPr>
              <w:t>大的污染物为企业无组织排放的主要特征大气有害物质。当前两种污染物的等标排放量相差在10%以内时，需要同时选择这两种特征大气有害物质分别计算卫生防护距离初值。</w:t>
            </w:r>
          </w:p>
          <w:p w14:paraId="3ECAFEEC">
            <w:pPr>
              <w:adjustRightInd w:val="0"/>
              <w:snapToGrid w:val="0"/>
              <w:spacing w:line="500" w:lineRule="exact"/>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根据计算，本项目硫酸雾、非甲烷总烃、甲醇</w:t>
            </w:r>
            <w:r>
              <w:rPr>
                <w:rFonts w:hint="default" w:ascii="Times New Roman" w:hAnsi="Times New Roman" w:eastAsia="宋体" w:cs="Times New Roman"/>
                <w:color w:val="000000" w:themeColor="text1"/>
                <w:sz w:val="24"/>
                <w:lang w:val="en-US" w:eastAsia="zh-CN"/>
                <w14:textFill>
                  <w14:solidFill>
                    <w14:schemeClr w14:val="tx1"/>
                  </w14:solidFill>
                </w14:textFill>
              </w:rPr>
              <w:t>等标排放量</w:t>
            </w:r>
            <w:r>
              <w:rPr>
                <w:rFonts w:hint="eastAsia" w:ascii="Times New Roman" w:hAnsi="Times New Roman" w:eastAsia="宋体" w:cs="Times New Roman"/>
                <w:color w:val="000000" w:themeColor="text1"/>
                <w:sz w:val="24"/>
                <w:lang w:val="en-US" w:eastAsia="zh-CN"/>
                <w14:textFill>
                  <w14:solidFill>
                    <w14:schemeClr w14:val="tx1"/>
                  </w14:solidFill>
                </w14:textFill>
              </w:rPr>
              <w:t>分别为0.0067、0.0025、0.0007，各污染物相差在10%以外，选择</w:t>
            </w:r>
            <w:r>
              <w:rPr>
                <w:rFonts w:hint="default" w:ascii="Times New Roman" w:hAnsi="Times New Roman" w:eastAsia="宋体" w:cs="Times New Roman"/>
                <w:color w:val="000000" w:themeColor="text1"/>
                <w:sz w:val="24"/>
                <w:lang w:val="en-US" w:eastAsia="zh-CN"/>
                <w14:textFill>
                  <w14:solidFill>
                    <w14:schemeClr w14:val="tx1"/>
                  </w14:solidFill>
                </w14:textFill>
              </w:rPr>
              <w:t>等标排放量</w:t>
            </w:r>
            <w:r>
              <w:rPr>
                <w:rFonts w:hint="eastAsia" w:ascii="Times New Roman" w:hAnsi="Times New Roman" w:eastAsia="宋体" w:cs="Times New Roman"/>
                <w:color w:val="000000" w:themeColor="text1"/>
                <w:sz w:val="24"/>
                <w:lang w:val="en-US" w:eastAsia="zh-CN"/>
                <w14:textFill>
                  <w14:solidFill>
                    <w14:schemeClr w14:val="tx1"/>
                  </w14:solidFill>
                </w14:textFill>
              </w:rPr>
              <w:t>最大的硫酸雾作为本项目</w:t>
            </w:r>
            <w:r>
              <w:rPr>
                <w:rFonts w:hint="default" w:ascii="Times New Roman" w:hAnsi="Times New Roman" w:eastAsia="宋体" w:cs="Times New Roman"/>
                <w:color w:val="000000" w:themeColor="text1"/>
                <w:sz w:val="24"/>
                <w:lang w:val="en-US" w:eastAsia="zh-CN"/>
                <w14:textFill>
                  <w14:solidFill>
                    <w14:schemeClr w14:val="tx1"/>
                  </w14:solidFill>
                </w14:textFill>
              </w:rPr>
              <w:t>卫生防护距离相关的主要特征大气有害物质</w:t>
            </w:r>
          </w:p>
          <w:p w14:paraId="174E45E4">
            <w:pPr>
              <w:adjustRightInd w:val="0"/>
              <w:snapToGrid w:val="0"/>
              <w:spacing w:line="500" w:lineRule="exact"/>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大气有害物质无组织排放卫生防护距离推导技术导则》（GB/T39499-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7FE76661">
            <w:pPr>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经计算，本项目卫生防护距离计算结果见</w:t>
            </w:r>
            <w:r>
              <w:rPr>
                <w:rFonts w:hint="eastAsia" w:ascii="Times New Roman" w:hAnsi="Times New Roman" w:eastAsia="宋体" w:cs="Times New Roman"/>
                <w:color w:val="000000" w:themeColor="text1"/>
                <w:sz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14:textFill>
                  <w14:solidFill>
                    <w14:schemeClr w14:val="tx1"/>
                  </w14:solidFill>
                </w14:textFill>
              </w:rPr>
              <w:t>。</w:t>
            </w:r>
          </w:p>
          <w:p w14:paraId="627BE814">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表4-1</w:t>
            </w:r>
            <w:r>
              <w:rPr>
                <w:rFonts w:hint="eastAsia"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 xml:space="preserve">  卫生防护距离计算结果表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218"/>
              <w:gridCol w:w="1061"/>
              <w:gridCol w:w="1075"/>
              <w:gridCol w:w="1203"/>
              <w:gridCol w:w="1484"/>
              <w:gridCol w:w="982"/>
              <w:gridCol w:w="860"/>
              <w:gridCol w:w="729"/>
            </w:tblGrid>
            <w:tr w14:paraId="775C7D2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707" w:type="pct"/>
                  <w:vMerge w:val="restart"/>
                  <w:vAlign w:val="center"/>
                </w:tcPr>
                <w:p w14:paraId="77DD1EE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面源</w:t>
                  </w:r>
                </w:p>
                <w:p w14:paraId="5295296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名称</w:t>
                  </w:r>
                </w:p>
              </w:tc>
              <w:tc>
                <w:tcPr>
                  <w:tcW w:w="616" w:type="pct"/>
                  <w:vMerge w:val="restart"/>
                  <w:vAlign w:val="center"/>
                </w:tcPr>
                <w:p w14:paraId="54042BC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w:t>
                  </w:r>
                </w:p>
              </w:tc>
              <w:tc>
                <w:tcPr>
                  <w:tcW w:w="624" w:type="pct"/>
                  <w:vMerge w:val="restart"/>
                  <w:vAlign w:val="center"/>
                </w:tcPr>
                <w:p w14:paraId="6736D38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Qc</w:t>
                  </w:r>
                </w:p>
                <w:p w14:paraId="30B60A1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（kg/h）</w:t>
                  </w:r>
                </w:p>
              </w:tc>
              <w:tc>
                <w:tcPr>
                  <w:tcW w:w="698" w:type="pct"/>
                  <w:vMerge w:val="restart"/>
                  <w:vAlign w:val="center"/>
                </w:tcPr>
                <w:p w14:paraId="665B319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面源面积（m</w:t>
                  </w:r>
                  <w:r>
                    <w:rPr>
                      <w:rFonts w:hint="default" w:ascii="Times New Roman" w:hAnsi="Times New Roman" w:eastAsia="宋体" w:cs="Times New Roman"/>
                      <w:b/>
                      <w:bCs/>
                      <w:color w:val="000000" w:themeColor="text1"/>
                      <w:vertAlign w:val="superscript"/>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p>
              </w:tc>
              <w:tc>
                <w:tcPr>
                  <w:tcW w:w="861" w:type="pct"/>
                  <w:vAlign w:val="center"/>
                </w:tcPr>
                <w:p w14:paraId="5F80E5C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计算参数</w:t>
                  </w:r>
                </w:p>
              </w:tc>
              <w:tc>
                <w:tcPr>
                  <w:tcW w:w="1492" w:type="pct"/>
                  <w:gridSpan w:val="3"/>
                  <w:vAlign w:val="center"/>
                </w:tcPr>
                <w:p w14:paraId="3C0C11E0">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卫生防护距离（m）</w:t>
                  </w:r>
                </w:p>
              </w:tc>
            </w:tr>
            <w:tr w14:paraId="1991DAE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707" w:type="pct"/>
                  <w:vMerge w:val="continue"/>
                  <w:tcBorders>
                    <w:bottom w:val="single" w:color="auto" w:sz="4" w:space="0"/>
                  </w:tcBorders>
                  <w:vAlign w:val="center"/>
                </w:tcPr>
                <w:p w14:paraId="6E310D5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p>
              </w:tc>
              <w:tc>
                <w:tcPr>
                  <w:tcW w:w="616" w:type="pct"/>
                  <w:vMerge w:val="continue"/>
                  <w:vAlign w:val="center"/>
                </w:tcPr>
                <w:p w14:paraId="575FC02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p>
              </w:tc>
              <w:tc>
                <w:tcPr>
                  <w:tcW w:w="624" w:type="pct"/>
                  <w:vMerge w:val="continue"/>
                  <w:vAlign w:val="center"/>
                </w:tcPr>
                <w:p w14:paraId="5F769A3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p>
              </w:tc>
              <w:tc>
                <w:tcPr>
                  <w:tcW w:w="698" w:type="pct"/>
                  <w:vMerge w:val="continue"/>
                  <w:vAlign w:val="center"/>
                </w:tcPr>
                <w:p w14:paraId="5E0CAE5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p>
              </w:tc>
              <w:tc>
                <w:tcPr>
                  <w:tcW w:w="861" w:type="pct"/>
                  <w:vAlign w:val="center"/>
                </w:tcPr>
                <w:p w14:paraId="027023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Cm（mg/m</w:t>
                  </w:r>
                  <w:r>
                    <w:rPr>
                      <w:rFonts w:hint="default" w:ascii="Times New Roman" w:hAnsi="Times New Roman" w:eastAsia="宋体" w:cs="Times New Roman"/>
                      <w:b/>
                      <w:bCs/>
                      <w:color w:val="000000" w:themeColor="text1"/>
                      <w:vertAlign w:val="superscript"/>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p>
              </w:tc>
              <w:tc>
                <w:tcPr>
                  <w:tcW w:w="570" w:type="pct"/>
                  <w:vAlign w:val="center"/>
                </w:tcPr>
                <w:p w14:paraId="2E3B34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L计</w:t>
                  </w:r>
                </w:p>
              </w:tc>
              <w:tc>
                <w:tcPr>
                  <w:tcW w:w="499" w:type="pct"/>
                  <w:vAlign w:val="center"/>
                </w:tcPr>
                <w:p w14:paraId="07D040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L卫</w:t>
                  </w:r>
                </w:p>
              </w:tc>
              <w:tc>
                <w:tcPr>
                  <w:tcW w:w="422" w:type="pct"/>
                  <w:vAlign w:val="center"/>
                </w:tcPr>
                <w:p w14:paraId="08015A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L</w:t>
                  </w:r>
                  <w:r>
                    <w:rPr>
                      <w:rFonts w:hint="default" w:ascii="Times New Roman" w:hAnsi="Times New Roman" w:eastAsia="宋体" w:cs="Times New Roman"/>
                      <w:b/>
                      <w:bCs/>
                      <w:color w:val="000000" w:themeColor="text1"/>
                      <w:lang w:val="en-US" w:eastAsia="zh-CN"/>
                      <w14:textFill>
                        <w14:solidFill>
                          <w14:schemeClr w14:val="tx1"/>
                        </w14:solidFill>
                      </w14:textFill>
                    </w:rPr>
                    <w:t>总</w:t>
                  </w:r>
                </w:p>
              </w:tc>
            </w:tr>
            <w:tr w14:paraId="4F8252E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75" w:hRule="atLeast"/>
              </w:trPr>
              <w:tc>
                <w:tcPr>
                  <w:tcW w:w="707" w:type="pct"/>
                  <w:tcBorders>
                    <w:top w:val="single" w:color="auto" w:sz="4" w:space="0"/>
                  </w:tcBorders>
                  <w:vAlign w:val="center"/>
                </w:tcPr>
                <w:p w14:paraId="4E2B925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生产厂房（二层）</w:t>
                  </w:r>
                </w:p>
              </w:tc>
              <w:tc>
                <w:tcPr>
                  <w:tcW w:w="616" w:type="pct"/>
                  <w:vAlign w:val="center"/>
                </w:tcPr>
                <w:p w14:paraId="53E2535E">
                  <w:pPr>
                    <w:contextualSpacing/>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硫酸雾</w:t>
                  </w:r>
                </w:p>
              </w:tc>
              <w:tc>
                <w:tcPr>
                  <w:tcW w:w="624" w:type="pct"/>
                  <w:shd w:val="clear" w:color="auto" w:fill="auto"/>
                  <w:vAlign w:val="center"/>
                </w:tcPr>
                <w:p w14:paraId="2B5E0A63">
                  <w:pPr>
                    <w:spacing w:line="276"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c>
                <w:tcPr>
                  <w:tcW w:w="698" w:type="pct"/>
                  <w:vAlign w:val="center"/>
                </w:tcPr>
                <w:p w14:paraId="548BADB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32.5*20</w:t>
                  </w:r>
                </w:p>
              </w:tc>
              <w:tc>
                <w:tcPr>
                  <w:tcW w:w="861" w:type="pct"/>
                  <w:vAlign w:val="center"/>
                </w:tcPr>
                <w:p w14:paraId="1E02FA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0.3</w:t>
                  </w:r>
                </w:p>
              </w:tc>
              <w:tc>
                <w:tcPr>
                  <w:tcW w:w="570" w:type="pct"/>
                  <w:vAlign w:val="center"/>
                </w:tcPr>
                <w:p w14:paraId="2109A2D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0.372</w:t>
                  </w:r>
                </w:p>
              </w:tc>
              <w:tc>
                <w:tcPr>
                  <w:tcW w:w="499" w:type="pct"/>
                  <w:vAlign w:val="center"/>
                </w:tcPr>
                <w:p w14:paraId="2658571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50</w:t>
                  </w:r>
                </w:p>
              </w:tc>
              <w:tc>
                <w:tcPr>
                  <w:tcW w:w="422" w:type="pct"/>
                  <w:vAlign w:val="center"/>
                </w:tcPr>
                <w:p w14:paraId="3BC32A7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r>
          </w:tbl>
          <w:p w14:paraId="7ECC98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根据《大气有害物质无组织排放卫生防护距离推导技术导则》（GB/T 39499-2020）确定本项目卫生防护距离是以</w:t>
            </w:r>
            <w:r>
              <w:rPr>
                <w:rFonts w:hint="eastAsia" w:ascii="Times New Roman" w:hAnsi="Times New Roman" w:eastAsia="宋体" w:cs="Times New Roman"/>
                <w:color w:val="000000" w:themeColor="text1"/>
                <w:sz w:val="24"/>
                <w:lang w:val="en-US" w:eastAsia="zh-CN"/>
                <w14:textFill>
                  <w14:solidFill>
                    <w14:schemeClr w14:val="tx1"/>
                  </w14:solidFill>
                </w14:textFill>
              </w:rPr>
              <w:t>生产厂房</w:t>
            </w:r>
            <w:r>
              <w:rPr>
                <w:rFonts w:hint="default" w:ascii="Times New Roman" w:hAnsi="Times New Roman" w:eastAsia="宋体" w:cs="Times New Roman"/>
                <w:color w:val="000000" w:themeColor="text1"/>
                <w:sz w:val="24"/>
                <w14:textFill>
                  <w14:solidFill>
                    <w14:schemeClr w14:val="tx1"/>
                  </w14:solidFill>
                </w14:textFill>
              </w:rPr>
              <w:t>为边界外扩</w:t>
            </w:r>
            <w:r>
              <w:rPr>
                <w:rFonts w:hint="eastAsia" w:ascii="Times New Roman" w:hAnsi="Times New Roman" w:eastAsia="宋体" w:cs="Times New Roman"/>
                <w:color w:val="000000" w:themeColor="text1"/>
                <w:sz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14:textFill>
                  <w14:solidFill>
                    <w14:schemeClr w14:val="tx1"/>
                  </w14:solidFill>
                </w14:textFill>
              </w:rPr>
              <w:t>米范围（具体范围见图2）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经实地勘察，项目卫生防护距离内目前无居住、医院、学校等环境敏感点，将来也不得建设环境敏感点，以避免环境纠纷。</w:t>
            </w:r>
          </w:p>
          <w:p w14:paraId="5B4DFEE3">
            <w:pPr>
              <w:pStyle w:val="71"/>
              <w:spacing w:line="360" w:lineRule="auto"/>
              <w:ind w:firstLine="482"/>
              <w:rPr>
                <w:rFonts w:eastAsia="宋体"/>
                <w:bCs/>
                <w:color w:val="000000" w:themeColor="text1"/>
                <w:spacing w:val="-2"/>
                <w:kern w:val="28"/>
                <w:sz w:val="24"/>
                <w:szCs w:val="24"/>
                <w:highlight w:val="none"/>
                <w14:textFill>
                  <w14:solidFill>
                    <w14:schemeClr w14:val="tx1"/>
                  </w14:solidFill>
                </w14:textFill>
              </w:rPr>
            </w:pPr>
            <w:r>
              <w:rPr>
                <w:rFonts w:hint="eastAsia" w:eastAsia="宋体"/>
                <w:b/>
                <w:color w:val="000000" w:themeColor="text1"/>
                <w:sz w:val="24"/>
                <w:szCs w:val="24"/>
                <w:highlight w:val="none"/>
                <w:lang w:val="en-US" w:eastAsia="zh-CN"/>
                <w14:textFill>
                  <w14:solidFill>
                    <w14:schemeClr w14:val="tx1"/>
                  </w14:solidFill>
                </w14:textFill>
              </w:rPr>
              <w:t>8.</w:t>
            </w:r>
            <w:r>
              <w:rPr>
                <w:rFonts w:hint="eastAsia" w:eastAsia="宋体"/>
                <w:b/>
                <w:color w:val="000000" w:themeColor="text1"/>
                <w:sz w:val="24"/>
                <w:szCs w:val="24"/>
                <w:highlight w:val="none"/>
                <w14:textFill>
                  <w14:solidFill>
                    <w14:schemeClr w14:val="tx1"/>
                  </w14:solidFill>
                </w14:textFill>
              </w:rPr>
              <w:t>异味环境</w:t>
            </w:r>
            <w:r>
              <w:rPr>
                <w:rFonts w:hint="eastAsia" w:eastAsia="宋体"/>
                <w:b/>
                <w:color w:val="000000" w:themeColor="text1"/>
                <w:spacing w:val="-2"/>
                <w:kern w:val="28"/>
                <w:sz w:val="24"/>
                <w:szCs w:val="24"/>
                <w:highlight w:val="none"/>
                <w14:textFill>
                  <w14:solidFill>
                    <w14:schemeClr w14:val="tx1"/>
                  </w14:solidFill>
                </w14:textFill>
              </w:rPr>
              <w:t>影响分析</w:t>
            </w:r>
          </w:p>
          <w:p w14:paraId="3235943B">
            <w:pPr>
              <w:pStyle w:val="14"/>
              <w:spacing w:before="0" w:line="360" w:lineRule="auto"/>
              <w:ind w:firstLine="480" w:firstLineChars="200"/>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建设项目生产过程中会产生异味。</w:t>
            </w: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本项目液态原辅料存储于密闭的容器、包装袋中，运行过程中清洗线加盖密闭，污水处理站各处理单元均加盖密闭，异味产生量较少。</w:t>
            </w:r>
          </w:p>
          <w:p w14:paraId="3A35165E">
            <w:pPr>
              <w:pStyle w:val="14"/>
              <w:spacing w:before="0" w:line="360" w:lineRule="auto"/>
              <w:ind w:firstLine="480" w:firstLineChars="200"/>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①加强生产管理，增加员工意识，规范操作，采取预防为主、清洁生产的方针，采用先进生产工艺，选用先进的生产设备和清洁原料。</w:t>
            </w:r>
          </w:p>
          <w:p w14:paraId="618552A8">
            <w:pPr>
              <w:pStyle w:val="14"/>
              <w:spacing w:before="0" w:line="360" w:lineRule="auto"/>
              <w:ind w:firstLine="480" w:firstLineChars="200"/>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②定期对废气处理设施进行维护、保养和清理，保证其处理效率。</w:t>
            </w:r>
          </w:p>
          <w:p w14:paraId="06F5EA4B">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③加强车间通排风，以降低无组织排放废气的影响。</w:t>
            </w:r>
          </w:p>
          <w:p w14:paraId="57D2DB27">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A异味危害主要有以下几个方面：</w:t>
            </w:r>
          </w:p>
          <w:p w14:paraId="3F49D69E">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①危害呼吸系统。人们突然闻到异味，就会产生反射性的抑制吸气，是呼吸次数减少，深度变浅，甚至会暂时停止呼吸，妨碍正常呼吸功能。</w:t>
            </w:r>
          </w:p>
          <w:p w14:paraId="3A03358D">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②危害循环系统。随着呼吸的变化，会出现脉搏和血压的变化。刺激性异味气体会使血压出现先下降后上升，脉搏先减慢后加快的现象。</w:t>
            </w:r>
          </w:p>
          <w:p w14:paraId="4DAE671F">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③危害消化系统。经常接触异味，会使人厌食，恶心，甚至呕吐，进而发展为消化功能减退。</w:t>
            </w:r>
          </w:p>
          <w:p w14:paraId="68BB9FCC">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④危害内分泌系统。经常受异味刺激，会使内分泌系统的分泌功能紊乱，影响机体的代谢活动。</w:t>
            </w:r>
          </w:p>
          <w:p w14:paraId="66E9C0FC">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⑤危害神经系统。长期受到一种或几种低浓度异味物质的刺激，会引起嗅觉脱失、嗅觉疲劳等障碍。“久闻而不知其臭”，使嗅觉丧失了第一道防御功能，但脑神经仍不断收到刺激和损伤，最后导致大脑皮层兴奋和抑制的调节失调。</w:t>
            </w:r>
          </w:p>
          <w:p w14:paraId="4B5D9FD4">
            <w:pPr>
              <w:pStyle w:val="14"/>
              <w:spacing w:before="0" w:line="360" w:lineRule="auto"/>
              <w:ind w:firstLine="480" w:firstLineChars="200"/>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B异味影响分析</w:t>
            </w:r>
          </w:p>
          <w:p w14:paraId="59471D13">
            <w:pPr>
              <w:pStyle w:val="5"/>
              <w:numPr>
                <w:ilvl w:val="0"/>
                <w:numId w:val="0"/>
              </w:numPr>
              <w:tabs>
                <w:tab w:val="left" w:pos="0"/>
                <w:tab w:val="left" w:pos="431"/>
              </w:tabs>
              <w:bidi w:val="0"/>
              <w:jc w:val="cente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2"/>
                <w:lang w:val="en-US" w:eastAsia="zh-CN" w:bidi="ar-SA"/>
                <w14:textFill>
                  <w14:solidFill>
                    <w14:schemeClr w14:val="tx1"/>
                  </w14:solidFill>
                </w14:textFill>
              </w:rPr>
              <w:t xml:space="preserve">-19  </w:t>
            </w:r>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污染物最大质量浓度与嗅阈值</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3060"/>
              <w:gridCol w:w="3317"/>
            </w:tblGrid>
            <w:tr w14:paraId="4B9A5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tl2br w:val="nil"/>
                    <w:tr2bl w:val="nil"/>
                  </w:tcBorders>
                  <w:noWrap w:val="0"/>
                  <w:vAlign w:val="center"/>
                </w:tcPr>
                <w:p w14:paraId="13ED7A5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污染物名称</w:t>
                  </w:r>
                </w:p>
              </w:tc>
              <w:tc>
                <w:tcPr>
                  <w:tcW w:w="1776" w:type="pct"/>
                  <w:tcBorders>
                    <w:tl2br w:val="nil"/>
                    <w:tr2bl w:val="nil"/>
                  </w:tcBorders>
                  <w:noWrap w:val="0"/>
                  <w:vAlign w:val="center"/>
                </w:tcPr>
                <w:p w14:paraId="35B3985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最大质量浓度（mg/m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925" w:type="pct"/>
                  <w:tcBorders>
                    <w:tl2br w:val="nil"/>
                    <w:tr2bl w:val="nil"/>
                  </w:tcBorders>
                  <w:noWrap w:val="0"/>
                  <w:vAlign w:val="center"/>
                </w:tcPr>
                <w:p w14:paraId="0564C53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嗅阈值标准（mg/m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0811D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tl2br w:val="nil"/>
                    <w:tr2bl w:val="nil"/>
                  </w:tcBorders>
                  <w:noWrap w:val="0"/>
                  <w:vAlign w:val="center"/>
                </w:tcPr>
                <w:p w14:paraId="11B7883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硫酸</w:t>
                  </w:r>
                </w:p>
              </w:tc>
              <w:tc>
                <w:tcPr>
                  <w:tcW w:w="1776" w:type="pct"/>
                  <w:tcBorders>
                    <w:tl2br w:val="nil"/>
                    <w:tr2bl w:val="nil"/>
                  </w:tcBorders>
                  <w:noWrap w:val="0"/>
                  <w:vAlign w:val="center"/>
                </w:tcPr>
                <w:p w14:paraId="745F841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p>
              </w:tc>
              <w:tc>
                <w:tcPr>
                  <w:tcW w:w="1925" w:type="pct"/>
                  <w:tcBorders>
                    <w:tl2br w:val="nil"/>
                    <w:tr2bl w:val="nil"/>
                  </w:tcBorders>
                  <w:noWrap w:val="0"/>
                  <w:vAlign w:val="center"/>
                </w:tcPr>
                <w:p w14:paraId="183C6C0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r>
            <w:tr w14:paraId="4DADB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tl2br w:val="nil"/>
                    <w:tr2bl w:val="nil"/>
                  </w:tcBorders>
                  <w:noWrap w:val="0"/>
                  <w:vAlign w:val="center"/>
                </w:tcPr>
                <w:p w14:paraId="57168FF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甲醇</w:t>
                  </w:r>
                </w:p>
              </w:tc>
              <w:tc>
                <w:tcPr>
                  <w:tcW w:w="1776" w:type="pct"/>
                  <w:tcBorders>
                    <w:tl2br w:val="nil"/>
                    <w:tr2bl w:val="nil"/>
                  </w:tcBorders>
                  <w:noWrap w:val="0"/>
                  <w:vAlign w:val="center"/>
                </w:tcPr>
                <w:p w14:paraId="05BBE5D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0.07~0.11</w:t>
                  </w:r>
                </w:p>
              </w:tc>
              <w:tc>
                <w:tcPr>
                  <w:tcW w:w="1925" w:type="pct"/>
                  <w:tcBorders>
                    <w:tl2br w:val="nil"/>
                    <w:tr2bl w:val="nil"/>
                  </w:tcBorders>
                  <w:noWrap w:val="0"/>
                  <w:vAlign w:val="center"/>
                </w:tcPr>
                <w:p w14:paraId="3E750C4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r>
          </w:tbl>
          <w:p w14:paraId="25A2B53A">
            <w:pPr>
              <w:spacing w:line="360" w:lineRule="auto"/>
              <w:ind w:firstLine="480" w:firstLineChars="200"/>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本项目运营期硫酸、甲醇最大落地浓度低于嗅阈值，人体无法感知。总体上，本项目运营期产生的废气对周边大气环境和人群健康及嗅觉舒适度影响不大。</w:t>
            </w:r>
          </w:p>
          <w:p w14:paraId="54DFD49B">
            <w:pPr>
              <w:spacing w:line="360" w:lineRule="auto"/>
              <w:ind w:firstLine="480"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为了减小异味对周边环境的影响，本项目需加强厂房排气，增加空气流通，并且通过厂区周边绿化树木的吸收，确保异味对周边环境的影响较小。</w:t>
            </w:r>
          </w:p>
          <w:p w14:paraId="7CA2EC5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14:textFill>
                  <w14:solidFill>
                    <w14:schemeClr w14:val="tx1"/>
                  </w14:solidFill>
                </w14:textFill>
              </w:rPr>
              <w:t>大气环境影响评价结论</w:t>
            </w:r>
          </w:p>
          <w:p w14:paraId="13BA7C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000000" w:themeColor="text1"/>
                <w:sz w:val="24"/>
                <w14:textFill>
                  <w14:solidFill>
                    <w14:schemeClr w14:val="tx1"/>
                  </w14:solidFill>
                </w14:textFill>
              </w:rPr>
              <w:t>。</w:t>
            </w:r>
          </w:p>
          <w:p w14:paraId="5B686EA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二、废水</w:t>
            </w:r>
          </w:p>
          <w:p w14:paraId="48C67C2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000000" w:themeColor="text1"/>
                <w:sz w:val="24"/>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1.废水</w:t>
            </w:r>
            <w:r>
              <w:rPr>
                <w:rFonts w:hint="default" w:ascii="Times New Roman" w:hAnsi="Times New Roman" w:eastAsia="宋体" w:cs="Times New Roman"/>
                <w:b/>
                <w:bCs w:val="0"/>
                <w:color w:val="000000" w:themeColor="text1"/>
                <w:sz w:val="24"/>
                <w14:textFill>
                  <w14:solidFill>
                    <w14:schemeClr w14:val="tx1"/>
                  </w14:solidFill>
                </w14:textFill>
              </w:rPr>
              <w:t>产</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生</w:t>
            </w:r>
            <w:r>
              <w:rPr>
                <w:rFonts w:hint="default" w:ascii="Times New Roman" w:hAnsi="Times New Roman" w:eastAsia="宋体" w:cs="Times New Roman"/>
                <w:b/>
                <w:bCs w:val="0"/>
                <w:color w:val="000000" w:themeColor="text1"/>
                <w:sz w:val="24"/>
                <w14:textFill>
                  <w14:solidFill>
                    <w14:schemeClr w14:val="tx1"/>
                  </w14:solidFill>
                </w14:textFill>
              </w:rPr>
              <w:t>情况</w:t>
            </w:r>
          </w:p>
          <w:p w14:paraId="3864ADDB">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w:t>
            </w:r>
            <w:r>
              <w:rPr>
                <w:rFonts w:hint="default" w:ascii="Times New Roman" w:hAnsi="Times New Roman" w:eastAsia="宋体" w:cs="Times New Roman"/>
                <w:color w:val="000000" w:themeColor="text1"/>
                <w:sz w:val="24"/>
                <w:szCs w:val="24"/>
                <w14:textFill>
                  <w14:solidFill>
                    <w14:schemeClr w14:val="tx1"/>
                  </w14:solidFill>
                </w14:textFill>
              </w:rPr>
              <w:t>水</w:t>
            </w:r>
          </w:p>
          <w:p w14:paraId="57C6458E">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劳动定员2</w:t>
            </w:r>
            <w:r>
              <w:rPr>
                <w:rFonts w:hint="eastAsia"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人，年工作3</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0天，不设食堂、宿舍和浴室。</w:t>
            </w:r>
            <w:r>
              <w:rPr>
                <w:rFonts w:hint="eastAsia" w:ascii="Times New Roman" w:hAnsi="Times New Roman" w:eastAsia="宋体" w:cs="Times New Roman"/>
                <w:color w:val="000000" w:themeColor="text1"/>
                <w:sz w:val="24"/>
                <w:lang w:val="en-US" w:eastAsia="zh-CN"/>
                <w14:textFill>
                  <w14:solidFill>
                    <w14:schemeClr w14:val="tx1"/>
                  </w14:solidFill>
                </w14:textFill>
              </w:rPr>
              <w:t>根据前文工程分析，</w:t>
            </w:r>
            <w:r>
              <w:rPr>
                <w:rFonts w:hint="default" w:ascii="Times New Roman" w:hAnsi="Times New Roman" w:eastAsia="宋体" w:cs="Times New Roman"/>
                <w:color w:val="000000" w:themeColor="text1"/>
                <w:sz w:val="24"/>
                <w14:textFill>
                  <w14:solidFill>
                    <w14:schemeClr w14:val="tx1"/>
                  </w14:solidFill>
                </w14:textFill>
              </w:rPr>
              <w:t>生活污水排放量为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240</w:t>
            </w:r>
            <w:r>
              <w:rPr>
                <w:rFonts w:hint="default" w:ascii="Times New Roman" w:hAnsi="Times New Roman" w:eastAsia="宋体" w:cs="Times New Roman"/>
                <w:b w:val="0"/>
                <w:bCs w:val="0"/>
                <w:color w:val="000000" w:themeColor="text1"/>
                <w:sz w:val="24"/>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14:textFill>
                  <w14:solidFill>
                    <w14:schemeClr w14:val="tx1"/>
                  </w14:solidFill>
                </w14:textFill>
              </w:rPr>
              <w:t>，主要污染物为：</w:t>
            </w:r>
            <w:r>
              <w:rPr>
                <w:rFonts w:hint="eastAsia" w:ascii="Times New Roman" w:hAnsi="Times New Roman" w:eastAsia="宋体" w:cs="Times New Roman"/>
                <w:color w:val="000000" w:themeColor="text1"/>
                <w:sz w:val="24"/>
                <w:lang w:val="en-US" w:eastAsia="zh-CN"/>
                <w14:textFill>
                  <w14:solidFill>
                    <w14:schemeClr w14:val="tx1"/>
                  </w14:solidFill>
                </w14:textFill>
              </w:rPr>
              <w:t>pH、</w:t>
            </w:r>
            <w:r>
              <w:rPr>
                <w:rFonts w:hint="default" w:ascii="Times New Roman" w:hAnsi="Times New Roman" w:eastAsia="宋体" w:cs="Times New Roman"/>
                <w:color w:val="000000" w:themeColor="text1"/>
                <w:sz w:val="24"/>
                <w14:textFill>
                  <w14:solidFill>
                    <w14:schemeClr w14:val="tx1"/>
                  </w14:solidFill>
                </w14:textFill>
              </w:rPr>
              <w:t>COD、SS、氨氮、TP、TN产生浓度分别为</w:t>
            </w:r>
            <w:r>
              <w:rPr>
                <w:rFonts w:hint="eastAsia" w:ascii="Times New Roman" w:hAnsi="Times New Roman" w:eastAsia="宋体" w:cs="Times New Roman"/>
                <w:color w:val="000000" w:themeColor="text1"/>
                <w:sz w:val="24"/>
                <w:lang w:val="en-US" w:eastAsia="zh-CN"/>
                <w14:textFill>
                  <w14:solidFill>
                    <w14:schemeClr w14:val="tx1"/>
                  </w14:solidFill>
                </w14:textFill>
              </w:rPr>
              <w:t>6~9（无量纲）、</w:t>
            </w:r>
            <w:r>
              <w:rPr>
                <w:rFonts w:hint="default" w:ascii="Times New Roman" w:hAnsi="Times New Roman" w:eastAsia="宋体" w:cs="Times New Roman"/>
                <w:color w:val="000000" w:themeColor="text1"/>
                <w:sz w:val="24"/>
                <w14:textFill>
                  <w14:solidFill>
                    <w14:schemeClr w14:val="tx1"/>
                  </w14:solidFill>
                </w14:textFill>
              </w:rPr>
              <w:t>400mg/L、2</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0mg/L、30mg/L、</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mg/L、</w:t>
            </w:r>
            <w:r>
              <w:rPr>
                <w:rFonts w:hint="default" w:ascii="Times New Roman" w:hAnsi="Times New Roman" w:eastAsia="宋体" w:cs="Times New Roman"/>
                <w:color w:val="000000" w:themeColor="text1"/>
                <w:sz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4"/>
                <w14:textFill>
                  <w14:solidFill>
                    <w14:schemeClr w14:val="tx1"/>
                  </w14:solidFill>
                </w14:textFill>
              </w:rPr>
              <w:t>常州市金坛区第二污水处理厂</w:t>
            </w:r>
            <w:r>
              <w:rPr>
                <w:rFonts w:hint="eastAsia" w:ascii="Times New Roman" w:hAnsi="Times New Roman" w:eastAsia="宋体" w:cs="Times New Roman"/>
                <w:color w:val="000000" w:themeColor="text1"/>
                <w:sz w:val="24"/>
                <w:lang w:val="en-US" w:eastAsia="zh-CN"/>
                <w14:textFill>
                  <w14:solidFill>
                    <w14:schemeClr w14:val="tx1"/>
                  </w14:solidFill>
                </w14:textFill>
              </w:rPr>
              <w:t>集中处理</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1E0A0684">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14:textFill>
                  <w14:solidFill>
                    <w14:schemeClr w14:val="tx1"/>
                  </w14:solidFill>
                </w14:textFill>
              </w:rPr>
              <w:t>水</w:t>
            </w:r>
          </w:p>
          <w:p w14:paraId="4D1B1F0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①电解除油后喷淋废水</w:t>
            </w:r>
          </w:p>
          <w:p w14:paraId="7BDC90D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根据前文工程分析，电解除油后喷淋废水产生量为48</w:t>
            </w:r>
            <w:r>
              <w:rPr>
                <w:rFonts w:hint="default" w:ascii="Times New Roman" w:hAnsi="Times New Roman" w:eastAsia="宋体" w:cs="Times New Roman"/>
                <w:b w:val="0"/>
                <w:bCs w:val="0"/>
                <w:color w:val="000000" w:themeColor="text1"/>
                <w:sz w:val="24"/>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主要污染物为：</w:t>
            </w:r>
            <w:r>
              <w:rPr>
                <w:rFonts w:hint="eastAsia" w:ascii="Times New Roman" w:hAnsi="Times New Roman" w:eastAsia="宋体" w:cs="Times New Roman"/>
                <w:color w:val="000000" w:themeColor="text1"/>
                <w:sz w:val="24"/>
                <w:lang w:val="en-US" w:eastAsia="zh-CN"/>
                <w14:textFill>
                  <w14:solidFill>
                    <w14:schemeClr w14:val="tx1"/>
                  </w14:solidFill>
                </w14:textFill>
              </w:rPr>
              <w:t>pH、</w:t>
            </w:r>
            <w:r>
              <w:rPr>
                <w:rFonts w:hint="default" w:ascii="Times New Roman" w:hAnsi="Times New Roman" w:eastAsia="宋体" w:cs="Times New Roman"/>
                <w:color w:val="000000" w:themeColor="text1"/>
                <w:sz w:val="24"/>
                <w14:textFill>
                  <w14:solidFill>
                    <w14:schemeClr w14:val="tx1"/>
                  </w14:solidFill>
                </w14:textFill>
              </w:rPr>
              <w:t>COD、SS</w:t>
            </w:r>
            <w:r>
              <w:rPr>
                <w:rFonts w:hint="eastAsia" w:ascii="Times New Roman" w:hAnsi="Times New Roman" w:eastAsia="宋体" w:cs="Times New Roman"/>
                <w:color w:val="000000" w:themeColor="text1"/>
                <w:sz w:val="24"/>
                <w:lang w:val="en-US" w:eastAsia="zh-CN"/>
                <w14:textFill>
                  <w14:solidFill>
                    <w14:schemeClr w14:val="tx1"/>
                  </w14:solidFill>
                </w14:textFill>
              </w:rPr>
              <w:t>、氨氮、TP、TN、溶解性总固体、石油类、LAS，</w:t>
            </w:r>
            <w:r>
              <w:rPr>
                <w:rFonts w:hint="default" w:ascii="Times New Roman" w:hAnsi="Times New Roman" w:eastAsia="宋体" w:cs="Times New Roman"/>
                <w:color w:val="000000" w:themeColor="text1"/>
                <w:sz w:val="24"/>
                <w14:textFill>
                  <w14:solidFill>
                    <w14:schemeClr w14:val="tx1"/>
                  </w14:solidFill>
                </w14:textFill>
              </w:rPr>
              <w:t>产生浓度分别为</w:t>
            </w:r>
            <w:r>
              <w:rPr>
                <w:rFonts w:hint="eastAsia" w:ascii="Times New Roman" w:hAnsi="Times New Roman" w:eastAsia="宋体" w:cs="Times New Roman"/>
                <w:color w:val="000000" w:themeColor="text1"/>
                <w:sz w:val="24"/>
                <w:lang w:val="en-US" w:eastAsia="zh-CN"/>
                <w14:textFill>
                  <w14:solidFill>
                    <w14:schemeClr w14:val="tx1"/>
                  </w14:solidFill>
                </w14:textFill>
              </w:rPr>
              <w:t>6~9（无量纲）、150</w:t>
            </w:r>
            <w:r>
              <w:rPr>
                <w:rFonts w:hint="default" w:ascii="Times New Roman" w:hAnsi="Times New Roman" w:eastAsia="宋体" w:cs="Times New Roman"/>
                <w:color w:val="000000" w:themeColor="text1"/>
                <w:sz w:val="24"/>
                <w14:textFill>
                  <w14:solidFill>
                    <w14:schemeClr w14:val="tx1"/>
                  </w14:solidFill>
                </w14:textFill>
              </w:rPr>
              <w:t>mg/L、20mg/L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3000mg/L、3</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经企业自建的污水处理站处理后，回用于生产，不外排。</w:t>
            </w:r>
          </w:p>
          <w:p w14:paraId="0286F39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②酸洗后喷淋废水</w:t>
            </w:r>
          </w:p>
          <w:p w14:paraId="3507BB1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根据前文工程分析，酸洗后喷淋废水产生量为72</w:t>
            </w:r>
            <w:r>
              <w:rPr>
                <w:rFonts w:hint="default" w:ascii="Times New Roman" w:hAnsi="Times New Roman" w:eastAsia="宋体" w:cs="Times New Roman"/>
                <w:b w:val="0"/>
                <w:bCs w:val="0"/>
                <w:color w:val="000000" w:themeColor="text1"/>
                <w:sz w:val="24"/>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主要污染物为：</w:t>
            </w:r>
            <w:r>
              <w:rPr>
                <w:rFonts w:hint="eastAsia" w:ascii="Times New Roman" w:hAnsi="Times New Roman" w:eastAsia="宋体" w:cs="Times New Roman"/>
                <w:color w:val="000000" w:themeColor="text1"/>
                <w:sz w:val="24"/>
                <w:lang w:val="en-US" w:eastAsia="zh-CN"/>
                <w14:textFill>
                  <w14:solidFill>
                    <w14:schemeClr w14:val="tx1"/>
                  </w14:solidFill>
                </w14:textFill>
              </w:rPr>
              <w:t>pH、</w:t>
            </w:r>
            <w:r>
              <w:rPr>
                <w:rFonts w:hint="default" w:ascii="Times New Roman" w:hAnsi="Times New Roman" w:eastAsia="宋体" w:cs="Times New Roman"/>
                <w:color w:val="000000" w:themeColor="text1"/>
                <w:sz w:val="24"/>
                <w14:textFill>
                  <w14:solidFill>
                    <w14:schemeClr w14:val="tx1"/>
                  </w14:solidFill>
                </w14:textFill>
              </w:rPr>
              <w:t>COD、SS</w:t>
            </w:r>
            <w:r>
              <w:rPr>
                <w:rFonts w:hint="eastAsia" w:ascii="Times New Roman" w:hAnsi="Times New Roman" w:eastAsia="宋体" w:cs="Times New Roman"/>
                <w:color w:val="000000" w:themeColor="text1"/>
                <w:sz w:val="24"/>
                <w:lang w:val="en-US" w:eastAsia="zh-CN"/>
                <w14:textFill>
                  <w14:solidFill>
                    <w14:schemeClr w14:val="tx1"/>
                  </w14:solidFill>
                </w14:textFill>
              </w:rPr>
              <w:t>、氨氮、TP、TN、溶解性总固体、总铜、硫酸盐，</w:t>
            </w:r>
            <w:r>
              <w:rPr>
                <w:rFonts w:hint="default" w:ascii="Times New Roman" w:hAnsi="Times New Roman" w:eastAsia="宋体" w:cs="Times New Roman"/>
                <w:color w:val="000000" w:themeColor="text1"/>
                <w:sz w:val="24"/>
                <w14:textFill>
                  <w14:solidFill>
                    <w14:schemeClr w14:val="tx1"/>
                  </w14:solidFill>
                </w14:textFill>
              </w:rPr>
              <w:t>产生浓度分别为</w:t>
            </w:r>
            <w:r>
              <w:rPr>
                <w:rFonts w:hint="eastAsia" w:ascii="Times New Roman" w:hAnsi="Times New Roman" w:eastAsia="宋体" w:cs="Times New Roman"/>
                <w:color w:val="000000" w:themeColor="text1"/>
                <w:sz w:val="24"/>
                <w:lang w:val="en-US" w:eastAsia="zh-CN"/>
                <w14:textFill>
                  <w14:solidFill>
                    <w14:schemeClr w14:val="tx1"/>
                  </w14:solidFill>
                </w14:textFill>
              </w:rPr>
              <w:t>2~6（无量纲）、5</w:t>
            </w:r>
            <w:r>
              <w:rPr>
                <w:rFonts w:hint="default" w:ascii="Times New Roman" w:hAnsi="Times New Roman" w:eastAsia="宋体" w:cs="Times New Roman"/>
                <w:color w:val="000000" w:themeColor="text1"/>
                <w:sz w:val="24"/>
                <w14:textFill>
                  <w14:solidFill>
                    <w14:schemeClr w14:val="tx1"/>
                  </w14:solidFill>
                </w14:textFill>
              </w:rPr>
              <w:t>0mg/L、20mg/L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3000mg/L、15</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3000mg/L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经企业自建的污水处理站处理后，回用于生产，不外排。</w:t>
            </w:r>
          </w:p>
          <w:p w14:paraId="1452B73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③铜保护工序后喷淋废水</w:t>
            </w:r>
          </w:p>
          <w:p w14:paraId="0D4AFC6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根据前文工程分析，铜保护工序后喷淋废水产生量为48</w:t>
            </w:r>
            <w:r>
              <w:rPr>
                <w:rFonts w:hint="default" w:ascii="Times New Roman" w:hAnsi="Times New Roman" w:eastAsia="宋体" w:cs="Times New Roman"/>
                <w:b w:val="0"/>
                <w:bCs w:val="0"/>
                <w:color w:val="000000" w:themeColor="text1"/>
                <w:sz w:val="24"/>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主要污染物为：</w:t>
            </w:r>
            <w:r>
              <w:rPr>
                <w:rFonts w:hint="eastAsia" w:ascii="Times New Roman" w:hAnsi="Times New Roman" w:eastAsia="宋体" w:cs="Times New Roman"/>
                <w:color w:val="000000" w:themeColor="text1"/>
                <w:sz w:val="24"/>
                <w:lang w:val="en-US" w:eastAsia="zh-CN"/>
                <w14:textFill>
                  <w14:solidFill>
                    <w14:schemeClr w14:val="tx1"/>
                  </w14:solidFill>
                </w14:textFill>
              </w:rPr>
              <w:t>pH、</w:t>
            </w:r>
            <w:r>
              <w:rPr>
                <w:rFonts w:hint="default" w:ascii="Times New Roman" w:hAnsi="Times New Roman" w:eastAsia="宋体" w:cs="Times New Roman"/>
                <w:color w:val="000000" w:themeColor="text1"/>
                <w:sz w:val="24"/>
                <w14:textFill>
                  <w14:solidFill>
                    <w14:schemeClr w14:val="tx1"/>
                  </w14:solidFill>
                </w14:textFill>
              </w:rPr>
              <w:t>COD、SS</w:t>
            </w:r>
            <w:r>
              <w:rPr>
                <w:rFonts w:hint="eastAsia" w:ascii="Times New Roman" w:hAnsi="Times New Roman" w:eastAsia="宋体" w:cs="Times New Roman"/>
                <w:color w:val="000000" w:themeColor="text1"/>
                <w:sz w:val="24"/>
                <w:lang w:val="en-US" w:eastAsia="zh-CN"/>
                <w14:textFill>
                  <w14:solidFill>
                    <w14:schemeClr w14:val="tx1"/>
                  </w14:solidFill>
                </w14:textFill>
              </w:rPr>
              <w:t>、氨氮、TP、TN、溶解性总固体、总铜，</w:t>
            </w:r>
            <w:r>
              <w:rPr>
                <w:rFonts w:hint="default" w:ascii="Times New Roman" w:hAnsi="Times New Roman" w:eastAsia="宋体" w:cs="Times New Roman"/>
                <w:color w:val="000000" w:themeColor="text1"/>
                <w:sz w:val="24"/>
                <w14:textFill>
                  <w14:solidFill>
                    <w14:schemeClr w14:val="tx1"/>
                  </w14:solidFill>
                </w14:textFill>
              </w:rPr>
              <w:t>产生浓度分别为</w:t>
            </w:r>
            <w:r>
              <w:rPr>
                <w:rFonts w:hint="eastAsia" w:ascii="Times New Roman" w:hAnsi="Times New Roman" w:eastAsia="宋体" w:cs="Times New Roman"/>
                <w:color w:val="000000" w:themeColor="text1"/>
                <w:sz w:val="24"/>
                <w:lang w:val="en-US" w:eastAsia="zh-CN"/>
                <w14:textFill>
                  <w14:solidFill>
                    <w14:schemeClr w14:val="tx1"/>
                  </w14:solidFill>
                </w14:textFill>
              </w:rPr>
              <w:t>6~9（无量纲）、3</w:t>
            </w:r>
            <w:r>
              <w:rPr>
                <w:rFonts w:hint="default" w:ascii="Times New Roman" w:hAnsi="Times New Roman" w:eastAsia="宋体" w:cs="Times New Roman"/>
                <w:color w:val="000000" w:themeColor="text1"/>
                <w:sz w:val="24"/>
                <w14:textFill>
                  <w14:solidFill>
                    <w14:schemeClr w14:val="tx1"/>
                  </w14:solidFill>
                </w14:textFill>
              </w:rPr>
              <w:t>00mg/L、20mg/L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3000mg/L、15</w:t>
            </w:r>
            <w:r>
              <w:rPr>
                <w:rFonts w:hint="default"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经企业自建的污水处理站处理后，回用于生产，不外排。</w:t>
            </w:r>
          </w:p>
          <w:p w14:paraId="5438DD8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④喷淋塔废水</w:t>
            </w:r>
          </w:p>
          <w:p w14:paraId="489AC94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根据前文工程分析，喷淋塔废水产生量为24</w:t>
            </w:r>
            <w:r>
              <w:rPr>
                <w:rFonts w:hint="default" w:ascii="Times New Roman" w:hAnsi="Times New Roman" w:eastAsia="宋体" w:cs="Times New Roman"/>
                <w:b w:val="0"/>
                <w:bCs w:val="0"/>
                <w:color w:val="000000" w:themeColor="text1"/>
                <w:sz w:val="24"/>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主要污染物为：</w:t>
            </w:r>
            <w:r>
              <w:rPr>
                <w:rFonts w:hint="eastAsia" w:ascii="Times New Roman" w:hAnsi="Times New Roman" w:eastAsia="宋体" w:cs="Times New Roman"/>
                <w:color w:val="000000" w:themeColor="text1"/>
                <w:sz w:val="24"/>
                <w:lang w:val="en-US" w:eastAsia="zh-CN"/>
                <w14:textFill>
                  <w14:solidFill>
                    <w14:schemeClr w14:val="tx1"/>
                  </w14:solidFill>
                </w14:textFill>
              </w:rPr>
              <w:t>pH、</w:t>
            </w:r>
            <w:r>
              <w:rPr>
                <w:rFonts w:hint="default" w:ascii="Times New Roman" w:hAnsi="Times New Roman" w:eastAsia="宋体" w:cs="Times New Roman"/>
                <w:color w:val="000000" w:themeColor="text1"/>
                <w:sz w:val="24"/>
                <w14:textFill>
                  <w14:solidFill>
                    <w14:schemeClr w14:val="tx1"/>
                  </w14:solidFill>
                </w14:textFill>
              </w:rPr>
              <w:t>COD、SS</w:t>
            </w:r>
            <w:r>
              <w:rPr>
                <w:rFonts w:hint="eastAsia" w:ascii="Times New Roman" w:hAnsi="Times New Roman" w:eastAsia="宋体" w:cs="Times New Roman"/>
                <w:color w:val="000000" w:themeColor="text1"/>
                <w:sz w:val="24"/>
                <w:lang w:val="en-US" w:eastAsia="zh-CN"/>
                <w14:textFill>
                  <w14:solidFill>
                    <w14:schemeClr w14:val="tx1"/>
                  </w14:solidFill>
                </w14:textFill>
              </w:rPr>
              <w:t>、溶解性总固体、硫酸盐，</w:t>
            </w:r>
            <w:r>
              <w:rPr>
                <w:rFonts w:hint="default" w:ascii="Times New Roman" w:hAnsi="Times New Roman" w:eastAsia="宋体" w:cs="Times New Roman"/>
                <w:color w:val="000000" w:themeColor="text1"/>
                <w:sz w:val="24"/>
                <w14:textFill>
                  <w14:solidFill>
                    <w14:schemeClr w14:val="tx1"/>
                  </w14:solidFill>
                </w14:textFill>
              </w:rPr>
              <w:t>产生浓度分别为</w:t>
            </w:r>
            <w:r>
              <w:rPr>
                <w:rFonts w:hint="eastAsia" w:ascii="Times New Roman" w:hAnsi="Times New Roman" w:eastAsia="宋体" w:cs="Times New Roman"/>
                <w:color w:val="000000" w:themeColor="text1"/>
                <w:sz w:val="24"/>
                <w:lang w:val="en-US" w:eastAsia="zh-CN"/>
                <w14:textFill>
                  <w14:solidFill>
                    <w14:schemeClr w14:val="tx1"/>
                  </w14:solidFill>
                </w14:textFill>
              </w:rPr>
              <w:t>9~12（无量纲）、1</w:t>
            </w:r>
            <w:r>
              <w:rPr>
                <w:rFonts w:hint="default" w:ascii="Times New Roman" w:hAnsi="Times New Roman" w:eastAsia="宋体" w:cs="Times New Roman"/>
                <w:color w:val="000000" w:themeColor="text1"/>
                <w:sz w:val="24"/>
                <w14:textFill>
                  <w14:solidFill>
                    <w14:schemeClr w14:val="tx1"/>
                  </w14:solidFill>
                </w14:textFill>
              </w:rPr>
              <w:t>00mg/L、</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3000mg/L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5500mg/L</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经企业自建的污水处理站处理后，回用于生产，不外排。</w:t>
            </w:r>
          </w:p>
          <w:p w14:paraId="2F231B88">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⑤反冲洗废水：</w:t>
            </w:r>
          </w:p>
          <w:p w14:paraId="228946AE">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根据前文工程分析，反冲洗废水产生量为2m</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/a，主要污染物为：pH、COD、SS、溶解性总固体，产生浓度分别为</w:t>
            </w:r>
            <w:r>
              <w:rPr>
                <w:rFonts w:hint="eastAsia" w:ascii="Times New Roman" w:hAnsi="Times New Roman" w:eastAsia="宋体" w:cs="Times New Roman"/>
                <w:color w:val="000000" w:themeColor="text1"/>
                <w:sz w:val="24"/>
                <w:lang w:val="en-US" w:eastAsia="zh-CN"/>
                <w14:textFill>
                  <w14:solidFill>
                    <w14:schemeClr w14:val="tx1"/>
                  </w14:solidFill>
                </w14:textFill>
              </w:rPr>
              <w:t>6~9（无量纲）</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、40mg/L、40mg/L、1000mg/L，经企业自建的污水处理站处理后，回用于生产，不外排。</w:t>
            </w:r>
          </w:p>
          <w:p w14:paraId="3D0857DB">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建设单位采样同类型项目污水，本项目生产废水中污染物浓度参考建设单位提供监测报告（报告编号：TST202509162）。</w:t>
            </w:r>
          </w:p>
          <w:p w14:paraId="499B96AC">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纯水制备浓水：本项目纯水制备</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浓水产生</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量约为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用于冲厕用水，作为生活污水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4"/>
                <w14:textFill>
                  <w14:solidFill>
                    <w14:schemeClr w14:val="tx1"/>
                  </w14:solidFill>
                </w14:textFill>
              </w:rPr>
              <w:t>常州市金坛第二污水处理厂集中处理，处理后尾水排入尧塘河</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7BA4DD67">
            <w:pPr>
              <w:pStyle w:val="57"/>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纯水制备浓水用于冲厕用水可行性说明：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本项目纯水由自来水制备而得，制备产生的浓水中主要污染物为COD、SS和全盐量，且浓度较低，不含氮磷等污染因子，同时该浓水未接触生产及生产物料，对水环境影响较小。纯水制备浓水产生量约为12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少于生活用水量，可以全部用于冲厕用水。满足</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《太湖流域管理条例》、《江苏省太湖水污染防治条例》、《江苏省太湖流域水环境综合治理规划（2021-2035年）》等文件要求，因此可以用于冲厕用水。</w:t>
            </w:r>
          </w:p>
          <w:p w14:paraId="1E5C895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⑥地面清洗废水</w:t>
            </w:r>
          </w:p>
          <w:p w14:paraId="5C4AC21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根据前文工程分析，地面清洗废水产生量为4m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/a，主要污染物为：pH、COD、SS、氨氮、TP、TN、溶解性总固体，产生浓度分别为6~9（无量纲）、500mg/L、500mg/L、10mg/L、3mg/L、12mg/L、600mg/L，经企业自建的污水处理站处理后，回用于生产，不外排。</w:t>
            </w:r>
          </w:p>
          <w:p w14:paraId="4BC6015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废水产生及排放情况见下表。</w:t>
            </w:r>
          </w:p>
          <w:p w14:paraId="1D8DD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本项目废水污染物</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产生</w:t>
            </w:r>
            <w:r>
              <w:rPr>
                <w:rFonts w:hint="default" w:ascii="Times New Roman" w:hAnsi="Times New Roman" w:eastAsia="宋体" w:cs="Times New Roman"/>
                <w:b/>
                <w:bCs/>
                <w:color w:val="000000" w:themeColor="text1"/>
                <w:sz w:val="24"/>
                <w:szCs w:val="24"/>
                <w14:textFill>
                  <w14:solidFill>
                    <w14:schemeClr w14:val="tx1"/>
                  </w14:solidFill>
                </w14:textFill>
              </w:rPr>
              <w:t>排放情况表</w:t>
            </w:r>
          </w:p>
          <w:tbl>
            <w:tblPr>
              <w:tblStyle w:val="85"/>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91"/>
              <w:gridCol w:w="870"/>
              <w:gridCol w:w="795"/>
              <w:gridCol w:w="1426"/>
              <w:gridCol w:w="758"/>
              <w:gridCol w:w="548"/>
              <w:gridCol w:w="851"/>
              <w:gridCol w:w="1232"/>
              <w:gridCol w:w="737"/>
              <w:gridCol w:w="546"/>
            </w:tblGrid>
            <w:tr w14:paraId="215647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67A9680C">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Outline w14:w="3795" w14:cap="sq" w14:cmpd="sng">
                        <w14:solidFill>
                          <w14:srgbClr w14:val="000000"/>
                        </w14:solidFill>
                        <w14:prstDash w14:val="solid"/>
                        <w14:bevel/>
                      </w14:textOutline>
                      <w14:textFill>
                        <w14:solidFill>
                          <w14:schemeClr w14:val="tx1"/>
                        </w14:solidFill>
                      </w14:textFill>
                    </w:rPr>
                    <w:t>废水</w:t>
                  </w:r>
                  <w:r>
                    <w:rPr>
                      <w:rFonts w:hint="default" w:ascii="Times New Roman" w:hAnsi="Times New Roman" w:eastAsia="宋体" w:cs="Times New Roman"/>
                      <w:color w:val="000000" w:themeColor="text1"/>
                      <w:spacing w:val="1"/>
                      <w:sz w:val="21"/>
                      <w:szCs w:val="21"/>
                      <w14:textOutline w14:w="3795" w14:cap="sq" w14:cmpd="sng">
                        <w14:solidFill>
                          <w14:srgbClr w14:val="000000"/>
                        </w14:solidFill>
                        <w14:prstDash w14:val="solid"/>
                        <w14:bevel/>
                      </w14:textOutline>
                      <w14:textFill>
                        <w14:solidFill>
                          <w14:schemeClr w14:val="tx1"/>
                        </w14:solidFill>
                      </w14:textFill>
                    </w:rPr>
                    <w:t>源</w:t>
                  </w:r>
                </w:p>
              </w:tc>
              <w:tc>
                <w:tcPr>
                  <w:tcW w:w="870" w:type="dxa"/>
                  <w:vMerge w:val="restart"/>
                  <w:tcBorders>
                    <w:tl2br w:val="nil"/>
                    <w:tr2bl w:val="nil"/>
                  </w:tcBorders>
                  <w:vAlign w:val="center"/>
                </w:tcPr>
                <w:p w14:paraId="61683F14">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Outline w14:w="3795" w14:cap="sq" w14:cmpd="sng">
                        <w14:solidFill>
                          <w14:srgbClr w14:val="000000"/>
                        </w14:solidFill>
                        <w14:prstDash w14:val="solid"/>
                        <w14:bevel/>
                      </w14:textOutline>
                      <w14:textFill>
                        <w14:solidFill>
                          <w14:schemeClr w14:val="tx1"/>
                        </w14:solidFill>
                      </w14:textFill>
                    </w:rPr>
                    <w:t>废水量</w:t>
                  </w:r>
                  <w:r>
                    <w:rPr>
                      <w:rFonts w:hint="default" w:ascii="Times New Roman" w:hAnsi="Times New Roman" w:eastAsia="宋体" w:cs="Times New Roman"/>
                      <w:color w:val="000000" w:themeColor="text1"/>
                      <w:sz w:val="21"/>
                      <w:szCs w:val="21"/>
                      <w14:textOutline w14:w="3795" w14:cap="sq" w14:cmpd="sng">
                        <w14:solidFill>
                          <w14:srgbClr w14:val="000000"/>
                        </w14:solidFill>
                        <w14:prstDash w14:val="solid"/>
                        <w14:bevel/>
                      </w14:textOutline>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/a</w:t>
                  </w:r>
                  <w:r>
                    <w:rPr>
                      <w:rFonts w:hint="default" w:ascii="Times New Roman" w:hAnsi="Times New Roman" w:eastAsia="宋体" w:cs="Times New Roman"/>
                      <w:color w:val="000000" w:themeColor="text1"/>
                      <w:sz w:val="21"/>
                      <w:szCs w:val="21"/>
                      <w14:textOutline w14:w="3795" w14:cap="sq" w14:cmpd="sng">
                        <w14:solidFill>
                          <w14:srgbClr w14:val="000000"/>
                        </w14:solidFill>
                        <w14:prstDash w14:val="solid"/>
                        <w14:bevel/>
                      </w14:textOutline>
                      <w14:textFill>
                        <w14:solidFill>
                          <w14:schemeClr w14:val="tx1"/>
                        </w14:solidFill>
                      </w14:textFill>
                    </w:rPr>
                    <w:t>）</w:t>
                  </w:r>
                </w:p>
              </w:tc>
              <w:tc>
                <w:tcPr>
                  <w:tcW w:w="2979" w:type="dxa"/>
                  <w:gridSpan w:val="3"/>
                  <w:tcBorders>
                    <w:tl2br w:val="nil"/>
                    <w:tr2bl w:val="nil"/>
                  </w:tcBorders>
                  <w:vAlign w:val="center"/>
                </w:tcPr>
                <w:p w14:paraId="5978F3EB">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Outline w14:w="3795" w14:cap="sq" w14:cmpd="sng">
                        <w14:solidFill>
                          <w14:srgbClr w14:val="000000"/>
                        </w14:solidFill>
                        <w14:prstDash w14:val="solid"/>
                        <w14:bevel/>
                      </w14:textOutline>
                      <w14:textFill>
                        <w14:solidFill>
                          <w14:schemeClr w14:val="tx1"/>
                        </w14:solidFill>
                      </w14:textFill>
                    </w:rPr>
                    <w:t>产生情况</w:t>
                  </w:r>
                </w:p>
              </w:tc>
              <w:tc>
                <w:tcPr>
                  <w:tcW w:w="3368" w:type="dxa"/>
                  <w:gridSpan w:val="4"/>
                  <w:tcBorders>
                    <w:tl2br w:val="nil"/>
                    <w:tr2bl w:val="nil"/>
                  </w:tcBorders>
                  <w:vAlign w:val="center"/>
                </w:tcPr>
                <w:p w14:paraId="1D6A0D6A">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Outline w14:w="3795" w14:cap="sq" w14:cmpd="sng">
                        <w14:solidFill>
                          <w14:srgbClr w14:val="000000"/>
                        </w14:solidFill>
                        <w14:prstDash w14:val="solid"/>
                        <w14:bevel/>
                      </w14:textOutline>
                      <w14:textFill>
                        <w14:solidFill>
                          <w14:schemeClr w14:val="tx1"/>
                        </w14:solidFill>
                      </w14:textFill>
                    </w:rPr>
                    <w:t>预处理后情况</w:t>
                  </w:r>
                </w:p>
              </w:tc>
              <w:tc>
                <w:tcPr>
                  <w:tcW w:w="546" w:type="dxa"/>
                  <w:vMerge w:val="restart"/>
                  <w:tcBorders>
                    <w:tl2br w:val="nil"/>
                    <w:tr2bl w:val="nil"/>
                  </w:tcBorders>
                  <w:vAlign w:val="center"/>
                </w:tcPr>
                <w:p w14:paraId="06F11001">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Outline w14:w="3795" w14:cap="sq" w14:cmpd="sng">
                        <w14:solidFill>
                          <w14:srgbClr w14:val="000000"/>
                        </w14:solidFill>
                        <w14:prstDash w14:val="solid"/>
                        <w14:bevel/>
                      </w14:textOutline>
                      <w14:textFill>
                        <w14:solidFill>
                          <w14:schemeClr w14:val="tx1"/>
                        </w14:solidFill>
                      </w14:textFill>
                    </w:rPr>
                    <w:t>排放去向</w:t>
                  </w:r>
                </w:p>
              </w:tc>
            </w:tr>
            <w:tr w14:paraId="70B447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5EC276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567B4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3F8A3412">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Outline w14:w="3795" w14:cap="sq" w14:cmpd="sng">
                        <w14:solidFill>
                          <w14:srgbClr w14:val="000000"/>
                        </w14:solidFill>
                        <w14:prstDash w14:val="solid"/>
                        <w14:bevel/>
                      </w14:textOutline>
                      <w14:textFill>
                        <w14:solidFill>
                          <w14:schemeClr w14:val="tx1"/>
                        </w14:solidFill>
                      </w14:textFill>
                    </w:rPr>
                    <w:t>污染物</w:t>
                  </w:r>
                  <w:r>
                    <w:rPr>
                      <w:rFonts w:hint="default" w:ascii="Times New Roman" w:hAnsi="Times New Roman" w:eastAsia="宋体" w:cs="Times New Roman"/>
                      <w:color w:val="000000" w:themeColor="text1"/>
                      <w:spacing w:val="4"/>
                      <w:sz w:val="21"/>
                      <w:szCs w:val="21"/>
                      <w14:textOutline w14:w="3795" w14:cap="sq" w14:cmpd="sng">
                        <w14:solidFill>
                          <w14:srgbClr w14:val="000000"/>
                        </w14:solidFill>
                        <w14:prstDash w14:val="solid"/>
                        <w14:bevel/>
                      </w14:textOutline>
                      <w14:textFill>
                        <w14:solidFill>
                          <w14:schemeClr w14:val="tx1"/>
                        </w14:solidFill>
                      </w14:textFill>
                    </w:rPr>
                    <w:t>名称</w:t>
                  </w:r>
                </w:p>
              </w:tc>
              <w:tc>
                <w:tcPr>
                  <w:tcW w:w="1426" w:type="dxa"/>
                  <w:tcBorders>
                    <w:tl2br w:val="nil"/>
                    <w:tr2bl w:val="nil"/>
                  </w:tcBorders>
                  <w:vAlign w:val="center"/>
                </w:tcPr>
                <w:p w14:paraId="4DD186F6">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Outline w14:w="3795" w14:cap="sq" w14:cmpd="sng">
                        <w14:solidFill>
                          <w14:srgbClr w14:val="000000"/>
                        </w14:solidFill>
                        <w14:prstDash w14:val="solid"/>
                        <w14:bevel/>
                      </w14:textOutline>
                      <w14:textFill>
                        <w14:solidFill>
                          <w14:schemeClr w14:val="tx1"/>
                        </w14:solidFill>
                      </w14:textFill>
                    </w:rPr>
                    <w:t>产生浓度</w:t>
                  </w:r>
                  <w:r>
                    <w:rPr>
                      <w:rFonts w:hint="default" w:ascii="Times New Roman" w:hAnsi="Times New Roman" w:eastAsia="宋体" w:cs="Times New Roman"/>
                      <w:b/>
                      <w:bCs/>
                      <w:color w:val="000000" w:themeColor="text1"/>
                      <w:sz w:val="21"/>
                      <w:szCs w:val="21"/>
                      <w14:textFill>
                        <w14:solidFill>
                          <w14:schemeClr w14:val="tx1"/>
                        </w14:solidFill>
                      </w14:textFill>
                    </w:rPr>
                    <w:t>mg</w:t>
                  </w:r>
                  <w:r>
                    <w:rPr>
                      <w:rFonts w:hint="default" w:ascii="Times New Roman" w:hAnsi="Times New Roman" w:eastAsia="宋体" w:cs="Times New Roman"/>
                      <w:b/>
                      <w:bCs/>
                      <w:color w:val="000000" w:themeColor="text1"/>
                      <w:spacing w:val="5"/>
                      <w:sz w:val="21"/>
                      <w:szCs w:val="21"/>
                      <w14:textFill>
                        <w14:solidFill>
                          <w14:schemeClr w14:val="tx1"/>
                        </w14:solidFill>
                      </w14:textFill>
                    </w:rPr>
                    <w:t>/L</w:t>
                  </w:r>
                </w:p>
              </w:tc>
              <w:tc>
                <w:tcPr>
                  <w:tcW w:w="758" w:type="dxa"/>
                  <w:tcBorders>
                    <w:tl2br w:val="nil"/>
                    <w:tr2bl w:val="nil"/>
                  </w:tcBorders>
                  <w:vAlign w:val="center"/>
                </w:tcPr>
                <w:p w14:paraId="260EC70A">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Outline w14:w="3795" w14:cap="sq" w14:cmpd="sng">
                        <w14:solidFill>
                          <w14:srgbClr w14:val="000000"/>
                        </w14:solidFill>
                        <w14:prstDash w14:val="solid"/>
                        <w14:bevel/>
                      </w14:textOutline>
                      <w14:textFill>
                        <w14:solidFill>
                          <w14:schemeClr w14:val="tx1"/>
                        </w14:solidFill>
                      </w14:textFill>
                    </w:rPr>
                    <w:t>产生量</w:t>
                  </w:r>
                  <w:r>
                    <w:rPr>
                      <w:rFonts w:hint="default" w:ascii="Times New Roman" w:hAnsi="Times New Roman" w:eastAsia="宋体" w:cs="Times New Roman"/>
                      <w:b/>
                      <w:bCs/>
                      <w:color w:val="000000" w:themeColor="text1"/>
                      <w:spacing w:val="1"/>
                      <w:sz w:val="21"/>
                      <w:szCs w:val="21"/>
                      <w14:textFill>
                        <w14:solidFill>
                          <w14:schemeClr w14:val="tx1"/>
                        </w14:solidFill>
                      </w14:textFill>
                    </w:rPr>
                    <w:t>t/a</w:t>
                  </w:r>
                </w:p>
              </w:tc>
              <w:tc>
                <w:tcPr>
                  <w:tcW w:w="548" w:type="dxa"/>
                  <w:tcBorders>
                    <w:tl2br w:val="nil"/>
                    <w:tr2bl w:val="nil"/>
                  </w:tcBorders>
                  <w:vAlign w:val="center"/>
                </w:tcPr>
                <w:p w14:paraId="279DAB31">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Outline w14:w="3795" w14:cap="sq" w14:cmpd="sng">
                        <w14:solidFill>
                          <w14:srgbClr w14:val="000000"/>
                        </w14:solidFill>
                        <w14:prstDash w14:val="solid"/>
                        <w14:bevel/>
                      </w14:textOutline>
                      <w14:textFill>
                        <w14:solidFill>
                          <w14:schemeClr w14:val="tx1"/>
                        </w14:solidFill>
                      </w14:textFill>
                    </w:rPr>
                    <w:t>处理</w:t>
                  </w:r>
                  <w:r>
                    <w:rPr>
                      <w:rFonts w:hint="default" w:ascii="Times New Roman" w:hAnsi="Times New Roman" w:eastAsia="宋体" w:cs="Times New Roman"/>
                      <w:color w:val="000000" w:themeColor="text1"/>
                      <w:spacing w:val="6"/>
                      <w:sz w:val="21"/>
                      <w:szCs w:val="21"/>
                      <w14:textOutline w14:w="3795" w14:cap="sq" w14:cmpd="sng">
                        <w14:solidFill>
                          <w14:srgbClr w14:val="000000"/>
                        </w14:solidFill>
                        <w14:prstDash w14:val="solid"/>
                        <w14:bevel/>
                      </w14:textOutline>
                      <w14:textFill>
                        <w14:solidFill>
                          <w14:schemeClr w14:val="tx1"/>
                        </w14:solidFill>
                      </w14:textFill>
                    </w:rPr>
                    <w:t>措施</w:t>
                  </w:r>
                </w:p>
              </w:tc>
              <w:tc>
                <w:tcPr>
                  <w:tcW w:w="851" w:type="dxa"/>
                  <w:tcBorders>
                    <w:tl2br w:val="nil"/>
                    <w:tr2bl w:val="nil"/>
                  </w:tcBorders>
                  <w:vAlign w:val="center"/>
                </w:tcPr>
                <w:p w14:paraId="5E9E41CB">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Outline w14:w="3795" w14:cap="sq" w14:cmpd="sng">
                        <w14:solidFill>
                          <w14:srgbClr w14:val="000000"/>
                        </w14:solidFill>
                        <w14:prstDash w14:val="solid"/>
                        <w14:bevel/>
                      </w14:textOutline>
                      <w14:textFill>
                        <w14:solidFill>
                          <w14:schemeClr w14:val="tx1"/>
                        </w14:solidFill>
                      </w14:textFill>
                    </w:rPr>
                    <w:t>污染物</w:t>
                  </w:r>
                  <w:r>
                    <w:rPr>
                      <w:rFonts w:hint="default" w:ascii="Times New Roman" w:hAnsi="Times New Roman" w:eastAsia="宋体" w:cs="Times New Roman"/>
                      <w:color w:val="000000" w:themeColor="text1"/>
                      <w:spacing w:val="4"/>
                      <w:sz w:val="21"/>
                      <w:szCs w:val="21"/>
                      <w14:textOutline w14:w="3795" w14:cap="sq" w14:cmpd="sng">
                        <w14:solidFill>
                          <w14:srgbClr w14:val="000000"/>
                        </w14:solidFill>
                        <w14:prstDash w14:val="solid"/>
                        <w14:bevel/>
                      </w14:textOutline>
                      <w14:textFill>
                        <w14:solidFill>
                          <w14:schemeClr w14:val="tx1"/>
                        </w14:solidFill>
                      </w14:textFill>
                    </w:rPr>
                    <w:t>名称</w:t>
                  </w:r>
                </w:p>
              </w:tc>
              <w:tc>
                <w:tcPr>
                  <w:tcW w:w="1232" w:type="dxa"/>
                  <w:tcBorders>
                    <w:tl2br w:val="nil"/>
                    <w:tr2bl w:val="nil"/>
                  </w:tcBorders>
                  <w:vAlign w:val="center"/>
                </w:tcPr>
                <w:p w14:paraId="709D892D">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Outline w14:w="3795" w14:cap="sq" w14:cmpd="sng">
                        <w14:solidFill>
                          <w14:srgbClr w14:val="000000"/>
                        </w14:solidFill>
                        <w14:prstDash w14:val="solid"/>
                        <w14:bevel/>
                      </w14:textOutline>
                      <w14:textFill>
                        <w14:solidFill>
                          <w14:schemeClr w14:val="tx1"/>
                        </w14:solidFill>
                      </w14:textFill>
                    </w:rPr>
                    <w:t>接管浓度</w:t>
                  </w:r>
                  <w:r>
                    <w:rPr>
                      <w:rFonts w:hint="default" w:ascii="Times New Roman" w:hAnsi="Times New Roman" w:eastAsia="宋体" w:cs="Times New Roman"/>
                      <w:b/>
                      <w:bCs/>
                      <w:color w:val="000000" w:themeColor="text1"/>
                      <w:sz w:val="21"/>
                      <w:szCs w:val="21"/>
                      <w14:textFill>
                        <w14:solidFill>
                          <w14:schemeClr w14:val="tx1"/>
                        </w14:solidFill>
                      </w14:textFill>
                    </w:rPr>
                    <w:t>mg</w:t>
                  </w:r>
                  <w:r>
                    <w:rPr>
                      <w:rFonts w:hint="default" w:ascii="Times New Roman" w:hAnsi="Times New Roman" w:eastAsia="宋体" w:cs="Times New Roman"/>
                      <w:b/>
                      <w:bCs/>
                      <w:color w:val="000000" w:themeColor="text1"/>
                      <w:spacing w:val="5"/>
                      <w:sz w:val="21"/>
                      <w:szCs w:val="21"/>
                      <w14:textFill>
                        <w14:solidFill>
                          <w14:schemeClr w14:val="tx1"/>
                        </w14:solidFill>
                      </w14:textFill>
                    </w:rPr>
                    <w:t>/L</w:t>
                  </w:r>
                </w:p>
              </w:tc>
              <w:tc>
                <w:tcPr>
                  <w:tcW w:w="737" w:type="dxa"/>
                  <w:tcBorders>
                    <w:tl2br w:val="nil"/>
                    <w:tr2bl w:val="nil"/>
                  </w:tcBorders>
                  <w:vAlign w:val="center"/>
                </w:tcPr>
                <w:p w14:paraId="7AA81881">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Outline w14:w="3795" w14:cap="sq" w14:cmpd="sng">
                        <w14:solidFill>
                          <w14:srgbClr w14:val="000000"/>
                        </w14:solidFill>
                        <w14:prstDash w14:val="solid"/>
                        <w14:bevel/>
                      </w14:textOutline>
                      <w14:textFill>
                        <w14:solidFill>
                          <w14:schemeClr w14:val="tx1"/>
                        </w14:solidFill>
                      </w14:textFill>
                    </w:rPr>
                    <w:t>接管量</w:t>
                  </w:r>
                  <w:r>
                    <w:rPr>
                      <w:rFonts w:hint="default" w:ascii="Times New Roman" w:hAnsi="Times New Roman" w:eastAsia="宋体" w:cs="Times New Roman"/>
                      <w:b/>
                      <w:bCs/>
                      <w:color w:val="000000" w:themeColor="text1"/>
                      <w:spacing w:val="1"/>
                      <w:sz w:val="21"/>
                      <w:szCs w:val="21"/>
                      <w14:textFill>
                        <w14:solidFill>
                          <w14:schemeClr w14:val="tx1"/>
                        </w14:solidFill>
                      </w14:textFill>
                    </w:rPr>
                    <w:t>t/a</w:t>
                  </w:r>
                </w:p>
              </w:tc>
              <w:tc>
                <w:tcPr>
                  <w:tcW w:w="546" w:type="dxa"/>
                  <w:vMerge w:val="continue"/>
                  <w:tcBorders>
                    <w:tl2br w:val="nil"/>
                    <w:tr2bl w:val="nil"/>
                  </w:tcBorders>
                  <w:vAlign w:val="center"/>
                </w:tcPr>
                <w:p w14:paraId="0A414D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15A4C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237EC457">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生活污水</w:t>
                  </w:r>
                  <w:r>
                    <w:rPr>
                      <w:rFonts w:hint="eastAsia" w:ascii="Times New Roman" w:hAnsi="Times New Roman" w:cs="Times New Roman"/>
                      <w:color w:val="000000" w:themeColor="text1"/>
                      <w:spacing w:val="3"/>
                      <w:sz w:val="21"/>
                      <w:szCs w:val="21"/>
                      <w:lang w:eastAsia="zh-CN"/>
                      <w14:textFill>
                        <w14:solidFill>
                          <w14:schemeClr w14:val="tx1"/>
                        </w14:solidFill>
                      </w14:textFill>
                    </w:rPr>
                    <w:t>（</w:t>
                  </w:r>
                  <w:r>
                    <w:rPr>
                      <w:rFonts w:hint="eastAsia" w:ascii="Times New Roman" w:hAnsi="Times New Roman" w:cs="Times New Roman"/>
                      <w:color w:val="000000" w:themeColor="text1"/>
                      <w:spacing w:val="3"/>
                      <w:sz w:val="21"/>
                      <w:szCs w:val="21"/>
                      <w:lang w:val="en-US" w:eastAsia="zh-CN"/>
                      <w14:textFill>
                        <w14:solidFill>
                          <w14:schemeClr w14:val="tx1"/>
                        </w14:solidFill>
                      </w14:textFill>
                    </w:rPr>
                    <w:t>含纯水制备浓水</w:t>
                  </w:r>
                  <w:r>
                    <w:rPr>
                      <w:rFonts w:hint="eastAsia" w:ascii="Times New Roman" w:hAnsi="Times New Roman" w:cs="Times New Roman"/>
                      <w:color w:val="000000" w:themeColor="text1"/>
                      <w:spacing w:val="3"/>
                      <w:sz w:val="21"/>
                      <w:szCs w:val="21"/>
                      <w:lang w:eastAsia="zh-CN"/>
                      <w14:textFill>
                        <w14:solidFill>
                          <w14:schemeClr w14:val="tx1"/>
                        </w14:solidFill>
                      </w14:textFill>
                    </w:rPr>
                    <w:t>）</w:t>
                  </w:r>
                </w:p>
              </w:tc>
              <w:tc>
                <w:tcPr>
                  <w:tcW w:w="870" w:type="dxa"/>
                  <w:vMerge w:val="restart"/>
                  <w:tcBorders>
                    <w:tl2br w:val="nil"/>
                    <w:tr2bl w:val="nil"/>
                  </w:tcBorders>
                  <w:vAlign w:val="center"/>
                </w:tcPr>
                <w:p w14:paraId="180522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240</w:t>
                  </w:r>
                </w:p>
              </w:tc>
              <w:tc>
                <w:tcPr>
                  <w:tcW w:w="795" w:type="dxa"/>
                  <w:tcBorders>
                    <w:tl2br w:val="nil"/>
                    <w:tr2bl w:val="nil"/>
                  </w:tcBorders>
                  <w:vAlign w:val="center"/>
                </w:tcPr>
                <w:p w14:paraId="755FFF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vAlign w:val="center"/>
                </w:tcPr>
                <w:p w14:paraId="3C8323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6~9（无量纲）</w:t>
                  </w:r>
                </w:p>
              </w:tc>
              <w:tc>
                <w:tcPr>
                  <w:tcW w:w="758" w:type="dxa"/>
                  <w:tcBorders>
                    <w:tl2br w:val="nil"/>
                    <w:tr2bl w:val="nil"/>
                  </w:tcBorders>
                  <w:vAlign w:val="center"/>
                </w:tcPr>
                <w:p w14:paraId="5AC710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vMerge w:val="restart"/>
                  <w:tcBorders>
                    <w:tl2br w:val="nil"/>
                    <w:tr2bl w:val="nil"/>
                  </w:tcBorders>
                  <w:vAlign w:val="center"/>
                </w:tcPr>
                <w:p w14:paraId="38F9A5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化粪池</w:t>
                  </w:r>
                </w:p>
              </w:tc>
              <w:tc>
                <w:tcPr>
                  <w:tcW w:w="851" w:type="dxa"/>
                  <w:tcBorders>
                    <w:tl2br w:val="nil"/>
                    <w:tr2bl w:val="nil"/>
                  </w:tcBorders>
                  <w:shd w:val="clear" w:color="auto" w:fill="auto"/>
                  <w:vAlign w:val="center"/>
                </w:tcPr>
                <w:p w14:paraId="0CA590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pH</w:t>
                  </w:r>
                </w:p>
              </w:tc>
              <w:tc>
                <w:tcPr>
                  <w:tcW w:w="1232" w:type="dxa"/>
                  <w:tcBorders>
                    <w:tl2br w:val="nil"/>
                    <w:tr2bl w:val="nil"/>
                  </w:tcBorders>
                  <w:shd w:val="clear" w:color="auto" w:fill="auto"/>
                  <w:vAlign w:val="center"/>
                </w:tcPr>
                <w:p w14:paraId="1ED523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6~9（无量纲）</w:t>
                  </w:r>
                </w:p>
              </w:tc>
              <w:tc>
                <w:tcPr>
                  <w:tcW w:w="737" w:type="dxa"/>
                  <w:tcBorders>
                    <w:tl2br w:val="nil"/>
                    <w:tr2bl w:val="nil"/>
                  </w:tcBorders>
                  <w:shd w:val="clear" w:color="auto" w:fill="auto"/>
                  <w:vAlign w:val="center"/>
                </w:tcPr>
                <w:p w14:paraId="73C4E1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6" w:type="dxa"/>
                  <w:vMerge w:val="restart"/>
                  <w:tcBorders>
                    <w:tl2br w:val="nil"/>
                    <w:tr2bl w:val="nil"/>
                  </w:tcBorders>
                  <w:vAlign w:val="center"/>
                </w:tcPr>
                <w:p w14:paraId="2692A616">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接管至金坛第二污水处理厂</w:t>
                  </w:r>
                </w:p>
              </w:tc>
            </w:tr>
            <w:tr w14:paraId="665200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555F5DF">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870" w:type="dxa"/>
                  <w:vMerge w:val="continue"/>
                  <w:tcBorders>
                    <w:tl2br w:val="nil"/>
                    <w:tr2bl w:val="nil"/>
                  </w:tcBorders>
                  <w:vAlign w:val="center"/>
                </w:tcPr>
                <w:p w14:paraId="54B96D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vAlign w:val="center"/>
                </w:tcPr>
                <w:p w14:paraId="39AB66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COD</w:t>
                  </w:r>
                </w:p>
              </w:tc>
              <w:tc>
                <w:tcPr>
                  <w:tcW w:w="1426" w:type="dxa"/>
                  <w:tcBorders>
                    <w:tl2br w:val="nil"/>
                    <w:tr2bl w:val="nil"/>
                  </w:tcBorders>
                  <w:vAlign w:val="center"/>
                </w:tcPr>
                <w:p w14:paraId="64218A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758" w:type="dxa"/>
                  <w:tcBorders>
                    <w:tl2br w:val="nil"/>
                    <w:tr2bl w:val="nil"/>
                  </w:tcBorders>
                  <w:vAlign w:val="center"/>
                </w:tcPr>
                <w:p w14:paraId="70BF70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0.096</w:t>
                  </w:r>
                </w:p>
              </w:tc>
              <w:tc>
                <w:tcPr>
                  <w:tcW w:w="548" w:type="dxa"/>
                  <w:vMerge w:val="continue"/>
                  <w:tcBorders>
                    <w:tl2br w:val="nil"/>
                    <w:tr2bl w:val="nil"/>
                  </w:tcBorders>
                  <w:vAlign w:val="center"/>
                </w:tcPr>
                <w:p w14:paraId="3316C7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1" w:type="dxa"/>
                  <w:tcBorders>
                    <w:tl2br w:val="nil"/>
                    <w:tr2bl w:val="nil"/>
                  </w:tcBorders>
                  <w:vAlign w:val="center"/>
                </w:tcPr>
                <w:p w14:paraId="346BA5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w:t>
                  </w:r>
                </w:p>
              </w:tc>
              <w:tc>
                <w:tcPr>
                  <w:tcW w:w="1232" w:type="dxa"/>
                  <w:tcBorders>
                    <w:tl2br w:val="nil"/>
                    <w:tr2bl w:val="nil"/>
                  </w:tcBorders>
                  <w:vAlign w:val="center"/>
                </w:tcPr>
                <w:p w14:paraId="2A97F0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737" w:type="dxa"/>
                  <w:tcBorders>
                    <w:tl2br w:val="nil"/>
                    <w:tr2bl w:val="nil"/>
                  </w:tcBorders>
                  <w:shd w:val="clear" w:color="auto" w:fill="auto"/>
                  <w:vAlign w:val="center"/>
                </w:tcPr>
                <w:p w14:paraId="668047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0.096</w:t>
                  </w:r>
                </w:p>
              </w:tc>
              <w:tc>
                <w:tcPr>
                  <w:tcW w:w="546" w:type="dxa"/>
                  <w:vMerge w:val="continue"/>
                  <w:tcBorders>
                    <w:tl2br w:val="nil"/>
                    <w:tr2bl w:val="nil"/>
                  </w:tcBorders>
                  <w:vAlign w:val="center"/>
                </w:tcPr>
                <w:p w14:paraId="50DB52F6">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DE01D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5F5835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93564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661203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SS</w:t>
                  </w:r>
                </w:p>
              </w:tc>
              <w:tc>
                <w:tcPr>
                  <w:tcW w:w="1426" w:type="dxa"/>
                  <w:tcBorders>
                    <w:tl2br w:val="nil"/>
                    <w:tr2bl w:val="nil"/>
                  </w:tcBorders>
                  <w:vAlign w:val="center"/>
                </w:tcPr>
                <w:p w14:paraId="0CDA97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58" w:type="dxa"/>
                  <w:tcBorders>
                    <w:tl2br w:val="nil"/>
                    <w:tr2bl w:val="nil"/>
                  </w:tcBorders>
                  <w:vAlign w:val="center"/>
                </w:tcPr>
                <w:p w14:paraId="4D4BFB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548" w:type="dxa"/>
                  <w:vMerge w:val="continue"/>
                  <w:tcBorders>
                    <w:tl2br w:val="nil"/>
                    <w:tr2bl w:val="nil"/>
                  </w:tcBorders>
                  <w:vAlign w:val="center"/>
                </w:tcPr>
                <w:p w14:paraId="2ECDB4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1" w:type="dxa"/>
                  <w:tcBorders>
                    <w:tl2br w:val="nil"/>
                    <w:tr2bl w:val="nil"/>
                  </w:tcBorders>
                  <w:vAlign w:val="center"/>
                </w:tcPr>
                <w:p w14:paraId="6007A0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1232" w:type="dxa"/>
                  <w:tcBorders>
                    <w:tl2br w:val="nil"/>
                    <w:tr2bl w:val="nil"/>
                  </w:tcBorders>
                  <w:vAlign w:val="center"/>
                </w:tcPr>
                <w:p w14:paraId="64518B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37" w:type="dxa"/>
                  <w:tcBorders>
                    <w:tl2br w:val="nil"/>
                    <w:tr2bl w:val="nil"/>
                  </w:tcBorders>
                  <w:shd w:val="clear" w:color="auto" w:fill="auto"/>
                  <w:vAlign w:val="center"/>
                </w:tcPr>
                <w:p w14:paraId="2D1033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546" w:type="dxa"/>
                  <w:vMerge w:val="continue"/>
                  <w:tcBorders>
                    <w:tl2br w:val="nil"/>
                    <w:tr2bl w:val="nil"/>
                  </w:tcBorders>
                  <w:vAlign w:val="center"/>
                </w:tcPr>
                <w:p w14:paraId="5B9CF3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991B8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46606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7A2BB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7EE02D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pacing w:val="9"/>
                      <w:position w:val="-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pacing w:val="9"/>
                      <w:sz w:val="21"/>
                      <w:szCs w:val="21"/>
                      <w14:textFill>
                        <w14:solidFill>
                          <w14:schemeClr w14:val="tx1"/>
                        </w14:solidFill>
                      </w14:textFill>
                    </w:rPr>
                    <w:t>-N</w:t>
                  </w:r>
                </w:p>
              </w:tc>
              <w:tc>
                <w:tcPr>
                  <w:tcW w:w="1426" w:type="dxa"/>
                  <w:tcBorders>
                    <w:tl2br w:val="nil"/>
                    <w:tr2bl w:val="nil"/>
                  </w:tcBorders>
                  <w:vAlign w:val="center"/>
                </w:tcPr>
                <w:p w14:paraId="449CCF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758" w:type="dxa"/>
                  <w:tcBorders>
                    <w:tl2br w:val="nil"/>
                    <w:tr2bl w:val="nil"/>
                  </w:tcBorders>
                  <w:vAlign w:val="center"/>
                </w:tcPr>
                <w:p w14:paraId="188DD9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548" w:type="dxa"/>
                  <w:vMerge w:val="continue"/>
                  <w:tcBorders>
                    <w:tl2br w:val="nil"/>
                    <w:tr2bl w:val="nil"/>
                  </w:tcBorders>
                  <w:vAlign w:val="center"/>
                </w:tcPr>
                <w:p w14:paraId="1D70E2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1" w:type="dxa"/>
                  <w:tcBorders>
                    <w:tl2br w:val="nil"/>
                    <w:tr2bl w:val="nil"/>
                  </w:tcBorders>
                  <w:vAlign w:val="center"/>
                </w:tcPr>
                <w:p w14:paraId="33C639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NH3-N</w:t>
                  </w:r>
                </w:p>
              </w:tc>
              <w:tc>
                <w:tcPr>
                  <w:tcW w:w="1232" w:type="dxa"/>
                  <w:tcBorders>
                    <w:tl2br w:val="nil"/>
                    <w:tr2bl w:val="nil"/>
                  </w:tcBorders>
                  <w:shd w:val="clear" w:color="auto" w:fill="auto"/>
                  <w:vAlign w:val="center"/>
                </w:tcPr>
                <w:p w14:paraId="70D9DB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737" w:type="dxa"/>
                  <w:tcBorders>
                    <w:tl2br w:val="nil"/>
                    <w:tr2bl w:val="nil"/>
                  </w:tcBorders>
                  <w:shd w:val="clear" w:color="auto" w:fill="auto"/>
                  <w:vAlign w:val="center"/>
                </w:tcPr>
                <w:p w14:paraId="4617A7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546" w:type="dxa"/>
                  <w:vMerge w:val="continue"/>
                  <w:tcBorders>
                    <w:tl2br w:val="nil"/>
                    <w:tr2bl w:val="nil"/>
                  </w:tcBorders>
                  <w:vAlign w:val="center"/>
                </w:tcPr>
                <w:p w14:paraId="5BF0EF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53CE8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D27F5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CD0C9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294519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TP</w:t>
                  </w:r>
                </w:p>
              </w:tc>
              <w:tc>
                <w:tcPr>
                  <w:tcW w:w="1426" w:type="dxa"/>
                  <w:tcBorders>
                    <w:tl2br w:val="nil"/>
                    <w:tr2bl w:val="nil"/>
                  </w:tcBorders>
                  <w:vAlign w:val="center"/>
                </w:tcPr>
                <w:p w14:paraId="7DA0F8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58" w:type="dxa"/>
                  <w:tcBorders>
                    <w:tl2br w:val="nil"/>
                    <w:tr2bl w:val="nil"/>
                  </w:tcBorders>
                  <w:vAlign w:val="center"/>
                </w:tcPr>
                <w:p w14:paraId="19CEC2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0.00048</w:t>
                  </w:r>
                </w:p>
              </w:tc>
              <w:tc>
                <w:tcPr>
                  <w:tcW w:w="548" w:type="dxa"/>
                  <w:vMerge w:val="continue"/>
                  <w:tcBorders>
                    <w:tl2br w:val="nil"/>
                    <w:tr2bl w:val="nil"/>
                  </w:tcBorders>
                  <w:vAlign w:val="center"/>
                </w:tcPr>
                <w:p w14:paraId="7D2155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1" w:type="dxa"/>
                  <w:tcBorders>
                    <w:tl2br w:val="nil"/>
                    <w:tr2bl w:val="nil"/>
                  </w:tcBorders>
                  <w:vAlign w:val="center"/>
                </w:tcPr>
                <w:p w14:paraId="120168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TP</w:t>
                  </w:r>
                </w:p>
              </w:tc>
              <w:tc>
                <w:tcPr>
                  <w:tcW w:w="1232" w:type="dxa"/>
                  <w:tcBorders>
                    <w:tl2br w:val="nil"/>
                    <w:tr2bl w:val="nil"/>
                  </w:tcBorders>
                  <w:shd w:val="clear" w:color="auto" w:fill="auto"/>
                  <w:vAlign w:val="center"/>
                </w:tcPr>
                <w:p w14:paraId="340914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37" w:type="dxa"/>
                  <w:tcBorders>
                    <w:tl2br w:val="nil"/>
                    <w:tr2bl w:val="nil"/>
                  </w:tcBorders>
                  <w:shd w:val="clear" w:color="auto" w:fill="auto"/>
                  <w:vAlign w:val="center"/>
                </w:tcPr>
                <w:p w14:paraId="600352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0.00048</w:t>
                  </w:r>
                </w:p>
              </w:tc>
              <w:tc>
                <w:tcPr>
                  <w:tcW w:w="546" w:type="dxa"/>
                  <w:vMerge w:val="continue"/>
                  <w:tcBorders>
                    <w:tl2br w:val="nil"/>
                    <w:tr2bl w:val="nil"/>
                  </w:tcBorders>
                  <w:vAlign w:val="center"/>
                </w:tcPr>
                <w:p w14:paraId="293C06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087A9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3D8E5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0FEF2B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1DB40A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TN</w:t>
                  </w:r>
                </w:p>
              </w:tc>
              <w:tc>
                <w:tcPr>
                  <w:tcW w:w="1426" w:type="dxa"/>
                  <w:tcBorders>
                    <w:tl2br w:val="nil"/>
                    <w:tr2bl w:val="nil"/>
                  </w:tcBorders>
                  <w:shd w:val="clear" w:color="auto" w:fill="auto"/>
                  <w:vAlign w:val="center"/>
                </w:tcPr>
                <w:p w14:paraId="592D65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58" w:type="dxa"/>
                  <w:tcBorders>
                    <w:tl2br w:val="nil"/>
                    <w:tr2bl w:val="nil"/>
                  </w:tcBorders>
                  <w:shd w:val="clear" w:color="auto" w:fill="auto"/>
                  <w:vAlign w:val="center"/>
                </w:tcPr>
                <w:p w14:paraId="7F686D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0.0096</w:t>
                  </w:r>
                </w:p>
              </w:tc>
              <w:tc>
                <w:tcPr>
                  <w:tcW w:w="548" w:type="dxa"/>
                  <w:vMerge w:val="continue"/>
                  <w:tcBorders>
                    <w:tl2br w:val="nil"/>
                    <w:tr2bl w:val="nil"/>
                  </w:tcBorders>
                  <w:vAlign w:val="center"/>
                </w:tcPr>
                <w:p w14:paraId="49A17D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1" w:type="dxa"/>
                  <w:tcBorders>
                    <w:tl2br w:val="nil"/>
                    <w:tr2bl w:val="nil"/>
                  </w:tcBorders>
                  <w:vAlign w:val="center"/>
                </w:tcPr>
                <w:p w14:paraId="4BD2FA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TN</w:t>
                  </w:r>
                </w:p>
              </w:tc>
              <w:tc>
                <w:tcPr>
                  <w:tcW w:w="1232" w:type="dxa"/>
                  <w:tcBorders>
                    <w:tl2br w:val="nil"/>
                    <w:tr2bl w:val="nil"/>
                  </w:tcBorders>
                  <w:shd w:val="clear" w:color="auto" w:fill="auto"/>
                  <w:vAlign w:val="center"/>
                </w:tcPr>
                <w:p w14:paraId="1B2E9A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37" w:type="dxa"/>
                  <w:tcBorders>
                    <w:tl2br w:val="nil"/>
                    <w:tr2bl w:val="nil"/>
                  </w:tcBorders>
                  <w:shd w:val="clear" w:color="auto" w:fill="auto"/>
                  <w:vAlign w:val="center"/>
                </w:tcPr>
                <w:p w14:paraId="443B8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0.0096</w:t>
                  </w:r>
                </w:p>
              </w:tc>
              <w:tc>
                <w:tcPr>
                  <w:tcW w:w="546" w:type="dxa"/>
                  <w:vMerge w:val="continue"/>
                  <w:tcBorders>
                    <w:tl2br w:val="nil"/>
                    <w:tr2bl w:val="nil"/>
                  </w:tcBorders>
                  <w:vAlign w:val="center"/>
                </w:tcPr>
                <w:p w14:paraId="2DF7FA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4F40A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shd w:val="clear" w:color="auto" w:fill="auto"/>
                  <w:vAlign w:val="center"/>
                </w:tcPr>
                <w:p w14:paraId="0B68B272">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电解除油后喷淋废水</w:t>
                  </w:r>
                </w:p>
              </w:tc>
              <w:tc>
                <w:tcPr>
                  <w:tcW w:w="870" w:type="dxa"/>
                  <w:vMerge w:val="restart"/>
                  <w:tcBorders>
                    <w:tl2br w:val="nil"/>
                    <w:tr2bl w:val="nil"/>
                  </w:tcBorders>
                  <w:shd w:val="clear" w:color="auto" w:fill="auto"/>
                  <w:vAlign w:val="center"/>
                </w:tcPr>
                <w:p w14:paraId="719B6F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c>
                <w:tcPr>
                  <w:tcW w:w="795" w:type="dxa"/>
                  <w:tcBorders>
                    <w:tl2br w:val="nil"/>
                    <w:tr2bl w:val="nil"/>
                  </w:tcBorders>
                  <w:shd w:val="clear" w:color="auto" w:fill="auto"/>
                  <w:vAlign w:val="center"/>
                </w:tcPr>
                <w:p w14:paraId="107F84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568B3A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6~9（无量纲）</w:t>
                  </w:r>
                </w:p>
              </w:tc>
              <w:tc>
                <w:tcPr>
                  <w:tcW w:w="758" w:type="dxa"/>
                  <w:tcBorders>
                    <w:tl2br w:val="nil"/>
                    <w:tr2bl w:val="nil"/>
                  </w:tcBorders>
                  <w:shd w:val="clear" w:color="auto" w:fill="auto"/>
                  <w:vAlign w:val="center"/>
                </w:tcPr>
                <w:p w14:paraId="3207D0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vMerge w:val="restart"/>
                  <w:tcBorders>
                    <w:tl2br w:val="nil"/>
                    <w:tr2bl w:val="nil"/>
                  </w:tcBorders>
                  <w:vAlign w:val="center"/>
                </w:tcPr>
                <w:p w14:paraId="4EB8B0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污水处理设施</w:t>
                  </w:r>
                </w:p>
              </w:tc>
              <w:tc>
                <w:tcPr>
                  <w:tcW w:w="851" w:type="dxa"/>
                  <w:tcBorders>
                    <w:tl2br w:val="nil"/>
                    <w:tr2bl w:val="nil"/>
                  </w:tcBorders>
                  <w:shd w:val="clear" w:color="auto" w:fill="auto"/>
                  <w:vAlign w:val="center"/>
                </w:tcPr>
                <w:p w14:paraId="2AE24F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t>pH</w:t>
                  </w:r>
                </w:p>
              </w:tc>
              <w:tc>
                <w:tcPr>
                  <w:tcW w:w="1232" w:type="dxa"/>
                  <w:tcBorders>
                    <w:tl2br w:val="nil"/>
                    <w:tr2bl w:val="nil"/>
                  </w:tcBorders>
                  <w:shd w:val="clear" w:color="auto" w:fill="auto"/>
                  <w:vAlign w:val="center"/>
                </w:tcPr>
                <w:p w14:paraId="4E1C9C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7~8（无量纲）</w:t>
                  </w:r>
                </w:p>
              </w:tc>
              <w:tc>
                <w:tcPr>
                  <w:tcW w:w="737" w:type="dxa"/>
                  <w:tcBorders>
                    <w:tl2br w:val="nil"/>
                    <w:tr2bl w:val="nil"/>
                  </w:tcBorders>
                  <w:shd w:val="clear" w:color="auto" w:fill="auto"/>
                  <w:vAlign w:val="center"/>
                </w:tcPr>
                <w:p w14:paraId="1018C2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t>
                  </w:r>
                </w:p>
              </w:tc>
              <w:tc>
                <w:tcPr>
                  <w:tcW w:w="546" w:type="dxa"/>
                  <w:vMerge w:val="restart"/>
                  <w:tcBorders>
                    <w:tl2br w:val="nil"/>
                    <w:tr2bl w:val="nil"/>
                  </w:tcBorders>
                  <w:vAlign w:val="center"/>
                </w:tcPr>
                <w:p w14:paraId="0B8D07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回用</w:t>
                  </w:r>
                </w:p>
              </w:tc>
            </w:tr>
            <w:tr w14:paraId="186977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shd w:val="clear" w:color="auto" w:fill="auto"/>
                  <w:vAlign w:val="center"/>
                </w:tcPr>
                <w:p w14:paraId="39926EB8">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shd w:val="clear" w:color="auto" w:fill="auto"/>
                  <w:vAlign w:val="center"/>
                </w:tcPr>
                <w:p w14:paraId="2C29D4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4B03BE4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3D400F5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150</w:t>
                  </w:r>
                </w:p>
              </w:tc>
              <w:tc>
                <w:tcPr>
                  <w:tcW w:w="758" w:type="dxa"/>
                  <w:tcBorders>
                    <w:tl2br w:val="nil"/>
                    <w:tr2bl w:val="nil"/>
                  </w:tcBorders>
                  <w:shd w:val="clear" w:color="auto" w:fill="auto"/>
                  <w:vAlign w:val="center"/>
                </w:tcPr>
                <w:p w14:paraId="4D78DD86">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0.01080 </w:t>
                  </w:r>
                </w:p>
              </w:tc>
              <w:tc>
                <w:tcPr>
                  <w:tcW w:w="548" w:type="dxa"/>
                  <w:vMerge w:val="continue"/>
                  <w:tcBorders>
                    <w:tl2br w:val="nil"/>
                    <w:tr2bl w:val="nil"/>
                  </w:tcBorders>
                  <w:vAlign w:val="center"/>
                </w:tcPr>
                <w:p w14:paraId="45AA20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1" w:type="dxa"/>
                  <w:tcBorders>
                    <w:tl2br w:val="nil"/>
                    <w:tr2bl w:val="nil"/>
                  </w:tcBorders>
                  <w:shd w:val="clear" w:color="auto" w:fill="auto"/>
                  <w:vAlign w:val="center"/>
                </w:tcPr>
                <w:p w14:paraId="22EE2EEB">
                  <w:pPr>
                    <w:keepNext w:val="0"/>
                    <w:keepLines w:val="0"/>
                    <w:widowControl/>
                    <w:suppressLineNumbers w:val="0"/>
                    <w:jc w:val="center"/>
                    <w:textAlignment w:val="center"/>
                    <w:rPr>
                      <w:rFonts w:hint="eastAsia"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COD</w:t>
                  </w:r>
                </w:p>
              </w:tc>
              <w:tc>
                <w:tcPr>
                  <w:tcW w:w="1232" w:type="dxa"/>
                  <w:tcBorders>
                    <w:tl2br w:val="nil"/>
                    <w:tr2bl w:val="nil"/>
                  </w:tcBorders>
                  <w:shd w:val="clear" w:color="auto" w:fill="auto"/>
                  <w:vAlign w:val="center"/>
                </w:tcPr>
                <w:p w14:paraId="4FECB013">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44.8 </w:t>
                  </w:r>
                </w:p>
              </w:tc>
              <w:tc>
                <w:tcPr>
                  <w:tcW w:w="737" w:type="dxa"/>
                  <w:tcBorders>
                    <w:tl2br w:val="nil"/>
                    <w:tr2bl w:val="nil"/>
                  </w:tcBorders>
                  <w:shd w:val="clear" w:color="auto" w:fill="auto"/>
                  <w:vAlign w:val="center"/>
                </w:tcPr>
                <w:p w14:paraId="3EBA7CE9">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0.00887 </w:t>
                  </w:r>
                </w:p>
              </w:tc>
              <w:tc>
                <w:tcPr>
                  <w:tcW w:w="546" w:type="dxa"/>
                  <w:vMerge w:val="continue"/>
                  <w:tcBorders>
                    <w:tl2br w:val="nil"/>
                    <w:tr2bl w:val="nil"/>
                  </w:tcBorders>
                  <w:vAlign w:val="center"/>
                </w:tcPr>
                <w:p w14:paraId="22B637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765837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E8705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1473A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1E45AB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2F1E5F8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758" w:type="dxa"/>
                  <w:tcBorders>
                    <w:tl2br w:val="nil"/>
                    <w:tr2bl w:val="nil"/>
                  </w:tcBorders>
                  <w:shd w:val="clear" w:color="auto" w:fill="auto"/>
                  <w:vAlign w:val="center"/>
                </w:tcPr>
                <w:p w14:paraId="0D262CA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0.00144 </w:t>
                  </w:r>
                </w:p>
              </w:tc>
              <w:tc>
                <w:tcPr>
                  <w:tcW w:w="548" w:type="dxa"/>
                  <w:vMerge w:val="continue"/>
                  <w:tcBorders>
                    <w:tl2br w:val="nil"/>
                    <w:tr2bl w:val="nil"/>
                  </w:tcBorders>
                  <w:vAlign w:val="center"/>
                </w:tcPr>
                <w:p w14:paraId="63F747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F589825">
                  <w:pPr>
                    <w:keepNext w:val="0"/>
                    <w:keepLines w:val="0"/>
                    <w:widowControl/>
                    <w:suppressLineNumbers w:val="0"/>
                    <w:jc w:val="center"/>
                    <w:textAlignment w:val="center"/>
                    <w:rPr>
                      <w:rFonts w:hint="default" w:ascii="Times New Roman" w:hAnsi="Times New Roman" w:eastAsia="宋体" w:cs="Times New Roman"/>
                      <w:b/>
                      <w:bCs/>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SS</w:t>
                  </w:r>
                </w:p>
              </w:tc>
              <w:tc>
                <w:tcPr>
                  <w:tcW w:w="1232" w:type="dxa"/>
                  <w:tcBorders>
                    <w:tl2br w:val="nil"/>
                    <w:tr2bl w:val="nil"/>
                  </w:tcBorders>
                  <w:shd w:val="clear" w:color="auto" w:fill="auto"/>
                  <w:vAlign w:val="center"/>
                </w:tcPr>
                <w:p w14:paraId="322717A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7.7 </w:t>
                  </w:r>
                </w:p>
              </w:tc>
              <w:tc>
                <w:tcPr>
                  <w:tcW w:w="737" w:type="dxa"/>
                  <w:tcBorders>
                    <w:tl2br w:val="nil"/>
                    <w:tr2bl w:val="nil"/>
                  </w:tcBorders>
                  <w:shd w:val="clear" w:color="auto" w:fill="auto"/>
                  <w:vAlign w:val="center"/>
                </w:tcPr>
                <w:p w14:paraId="73E2901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0.00152 </w:t>
                  </w:r>
                </w:p>
              </w:tc>
              <w:tc>
                <w:tcPr>
                  <w:tcW w:w="546" w:type="dxa"/>
                  <w:vMerge w:val="continue"/>
                  <w:tcBorders>
                    <w:tl2br w:val="nil"/>
                    <w:tr2bl w:val="nil"/>
                  </w:tcBorders>
                  <w:vAlign w:val="center"/>
                </w:tcPr>
                <w:p w14:paraId="6DB496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54E2E39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BAD30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5EC8A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49FB583B">
                  <w:pPr>
                    <w:keepNext w:val="0"/>
                    <w:keepLines w:val="0"/>
                    <w:widowControl/>
                    <w:suppressLineNumbers w:val="0"/>
                    <w:jc w:val="center"/>
                    <w:textAlignment w:val="cente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氨氮</w:t>
                  </w:r>
                </w:p>
              </w:tc>
              <w:tc>
                <w:tcPr>
                  <w:tcW w:w="1426" w:type="dxa"/>
                  <w:tcBorders>
                    <w:tl2br w:val="nil"/>
                    <w:tr2bl w:val="nil"/>
                  </w:tcBorders>
                  <w:shd w:val="clear" w:color="auto" w:fill="auto"/>
                  <w:vAlign w:val="center"/>
                </w:tcPr>
                <w:p w14:paraId="7287AD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758" w:type="dxa"/>
                  <w:tcBorders>
                    <w:tl2br w:val="nil"/>
                    <w:tr2bl w:val="nil"/>
                  </w:tcBorders>
                  <w:shd w:val="clear" w:color="auto" w:fill="auto"/>
                  <w:vAlign w:val="center"/>
                </w:tcPr>
                <w:p w14:paraId="19B33B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0.00014 </w:t>
                  </w:r>
                </w:p>
              </w:tc>
              <w:tc>
                <w:tcPr>
                  <w:tcW w:w="548" w:type="dxa"/>
                  <w:vMerge w:val="continue"/>
                  <w:tcBorders>
                    <w:tl2br w:val="nil"/>
                    <w:tr2bl w:val="nil"/>
                  </w:tcBorders>
                  <w:vAlign w:val="center"/>
                </w:tcPr>
                <w:p w14:paraId="7E3E3A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12699852">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氨氮</w:t>
                  </w:r>
                </w:p>
              </w:tc>
              <w:tc>
                <w:tcPr>
                  <w:tcW w:w="1232" w:type="dxa"/>
                  <w:tcBorders>
                    <w:tl2br w:val="nil"/>
                    <w:tr2bl w:val="nil"/>
                  </w:tcBorders>
                  <w:shd w:val="clear" w:color="auto" w:fill="auto"/>
                  <w:vAlign w:val="center"/>
                </w:tcPr>
                <w:p w14:paraId="4DBFB80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2.2</w:t>
                  </w: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 </w:t>
                  </w:r>
                </w:p>
              </w:tc>
              <w:tc>
                <w:tcPr>
                  <w:tcW w:w="737" w:type="dxa"/>
                  <w:tcBorders>
                    <w:tl2br w:val="nil"/>
                    <w:tr2bl w:val="nil"/>
                  </w:tcBorders>
                  <w:shd w:val="clear" w:color="auto" w:fill="auto"/>
                  <w:vAlign w:val="center"/>
                </w:tcPr>
                <w:p w14:paraId="618F25A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0.00044 </w:t>
                  </w:r>
                </w:p>
              </w:tc>
              <w:tc>
                <w:tcPr>
                  <w:tcW w:w="546" w:type="dxa"/>
                  <w:vMerge w:val="continue"/>
                  <w:tcBorders>
                    <w:tl2br w:val="nil"/>
                    <w:tr2bl w:val="nil"/>
                  </w:tcBorders>
                  <w:vAlign w:val="center"/>
                </w:tcPr>
                <w:p w14:paraId="4EF248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C5D93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82648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1A657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1C85EC13">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总磷</w:t>
                  </w:r>
                </w:p>
              </w:tc>
              <w:tc>
                <w:tcPr>
                  <w:tcW w:w="1426" w:type="dxa"/>
                  <w:tcBorders>
                    <w:tl2br w:val="nil"/>
                    <w:tr2bl w:val="nil"/>
                  </w:tcBorders>
                  <w:shd w:val="clear" w:color="auto" w:fill="auto"/>
                  <w:vAlign w:val="center"/>
                </w:tcPr>
                <w:p w14:paraId="7D0915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758" w:type="dxa"/>
                  <w:tcBorders>
                    <w:tl2br w:val="nil"/>
                    <w:tr2bl w:val="nil"/>
                  </w:tcBorders>
                  <w:shd w:val="clear" w:color="auto" w:fill="auto"/>
                  <w:vAlign w:val="center"/>
                </w:tcPr>
                <w:p w14:paraId="3D0937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0.00043 </w:t>
                  </w:r>
                </w:p>
              </w:tc>
              <w:tc>
                <w:tcPr>
                  <w:tcW w:w="548" w:type="dxa"/>
                  <w:vMerge w:val="continue"/>
                  <w:tcBorders>
                    <w:tl2br w:val="nil"/>
                    <w:tr2bl w:val="nil"/>
                  </w:tcBorders>
                  <w:vAlign w:val="center"/>
                </w:tcPr>
                <w:p w14:paraId="7B6DAB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4086E9B2">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TP</w:t>
                  </w:r>
                </w:p>
              </w:tc>
              <w:tc>
                <w:tcPr>
                  <w:tcW w:w="1232" w:type="dxa"/>
                  <w:tcBorders>
                    <w:tl2br w:val="nil"/>
                    <w:tr2bl w:val="nil"/>
                  </w:tcBorders>
                  <w:shd w:val="clear" w:color="auto" w:fill="auto"/>
                  <w:vAlign w:val="center"/>
                </w:tcPr>
                <w:p w14:paraId="7BD3E0D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0.4 </w:t>
                  </w:r>
                </w:p>
              </w:tc>
              <w:tc>
                <w:tcPr>
                  <w:tcW w:w="737" w:type="dxa"/>
                  <w:tcBorders>
                    <w:tl2br w:val="nil"/>
                    <w:tr2bl w:val="nil"/>
                  </w:tcBorders>
                  <w:shd w:val="clear" w:color="auto" w:fill="auto"/>
                  <w:vAlign w:val="center"/>
                </w:tcPr>
                <w:p w14:paraId="585513C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0.00008 </w:t>
                  </w:r>
                </w:p>
              </w:tc>
              <w:tc>
                <w:tcPr>
                  <w:tcW w:w="546" w:type="dxa"/>
                  <w:vMerge w:val="continue"/>
                  <w:tcBorders>
                    <w:tl2br w:val="nil"/>
                    <w:tr2bl w:val="nil"/>
                  </w:tcBorders>
                  <w:vAlign w:val="center"/>
                </w:tcPr>
                <w:p w14:paraId="6034B4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D4672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BA24A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E498E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5917DBD">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1426" w:type="dxa"/>
                  <w:tcBorders>
                    <w:tl2br w:val="nil"/>
                    <w:tr2bl w:val="nil"/>
                  </w:tcBorders>
                  <w:shd w:val="clear" w:color="auto" w:fill="auto"/>
                  <w:vAlign w:val="center"/>
                </w:tcPr>
                <w:p w14:paraId="30C30B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758" w:type="dxa"/>
                  <w:tcBorders>
                    <w:tl2br w:val="nil"/>
                    <w:tr2bl w:val="nil"/>
                  </w:tcBorders>
                  <w:shd w:val="clear" w:color="auto" w:fill="auto"/>
                  <w:vAlign w:val="center"/>
                </w:tcPr>
                <w:p w14:paraId="3A08E7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0.00022 </w:t>
                  </w:r>
                </w:p>
              </w:tc>
              <w:tc>
                <w:tcPr>
                  <w:tcW w:w="548" w:type="dxa"/>
                  <w:vMerge w:val="continue"/>
                  <w:tcBorders>
                    <w:tl2br w:val="nil"/>
                    <w:tr2bl w:val="nil"/>
                  </w:tcBorders>
                  <w:vAlign w:val="center"/>
                </w:tcPr>
                <w:p w14:paraId="613EBF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341D478">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TN</w:t>
                  </w:r>
                </w:p>
              </w:tc>
              <w:tc>
                <w:tcPr>
                  <w:tcW w:w="1232" w:type="dxa"/>
                  <w:tcBorders>
                    <w:tl2br w:val="nil"/>
                    <w:tr2bl w:val="nil"/>
                  </w:tcBorders>
                  <w:shd w:val="clear" w:color="auto" w:fill="auto"/>
                  <w:vAlign w:val="center"/>
                </w:tcPr>
                <w:p w14:paraId="32C38A7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3.3 </w:t>
                  </w:r>
                </w:p>
              </w:tc>
              <w:tc>
                <w:tcPr>
                  <w:tcW w:w="737" w:type="dxa"/>
                  <w:tcBorders>
                    <w:tl2br w:val="nil"/>
                    <w:tr2bl w:val="nil"/>
                  </w:tcBorders>
                  <w:shd w:val="clear" w:color="auto" w:fill="auto"/>
                  <w:vAlign w:val="center"/>
                </w:tcPr>
                <w:p w14:paraId="6F97D50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0.00065 </w:t>
                  </w:r>
                </w:p>
              </w:tc>
              <w:tc>
                <w:tcPr>
                  <w:tcW w:w="546" w:type="dxa"/>
                  <w:vMerge w:val="continue"/>
                  <w:tcBorders>
                    <w:tl2br w:val="nil"/>
                    <w:tr2bl w:val="nil"/>
                  </w:tcBorders>
                  <w:vAlign w:val="center"/>
                </w:tcPr>
                <w:p w14:paraId="233E54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8B9CE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0825A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F11CE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691C35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1F1B672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3000</w:t>
                  </w:r>
                </w:p>
              </w:tc>
              <w:tc>
                <w:tcPr>
                  <w:tcW w:w="758" w:type="dxa"/>
                  <w:tcBorders>
                    <w:tl2br w:val="nil"/>
                    <w:tr2bl w:val="nil"/>
                  </w:tcBorders>
                  <w:shd w:val="clear" w:color="auto" w:fill="auto"/>
                  <w:vAlign w:val="center"/>
                </w:tcPr>
                <w:p w14:paraId="4DDF0E9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0.21600 </w:t>
                  </w:r>
                </w:p>
              </w:tc>
              <w:tc>
                <w:tcPr>
                  <w:tcW w:w="548" w:type="dxa"/>
                  <w:vMerge w:val="continue"/>
                  <w:tcBorders>
                    <w:tl2br w:val="nil"/>
                    <w:tr2bl w:val="nil"/>
                  </w:tcBorders>
                  <w:vAlign w:val="center"/>
                </w:tcPr>
                <w:p w14:paraId="2FE916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6154B72">
                  <w:pPr>
                    <w:keepNext w:val="0"/>
                    <w:keepLines w:val="0"/>
                    <w:widowControl/>
                    <w:suppressLineNumbers w:val="0"/>
                    <w:jc w:val="center"/>
                    <w:textAlignment w:val="center"/>
                    <w:rPr>
                      <w:rFonts w:hint="default" w:ascii="Times New Roman" w:hAnsi="Times New Roman" w:eastAsia="宋体" w:cs="Times New Roman"/>
                      <w:b/>
                      <w:bCs/>
                      <w:snapToGrid w:val="0"/>
                      <w:color w:val="000000" w:themeColor="text1"/>
                      <w:kern w:val="0"/>
                      <w:sz w:val="21"/>
                      <w:szCs w:val="21"/>
                      <w:lang w:val="en-US" w:eastAsia="en-US"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溶解性总固体</w:t>
                  </w:r>
                </w:p>
              </w:tc>
              <w:tc>
                <w:tcPr>
                  <w:tcW w:w="1232" w:type="dxa"/>
                  <w:tcBorders>
                    <w:tl2br w:val="nil"/>
                    <w:tr2bl w:val="nil"/>
                  </w:tcBorders>
                  <w:shd w:val="clear" w:color="auto" w:fill="auto"/>
                  <w:vAlign w:val="center"/>
                </w:tcPr>
                <w:p w14:paraId="3EF1A48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209.6 </w:t>
                  </w:r>
                </w:p>
              </w:tc>
              <w:tc>
                <w:tcPr>
                  <w:tcW w:w="737" w:type="dxa"/>
                  <w:tcBorders>
                    <w:tl2br w:val="nil"/>
                    <w:tr2bl w:val="nil"/>
                  </w:tcBorders>
                  <w:shd w:val="clear" w:color="auto" w:fill="auto"/>
                  <w:vAlign w:val="center"/>
                </w:tcPr>
                <w:p w14:paraId="7411193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0.04150 </w:t>
                  </w:r>
                </w:p>
              </w:tc>
              <w:tc>
                <w:tcPr>
                  <w:tcW w:w="546" w:type="dxa"/>
                  <w:vMerge w:val="continue"/>
                  <w:tcBorders>
                    <w:tl2br w:val="nil"/>
                    <w:tr2bl w:val="nil"/>
                  </w:tcBorders>
                  <w:vAlign w:val="center"/>
                </w:tcPr>
                <w:p w14:paraId="325BBA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8881F6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FA996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08CF9F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CB3B279">
                  <w:pPr>
                    <w:keepNext w:val="0"/>
                    <w:keepLines w:val="0"/>
                    <w:widowControl/>
                    <w:suppressLineNumbers w:val="0"/>
                    <w:jc w:val="center"/>
                    <w:textAlignment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石油类</w:t>
                  </w:r>
                </w:p>
              </w:tc>
              <w:tc>
                <w:tcPr>
                  <w:tcW w:w="1426" w:type="dxa"/>
                  <w:tcBorders>
                    <w:tl2br w:val="nil"/>
                    <w:tr2bl w:val="nil"/>
                  </w:tcBorders>
                  <w:shd w:val="clear" w:color="auto" w:fill="auto"/>
                  <w:vAlign w:val="center"/>
                </w:tcPr>
                <w:p w14:paraId="7F63F3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758" w:type="dxa"/>
                  <w:tcBorders>
                    <w:tl2br w:val="nil"/>
                    <w:tr2bl w:val="nil"/>
                  </w:tcBorders>
                  <w:shd w:val="clear" w:color="auto" w:fill="auto"/>
                  <w:vAlign w:val="center"/>
                </w:tcPr>
                <w:p w14:paraId="38B8C6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0.00022 </w:t>
                  </w:r>
                </w:p>
              </w:tc>
              <w:tc>
                <w:tcPr>
                  <w:tcW w:w="548" w:type="dxa"/>
                  <w:vMerge w:val="continue"/>
                  <w:tcBorders>
                    <w:tl2br w:val="nil"/>
                    <w:tr2bl w:val="nil"/>
                  </w:tcBorders>
                  <w:vAlign w:val="center"/>
                </w:tcPr>
                <w:p w14:paraId="4368D6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315897E8">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总铜</w:t>
                  </w:r>
                </w:p>
              </w:tc>
              <w:tc>
                <w:tcPr>
                  <w:tcW w:w="1232" w:type="dxa"/>
                  <w:tcBorders>
                    <w:tl2br w:val="nil"/>
                    <w:tr2bl w:val="nil"/>
                  </w:tcBorders>
                  <w:shd w:val="clear" w:color="auto" w:fill="auto"/>
                  <w:vAlign w:val="center"/>
                </w:tcPr>
                <w:p w14:paraId="14F56104">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1.4 </w:t>
                  </w:r>
                </w:p>
              </w:tc>
              <w:tc>
                <w:tcPr>
                  <w:tcW w:w="737" w:type="dxa"/>
                  <w:tcBorders>
                    <w:tl2br w:val="nil"/>
                    <w:tr2bl w:val="nil"/>
                  </w:tcBorders>
                  <w:shd w:val="clear" w:color="auto" w:fill="auto"/>
                  <w:vAlign w:val="center"/>
                </w:tcPr>
                <w:p w14:paraId="67C60979">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0.00028 </w:t>
                  </w:r>
                </w:p>
              </w:tc>
              <w:tc>
                <w:tcPr>
                  <w:tcW w:w="546" w:type="dxa"/>
                  <w:vMerge w:val="continue"/>
                  <w:tcBorders>
                    <w:tl2br w:val="nil"/>
                    <w:tr2bl w:val="nil"/>
                  </w:tcBorders>
                  <w:vAlign w:val="center"/>
                </w:tcPr>
                <w:p w14:paraId="2CB5AF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F802B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4D131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53D9E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6EBA514D">
                  <w:pPr>
                    <w:keepNext w:val="0"/>
                    <w:keepLines w:val="0"/>
                    <w:widowControl/>
                    <w:suppressLineNumbers w:val="0"/>
                    <w:jc w:val="center"/>
                    <w:textAlignment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LAS</w:t>
                  </w:r>
                </w:p>
              </w:tc>
              <w:tc>
                <w:tcPr>
                  <w:tcW w:w="1426" w:type="dxa"/>
                  <w:tcBorders>
                    <w:tl2br w:val="nil"/>
                    <w:tr2bl w:val="nil"/>
                  </w:tcBorders>
                  <w:shd w:val="clear" w:color="auto" w:fill="auto"/>
                  <w:vAlign w:val="center"/>
                </w:tcPr>
                <w:p w14:paraId="62D0AD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0.5</w:t>
                  </w:r>
                </w:p>
              </w:tc>
              <w:tc>
                <w:tcPr>
                  <w:tcW w:w="758" w:type="dxa"/>
                  <w:tcBorders>
                    <w:tl2br w:val="nil"/>
                    <w:tr2bl w:val="nil"/>
                  </w:tcBorders>
                  <w:shd w:val="clear" w:color="auto" w:fill="auto"/>
                  <w:vAlign w:val="center"/>
                </w:tcPr>
                <w:p w14:paraId="19921A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0.00004 </w:t>
                  </w:r>
                </w:p>
              </w:tc>
              <w:tc>
                <w:tcPr>
                  <w:tcW w:w="548" w:type="dxa"/>
                  <w:vMerge w:val="continue"/>
                  <w:tcBorders>
                    <w:tl2br w:val="nil"/>
                    <w:tr2bl w:val="nil"/>
                  </w:tcBorders>
                  <w:vAlign w:val="center"/>
                </w:tcPr>
                <w:p w14:paraId="3359D8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0F8DF641">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硫酸盐</w:t>
                  </w:r>
                </w:p>
              </w:tc>
              <w:tc>
                <w:tcPr>
                  <w:tcW w:w="1232" w:type="dxa"/>
                  <w:tcBorders>
                    <w:tl2br w:val="nil"/>
                    <w:tr2bl w:val="nil"/>
                  </w:tcBorders>
                  <w:shd w:val="clear" w:color="auto" w:fill="auto"/>
                  <w:vAlign w:val="center"/>
                </w:tcPr>
                <w:p w14:paraId="4D5DA94B">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115.2 </w:t>
                  </w:r>
                </w:p>
              </w:tc>
              <w:tc>
                <w:tcPr>
                  <w:tcW w:w="737" w:type="dxa"/>
                  <w:tcBorders>
                    <w:tl2br w:val="nil"/>
                    <w:tr2bl w:val="nil"/>
                  </w:tcBorders>
                  <w:shd w:val="clear" w:color="auto" w:fill="auto"/>
                  <w:vAlign w:val="center"/>
                </w:tcPr>
                <w:p w14:paraId="578CDC12">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0.02281 </w:t>
                  </w:r>
                </w:p>
              </w:tc>
              <w:tc>
                <w:tcPr>
                  <w:tcW w:w="546" w:type="dxa"/>
                  <w:vMerge w:val="continue"/>
                  <w:tcBorders>
                    <w:tl2br w:val="nil"/>
                    <w:tr2bl w:val="nil"/>
                  </w:tcBorders>
                  <w:vAlign w:val="center"/>
                </w:tcPr>
                <w:p w14:paraId="3A883B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3A15A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3A19F6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酸洗后喷淋废水</w:t>
                  </w:r>
                </w:p>
              </w:tc>
              <w:tc>
                <w:tcPr>
                  <w:tcW w:w="870" w:type="dxa"/>
                  <w:vMerge w:val="restart"/>
                  <w:tcBorders>
                    <w:tl2br w:val="nil"/>
                    <w:tr2bl w:val="nil"/>
                  </w:tcBorders>
                  <w:vAlign w:val="center"/>
                </w:tcPr>
                <w:p w14:paraId="63E112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w:t>
                  </w:r>
                </w:p>
              </w:tc>
              <w:tc>
                <w:tcPr>
                  <w:tcW w:w="795" w:type="dxa"/>
                  <w:tcBorders>
                    <w:tl2br w:val="nil"/>
                    <w:tr2bl w:val="nil"/>
                  </w:tcBorders>
                  <w:shd w:val="clear" w:color="auto" w:fill="auto"/>
                  <w:vAlign w:val="center"/>
                </w:tcPr>
                <w:p w14:paraId="5F2632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2DFE98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2</w:t>
                  </w:r>
                  <w:r>
                    <w:rPr>
                      <w:rFonts w:ascii="Times New Roman" w:hAnsi="Times New Roman" w:eastAsia="仿宋" w:cs="Times New Roman"/>
                      <w:color w:val="000000" w:themeColor="text1"/>
                      <w:sz w:val="21"/>
                      <w:szCs w:val="21"/>
                      <w14:textFill>
                        <w14:solidFill>
                          <w14:schemeClr w14:val="tx1"/>
                        </w14:solidFill>
                      </w14:textFill>
                    </w:rPr>
                    <w:t>~6</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77A1D1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vMerge w:val="continue"/>
                  <w:tcBorders>
                    <w:tl2br w:val="nil"/>
                    <w:tr2bl w:val="nil"/>
                  </w:tcBorders>
                  <w:vAlign w:val="center"/>
                </w:tcPr>
                <w:p w14:paraId="36612A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2FF48B6">
                  <w:pPr>
                    <w:keepNext w:val="0"/>
                    <w:keepLines w:val="0"/>
                    <w:widowControl/>
                    <w:suppressLineNumbers w:val="0"/>
                    <w:jc w:val="center"/>
                    <w:textAlignment w:val="center"/>
                    <w:rPr>
                      <w:rFonts w:hint="default" w:ascii="Times New Roman" w:hAnsi="Times New Roman" w:cs="Times New Roman" w:eastAsiaTheme="minorEastAsia"/>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石油类</w:t>
                  </w:r>
                </w:p>
              </w:tc>
              <w:tc>
                <w:tcPr>
                  <w:tcW w:w="1232" w:type="dxa"/>
                  <w:tcBorders>
                    <w:tl2br w:val="nil"/>
                    <w:tr2bl w:val="nil"/>
                  </w:tcBorders>
                  <w:shd w:val="clear" w:color="auto" w:fill="auto"/>
                  <w:vAlign w:val="center"/>
                </w:tcPr>
                <w:p w14:paraId="7B4CC00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0.9 </w:t>
                  </w:r>
                </w:p>
              </w:tc>
              <w:tc>
                <w:tcPr>
                  <w:tcW w:w="737" w:type="dxa"/>
                  <w:tcBorders>
                    <w:tl2br w:val="nil"/>
                    <w:tr2bl w:val="nil"/>
                  </w:tcBorders>
                  <w:shd w:val="clear" w:color="auto" w:fill="auto"/>
                  <w:vAlign w:val="center"/>
                </w:tcPr>
                <w:p w14:paraId="228D041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0.00018 </w:t>
                  </w:r>
                </w:p>
              </w:tc>
              <w:tc>
                <w:tcPr>
                  <w:tcW w:w="546" w:type="dxa"/>
                  <w:vMerge w:val="continue"/>
                  <w:tcBorders>
                    <w:tl2br w:val="nil"/>
                    <w:tr2bl w:val="nil"/>
                  </w:tcBorders>
                  <w:vAlign w:val="center"/>
                </w:tcPr>
                <w:p w14:paraId="627775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66F2C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3C6B7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9C06A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6B4D68E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4FA44EC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50</w:t>
                  </w:r>
                </w:p>
              </w:tc>
              <w:tc>
                <w:tcPr>
                  <w:tcW w:w="758" w:type="dxa"/>
                  <w:tcBorders>
                    <w:tl2br w:val="nil"/>
                    <w:tr2bl w:val="nil"/>
                  </w:tcBorders>
                  <w:shd w:val="clear" w:color="auto" w:fill="auto"/>
                  <w:vAlign w:val="center"/>
                </w:tcPr>
                <w:p w14:paraId="464464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0.00540 </w:t>
                  </w:r>
                </w:p>
              </w:tc>
              <w:tc>
                <w:tcPr>
                  <w:tcW w:w="548" w:type="dxa"/>
                  <w:vMerge w:val="continue"/>
                  <w:tcBorders>
                    <w:tl2br w:val="nil"/>
                    <w:tr2bl w:val="nil"/>
                  </w:tcBorders>
                  <w:vAlign w:val="center"/>
                </w:tcPr>
                <w:p w14:paraId="6F0AC0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01D1ABCC">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LAS</w:t>
                  </w:r>
                </w:p>
              </w:tc>
              <w:tc>
                <w:tcPr>
                  <w:tcW w:w="1232" w:type="dxa"/>
                  <w:tcBorders>
                    <w:tl2br w:val="nil"/>
                    <w:tr2bl w:val="nil"/>
                  </w:tcBorders>
                  <w:shd w:val="clear" w:color="auto" w:fill="auto"/>
                  <w:vAlign w:val="center"/>
                </w:tcPr>
                <w:p w14:paraId="181B9E2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0.16 </w:t>
                  </w:r>
                </w:p>
              </w:tc>
              <w:tc>
                <w:tcPr>
                  <w:tcW w:w="737" w:type="dxa"/>
                  <w:tcBorders>
                    <w:tl2br w:val="nil"/>
                    <w:tr2bl w:val="nil"/>
                  </w:tcBorders>
                  <w:shd w:val="clear" w:color="auto" w:fill="auto"/>
                  <w:vAlign w:val="center"/>
                </w:tcPr>
                <w:p w14:paraId="1D3BF64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0.00003 </w:t>
                  </w:r>
                </w:p>
              </w:tc>
              <w:tc>
                <w:tcPr>
                  <w:tcW w:w="546" w:type="dxa"/>
                  <w:vMerge w:val="continue"/>
                  <w:tcBorders>
                    <w:tl2br w:val="nil"/>
                    <w:tr2bl w:val="nil"/>
                  </w:tcBorders>
                  <w:vAlign w:val="center"/>
                </w:tcPr>
                <w:p w14:paraId="3B72EF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E9698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C98EF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9BB99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0C7F158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0B48770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758" w:type="dxa"/>
                  <w:tcBorders>
                    <w:tl2br w:val="nil"/>
                    <w:tr2bl w:val="nil"/>
                  </w:tcBorders>
                  <w:shd w:val="clear" w:color="auto" w:fill="auto"/>
                  <w:vAlign w:val="center"/>
                </w:tcPr>
                <w:p w14:paraId="5388F6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0.00216 </w:t>
                  </w:r>
                </w:p>
              </w:tc>
              <w:tc>
                <w:tcPr>
                  <w:tcW w:w="548" w:type="dxa"/>
                  <w:vMerge w:val="continue"/>
                  <w:tcBorders>
                    <w:tl2br w:val="nil"/>
                    <w:tr2bl w:val="nil"/>
                  </w:tcBorders>
                  <w:vAlign w:val="center"/>
                </w:tcPr>
                <w:p w14:paraId="0D5180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3844DB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4DA519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24F1CE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798A38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CEE43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89185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56B9D9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6C7F402">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氨氮</w:t>
                  </w:r>
                </w:p>
              </w:tc>
              <w:tc>
                <w:tcPr>
                  <w:tcW w:w="1426" w:type="dxa"/>
                  <w:tcBorders>
                    <w:tl2br w:val="nil"/>
                    <w:tr2bl w:val="nil"/>
                  </w:tcBorders>
                  <w:shd w:val="clear" w:color="auto" w:fill="auto"/>
                  <w:vAlign w:val="center"/>
                </w:tcPr>
                <w:p w14:paraId="6FF55B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758" w:type="dxa"/>
                  <w:tcBorders>
                    <w:tl2br w:val="nil"/>
                    <w:tr2bl w:val="nil"/>
                  </w:tcBorders>
                  <w:shd w:val="clear" w:color="auto" w:fill="auto"/>
                  <w:vAlign w:val="center"/>
                </w:tcPr>
                <w:p w14:paraId="65CFAF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0.00022 </w:t>
                  </w:r>
                </w:p>
              </w:tc>
              <w:tc>
                <w:tcPr>
                  <w:tcW w:w="548" w:type="dxa"/>
                  <w:vMerge w:val="continue"/>
                  <w:tcBorders>
                    <w:tl2br w:val="nil"/>
                    <w:tr2bl w:val="nil"/>
                  </w:tcBorders>
                  <w:vAlign w:val="center"/>
                </w:tcPr>
                <w:p w14:paraId="7CE19E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B812468">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070824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40A054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6D050B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541B1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C6ACF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4EC53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35F0147">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总磷</w:t>
                  </w:r>
                </w:p>
              </w:tc>
              <w:tc>
                <w:tcPr>
                  <w:tcW w:w="1426" w:type="dxa"/>
                  <w:tcBorders>
                    <w:tl2br w:val="nil"/>
                    <w:tr2bl w:val="nil"/>
                  </w:tcBorders>
                  <w:shd w:val="clear" w:color="auto" w:fill="auto"/>
                  <w:vAlign w:val="center"/>
                </w:tcPr>
                <w:p w14:paraId="545770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758" w:type="dxa"/>
                  <w:tcBorders>
                    <w:tl2br w:val="nil"/>
                    <w:tr2bl w:val="nil"/>
                  </w:tcBorders>
                  <w:shd w:val="clear" w:color="auto" w:fill="auto"/>
                  <w:vAlign w:val="center"/>
                </w:tcPr>
                <w:p w14:paraId="11799D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0.00065 </w:t>
                  </w:r>
                </w:p>
              </w:tc>
              <w:tc>
                <w:tcPr>
                  <w:tcW w:w="548" w:type="dxa"/>
                  <w:vMerge w:val="continue"/>
                  <w:tcBorders>
                    <w:tl2br w:val="nil"/>
                    <w:tr2bl w:val="nil"/>
                  </w:tcBorders>
                  <w:vAlign w:val="center"/>
                </w:tcPr>
                <w:p w14:paraId="24BEC0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66E1E9C4">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7496AB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61663F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098FAC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17A67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AF616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B9148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114A3860">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1426" w:type="dxa"/>
                  <w:tcBorders>
                    <w:tl2br w:val="nil"/>
                    <w:tr2bl w:val="nil"/>
                  </w:tcBorders>
                  <w:shd w:val="clear" w:color="auto" w:fill="auto"/>
                  <w:vAlign w:val="center"/>
                </w:tcPr>
                <w:p w14:paraId="3FC4B6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758" w:type="dxa"/>
                  <w:tcBorders>
                    <w:tl2br w:val="nil"/>
                    <w:tr2bl w:val="nil"/>
                  </w:tcBorders>
                  <w:shd w:val="clear" w:color="auto" w:fill="auto"/>
                  <w:vAlign w:val="center"/>
                </w:tcPr>
                <w:p w14:paraId="521969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0.00032 </w:t>
                  </w:r>
                </w:p>
              </w:tc>
              <w:tc>
                <w:tcPr>
                  <w:tcW w:w="548" w:type="dxa"/>
                  <w:vMerge w:val="continue"/>
                  <w:tcBorders>
                    <w:tl2br w:val="nil"/>
                    <w:tr2bl w:val="nil"/>
                  </w:tcBorders>
                  <w:vAlign w:val="center"/>
                </w:tcPr>
                <w:p w14:paraId="4D5907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67859C08">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0E63C7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3EA135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733509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68557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09E47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61519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CE6221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58CEBA75">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3000</w:t>
                  </w:r>
                </w:p>
              </w:tc>
              <w:tc>
                <w:tcPr>
                  <w:tcW w:w="758" w:type="dxa"/>
                  <w:tcBorders>
                    <w:tl2br w:val="nil"/>
                    <w:tr2bl w:val="nil"/>
                  </w:tcBorders>
                  <w:shd w:val="clear" w:color="auto" w:fill="auto"/>
                  <w:vAlign w:val="center"/>
                </w:tcPr>
                <w:p w14:paraId="7D9A79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0.32400 </w:t>
                  </w:r>
                </w:p>
              </w:tc>
              <w:tc>
                <w:tcPr>
                  <w:tcW w:w="548" w:type="dxa"/>
                  <w:vMerge w:val="continue"/>
                  <w:tcBorders>
                    <w:tl2br w:val="nil"/>
                    <w:tr2bl w:val="nil"/>
                  </w:tcBorders>
                  <w:vAlign w:val="center"/>
                </w:tcPr>
                <w:p w14:paraId="5DCF40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3D7F504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590AD0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5A2931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341B16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3F533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BB37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9B299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6EE2CFF">
                  <w:pPr>
                    <w:keepNext w:val="0"/>
                    <w:keepLines w:val="0"/>
                    <w:widowControl/>
                    <w:suppressLineNumbers w:val="0"/>
                    <w:jc w:val="center"/>
                    <w:textAlignment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总铜</w:t>
                  </w:r>
                </w:p>
              </w:tc>
              <w:tc>
                <w:tcPr>
                  <w:tcW w:w="1426" w:type="dxa"/>
                  <w:tcBorders>
                    <w:tl2br w:val="nil"/>
                    <w:tr2bl w:val="nil"/>
                  </w:tcBorders>
                  <w:shd w:val="clear" w:color="auto" w:fill="auto"/>
                  <w:vAlign w:val="center"/>
                </w:tcPr>
                <w:p w14:paraId="62E891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15</w:t>
                  </w:r>
                </w:p>
              </w:tc>
              <w:tc>
                <w:tcPr>
                  <w:tcW w:w="758" w:type="dxa"/>
                  <w:tcBorders>
                    <w:tl2br w:val="nil"/>
                    <w:tr2bl w:val="nil"/>
                  </w:tcBorders>
                  <w:shd w:val="clear" w:color="auto" w:fill="auto"/>
                  <w:vAlign w:val="center"/>
                </w:tcPr>
                <w:p w14:paraId="1308EC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0.00162 </w:t>
                  </w:r>
                </w:p>
              </w:tc>
              <w:tc>
                <w:tcPr>
                  <w:tcW w:w="548" w:type="dxa"/>
                  <w:vMerge w:val="continue"/>
                  <w:tcBorders>
                    <w:tl2br w:val="nil"/>
                    <w:tr2bl w:val="nil"/>
                  </w:tcBorders>
                  <w:vAlign w:val="center"/>
                </w:tcPr>
                <w:p w14:paraId="44FD1A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60982BB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469074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53A8F0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2DC06F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54BD8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5332F2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2E6D4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E0A0627">
                  <w:pPr>
                    <w:keepNext w:val="0"/>
                    <w:keepLines w:val="0"/>
                    <w:widowControl/>
                    <w:suppressLineNumbers w:val="0"/>
                    <w:jc w:val="center"/>
                    <w:textAlignment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硫酸盐</w:t>
                  </w:r>
                </w:p>
              </w:tc>
              <w:tc>
                <w:tcPr>
                  <w:tcW w:w="1426" w:type="dxa"/>
                  <w:tcBorders>
                    <w:tl2br w:val="nil"/>
                    <w:tr2bl w:val="nil"/>
                  </w:tcBorders>
                  <w:shd w:val="clear" w:color="auto" w:fill="auto"/>
                  <w:vAlign w:val="center"/>
                </w:tcPr>
                <w:p w14:paraId="1B6FB2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300</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758" w:type="dxa"/>
                  <w:tcBorders>
                    <w:tl2br w:val="nil"/>
                    <w:tr2bl w:val="nil"/>
                  </w:tcBorders>
                  <w:shd w:val="clear" w:color="auto" w:fill="auto"/>
                  <w:vAlign w:val="center"/>
                </w:tcPr>
                <w:p w14:paraId="1922FB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0.32400 </w:t>
                  </w:r>
                </w:p>
              </w:tc>
              <w:tc>
                <w:tcPr>
                  <w:tcW w:w="548" w:type="dxa"/>
                  <w:vMerge w:val="continue"/>
                  <w:tcBorders>
                    <w:tl2br w:val="nil"/>
                    <w:tr2bl w:val="nil"/>
                  </w:tcBorders>
                  <w:vAlign w:val="center"/>
                </w:tcPr>
                <w:p w14:paraId="2F40FE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94646D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730F2A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1573A7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663980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1FEDB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4275E5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铜保护工序后喷淋废水</w:t>
                  </w:r>
                </w:p>
              </w:tc>
              <w:tc>
                <w:tcPr>
                  <w:tcW w:w="870" w:type="dxa"/>
                  <w:vMerge w:val="restart"/>
                  <w:tcBorders>
                    <w:tl2br w:val="nil"/>
                    <w:tr2bl w:val="nil"/>
                  </w:tcBorders>
                  <w:vAlign w:val="center"/>
                </w:tcPr>
                <w:p w14:paraId="4B5E44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c>
                <w:tcPr>
                  <w:tcW w:w="795" w:type="dxa"/>
                  <w:tcBorders>
                    <w:tl2br w:val="nil"/>
                    <w:tr2bl w:val="nil"/>
                  </w:tcBorders>
                  <w:shd w:val="clear" w:color="auto" w:fill="auto"/>
                  <w:vAlign w:val="center"/>
                </w:tcPr>
                <w:p w14:paraId="77754D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04C128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6~9（无量纲）</w:t>
                  </w:r>
                </w:p>
              </w:tc>
              <w:tc>
                <w:tcPr>
                  <w:tcW w:w="758" w:type="dxa"/>
                  <w:tcBorders>
                    <w:tl2br w:val="nil"/>
                    <w:tr2bl w:val="nil"/>
                  </w:tcBorders>
                  <w:shd w:val="clear" w:color="auto" w:fill="auto"/>
                  <w:vAlign w:val="center"/>
                </w:tcPr>
                <w:p w14:paraId="700226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vMerge w:val="continue"/>
                  <w:tcBorders>
                    <w:tl2br w:val="nil"/>
                    <w:tr2bl w:val="nil"/>
                  </w:tcBorders>
                  <w:vAlign w:val="center"/>
                </w:tcPr>
                <w:p w14:paraId="39FD49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1EDA850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641D81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08553E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330A58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6BB34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6DFD1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546749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581A86F5">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56F2CF0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300</w:t>
                  </w:r>
                </w:p>
              </w:tc>
              <w:tc>
                <w:tcPr>
                  <w:tcW w:w="758" w:type="dxa"/>
                  <w:tcBorders>
                    <w:tl2br w:val="nil"/>
                    <w:tr2bl w:val="nil"/>
                  </w:tcBorders>
                  <w:shd w:val="clear" w:color="auto" w:fill="auto"/>
                  <w:vAlign w:val="center"/>
                </w:tcPr>
                <w:p w14:paraId="76E372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0.02160 </w:t>
                  </w:r>
                </w:p>
              </w:tc>
              <w:tc>
                <w:tcPr>
                  <w:tcW w:w="548" w:type="dxa"/>
                  <w:vMerge w:val="continue"/>
                  <w:tcBorders>
                    <w:tl2br w:val="nil"/>
                    <w:tr2bl w:val="nil"/>
                  </w:tcBorders>
                  <w:vAlign w:val="center"/>
                </w:tcPr>
                <w:p w14:paraId="22F9AD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5800D6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7CC4E2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2DFB57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42C774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C3CE6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D05C3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EA32B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60676C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53225D8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758" w:type="dxa"/>
                  <w:tcBorders>
                    <w:tl2br w:val="nil"/>
                    <w:tr2bl w:val="nil"/>
                  </w:tcBorders>
                  <w:shd w:val="clear" w:color="auto" w:fill="auto"/>
                  <w:vAlign w:val="center"/>
                </w:tcPr>
                <w:p w14:paraId="5EAA09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0.00144 </w:t>
                  </w:r>
                </w:p>
              </w:tc>
              <w:tc>
                <w:tcPr>
                  <w:tcW w:w="548" w:type="dxa"/>
                  <w:vMerge w:val="continue"/>
                  <w:tcBorders>
                    <w:tl2br w:val="nil"/>
                    <w:tr2bl w:val="nil"/>
                  </w:tcBorders>
                  <w:vAlign w:val="center"/>
                </w:tcPr>
                <w:p w14:paraId="4A297C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35ADD2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48D869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6D8346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479DE7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1E2A1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81F71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F3448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4BF6991F">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氨氮</w:t>
                  </w:r>
                </w:p>
              </w:tc>
              <w:tc>
                <w:tcPr>
                  <w:tcW w:w="1426" w:type="dxa"/>
                  <w:tcBorders>
                    <w:tl2br w:val="nil"/>
                    <w:tr2bl w:val="nil"/>
                  </w:tcBorders>
                  <w:shd w:val="clear" w:color="auto" w:fill="auto"/>
                  <w:vAlign w:val="center"/>
                </w:tcPr>
                <w:p w14:paraId="452429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758" w:type="dxa"/>
                  <w:tcBorders>
                    <w:tl2br w:val="nil"/>
                    <w:tr2bl w:val="nil"/>
                  </w:tcBorders>
                  <w:shd w:val="clear" w:color="auto" w:fill="auto"/>
                  <w:vAlign w:val="center"/>
                </w:tcPr>
                <w:p w14:paraId="50243F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0.00014 </w:t>
                  </w:r>
                </w:p>
              </w:tc>
              <w:tc>
                <w:tcPr>
                  <w:tcW w:w="548" w:type="dxa"/>
                  <w:vMerge w:val="continue"/>
                  <w:tcBorders>
                    <w:tl2br w:val="nil"/>
                    <w:tr2bl w:val="nil"/>
                  </w:tcBorders>
                  <w:vAlign w:val="center"/>
                </w:tcPr>
                <w:p w14:paraId="149857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4698F0D5">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6B34E2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05E8B8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598BB3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7233E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321B9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0E052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636784C">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总磷</w:t>
                  </w:r>
                </w:p>
              </w:tc>
              <w:tc>
                <w:tcPr>
                  <w:tcW w:w="1426" w:type="dxa"/>
                  <w:tcBorders>
                    <w:tl2br w:val="nil"/>
                    <w:tr2bl w:val="nil"/>
                  </w:tcBorders>
                  <w:shd w:val="clear" w:color="auto" w:fill="auto"/>
                  <w:vAlign w:val="center"/>
                </w:tcPr>
                <w:p w14:paraId="6E2F78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758" w:type="dxa"/>
                  <w:tcBorders>
                    <w:tl2br w:val="nil"/>
                    <w:tr2bl w:val="nil"/>
                  </w:tcBorders>
                  <w:shd w:val="clear" w:color="auto" w:fill="auto"/>
                  <w:vAlign w:val="center"/>
                </w:tcPr>
                <w:p w14:paraId="024721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0.00043 </w:t>
                  </w:r>
                </w:p>
              </w:tc>
              <w:tc>
                <w:tcPr>
                  <w:tcW w:w="548" w:type="dxa"/>
                  <w:vMerge w:val="continue"/>
                  <w:tcBorders>
                    <w:tl2br w:val="nil"/>
                    <w:tr2bl w:val="nil"/>
                  </w:tcBorders>
                  <w:vAlign w:val="center"/>
                </w:tcPr>
                <w:p w14:paraId="059064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94B4A0F">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6F0C43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19A8EB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7AB5AD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29F27B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C9C4D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346F2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0160E0B7">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1426" w:type="dxa"/>
                  <w:tcBorders>
                    <w:tl2br w:val="nil"/>
                    <w:tr2bl w:val="nil"/>
                  </w:tcBorders>
                  <w:shd w:val="clear" w:color="auto" w:fill="auto"/>
                  <w:vAlign w:val="center"/>
                </w:tcPr>
                <w:p w14:paraId="1C64DE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758" w:type="dxa"/>
                  <w:tcBorders>
                    <w:tl2br w:val="nil"/>
                    <w:tr2bl w:val="nil"/>
                  </w:tcBorders>
                  <w:shd w:val="clear" w:color="auto" w:fill="auto"/>
                  <w:vAlign w:val="center"/>
                </w:tcPr>
                <w:p w14:paraId="383EE0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0.00022 </w:t>
                  </w:r>
                </w:p>
              </w:tc>
              <w:tc>
                <w:tcPr>
                  <w:tcW w:w="548" w:type="dxa"/>
                  <w:vMerge w:val="continue"/>
                  <w:tcBorders>
                    <w:tl2br w:val="nil"/>
                    <w:tr2bl w:val="nil"/>
                  </w:tcBorders>
                  <w:vAlign w:val="center"/>
                </w:tcPr>
                <w:p w14:paraId="24083C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487CE175">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3B44DB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1232FF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765777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499A5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6123A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C3483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04212CC2">
                  <w:pPr>
                    <w:keepNext w:val="0"/>
                    <w:keepLines w:val="0"/>
                    <w:widowControl/>
                    <w:suppressLineNumbers w:val="0"/>
                    <w:jc w:val="center"/>
                    <w:textAlignment w:val="cente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2DDDE9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3000</w:t>
                  </w:r>
                </w:p>
              </w:tc>
              <w:tc>
                <w:tcPr>
                  <w:tcW w:w="758" w:type="dxa"/>
                  <w:tcBorders>
                    <w:tl2br w:val="nil"/>
                    <w:tr2bl w:val="nil"/>
                  </w:tcBorders>
                  <w:shd w:val="clear" w:color="auto" w:fill="auto"/>
                  <w:vAlign w:val="center"/>
                </w:tcPr>
                <w:p w14:paraId="42CA23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0.21600 </w:t>
                  </w:r>
                </w:p>
              </w:tc>
              <w:tc>
                <w:tcPr>
                  <w:tcW w:w="548" w:type="dxa"/>
                  <w:vMerge w:val="continue"/>
                  <w:tcBorders>
                    <w:tl2br w:val="nil"/>
                    <w:tr2bl w:val="nil"/>
                  </w:tcBorders>
                  <w:vAlign w:val="center"/>
                </w:tcPr>
                <w:p w14:paraId="3AA13B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0DB29ADF">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53AB90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027099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24FA75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09F08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FEA36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AF68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4E4DCF3B">
                  <w:pPr>
                    <w:keepNext w:val="0"/>
                    <w:keepLines w:val="0"/>
                    <w:widowControl/>
                    <w:suppressLineNumbers w:val="0"/>
                    <w:jc w:val="center"/>
                    <w:textAlignment w:val="cente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总铜</w:t>
                  </w:r>
                </w:p>
              </w:tc>
              <w:tc>
                <w:tcPr>
                  <w:tcW w:w="1426" w:type="dxa"/>
                  <w:tcBorders>
                    <w:tl2br w:val="nil"/>
                    <w:tr2bl w:val="nil"/>
                  </w:tcBorders>
                  <w:shd w:val="clear" w:color="auto" w:fill="auto"/>
                  <w:vAlign w:val="center"/>
                </w:tcPr>
                <w:p w14:paraId="49AAAA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15</w:t>
                  </w:r>
                </w:p>
              </w:tc>
              <w:tc>
                <w:tcPr>
                  <w:tcW w:w="758" w:type="dxa"/>
                  <w:tcBorders>
                    <w:tl2br w:val="nil"/>
                    <w:tr2bl w:val="nil"/>
                  </w:tcBorders>
                  <w:shd w:val="clear" w:color="auto" w:fill="auto"/>
                  <w:vAlign w:val="center"/>
                </w:tcPr>
                <w:p w14:paraId="049ED7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0.00108 </w:t>
                  </w:r>
                </w:p>
              </w:tc>
              <w:tc>
                <w:tcPr>
                  <w:tcW w:w="548" w:type="dxa"/>
                  <w:vMerge w:val="continue"/>
                  <w:tcBorders>
                    <w:tl2br w:val="nil"/>
                    <w:tr2bl w:val="nil"/>
                  </w:tcBorders>
                  <w:vAlign w:val="center"/>
                </w:tcPr>
                <w:p w14:paraId="588E3B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E0F50E3">
                  <w:pPr>
                    <w:keepNext w:val="0"/>
                    <w:keepLines w:val="0"/>
                    <w:widowControl/>
                    <w:suppressLineNumbers w:val="0"/>
                    <w:jc w:val="center"/>
                    <w:textAlignment w:val="center"/>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7A3E09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6059D1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2785E7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840D26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76788B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喷淋塔废水</w:t>
                  </w:r>
                </w:p>
              </w:tc>
              <w:tc>
                <w:tcPr>
                  <w:tcW w:w="870" w:type="dxa"/>
                  <w:vMerge w:val="restart"/>
                  <w:tcBorders>
                    <w:tl2br w:val="nil"/>
                    <w:tr2bl w:val="nil"/>
                  </w:tcBorders>
                  <w:vAlign w:val="center"/>
                </w:tcPr>
                <w:p w14:paraId="63DF21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95" w:type="dxa"/>
                  <w:tcBorders>
                    <w:tl2br w:val="nil"/>
                    <w:tr2bl w:val="nil"/>
                  </w:tcBorders>
                  <w:shd w:val="clear" w:color="auto" w:fill="auto"/>
                  <w:vAlign w:val="center"/>
                </w:tcPr>
                <w:p w14:paraId="517B3E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2377A2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9</w:t>
                  </w:r>
                  <w:r>
                    <w:rPr>
                      <w:rFonts w:ascii="Times New Roman" w:hAnsi="Times New Roman" w:eastAsia="仿宋" w:cs="Times New Roman"/>
                      <w:color w:val="000000" w:themeColor="text1"/>
                      <w:sz w:val="21"/>
                      <w:szCs w:val="21"/>
                      <w14:textFill>
                        <w14:solidFill>
                          <w14:schemeClr w14:val="tx1"/>
                        </w14:solidFill>
                      </w14:textFill>
                    </w:rPr>
                    <w:t>~</w:t>
                  </w: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35D563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vMerge w:val="continue"/>
                  <w:tcBorders>
                    <w:tl2br w:val="nil"/>
                    <w:tr2bl w:val="nil"/>
                  </w:tcBorders>
                  <w:vAlign w:val="center"/>
                </w:tcPr>
                <w:p w14:paraId="71B6E9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BBB193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69B38B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509DDA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41C876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5DD02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577D0A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4C1AF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20D2F6D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251A8A99">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100</w:t>
                  </w:r>
                </w:p>
              </w:tc>
              <w:tc>
                <w:tcPr>
                  <w:tcW w:w="758" w:type="dxa"/>
                  <w:tcBorders>
                    <w:tl2br w:val="nil"/>
                    <w:tr2bl w:val="nil"/>
                  </w:tcBorders>
                  <w:shd w:val="clear" w:color="auto" w:fill="auto"/>
                  <w:vAlign w:val="center"/>
                </w:tcPr>
                <w:p w14:paraId="00052E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0.00240 </w:t>
                  </w:r>
                </w:p>
              </w:tc>
              <w:tc>
                <w:tcPr>
                  <w:tcW w:w="548" w:type="dxa"/>
                  <w:vMerge w:val="continue"/>
                  <w:tcBorders>
                    <w:tl2br w:val="nil"/>
                    <w:tr2bl w:val="nil"/>
                  </w:tcBorders>
                  <w:vAlign w:val="center"/>
                </w:tcPr>
                <w:p w14:paraId="03C6AB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0B9198E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52DF6A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7B5740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601FC3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5C3E8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0BD44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0305D1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0549400D">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603EA495">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758" w:type="dxa"/>
                  <w:tcBorders>
                    <w:tl2br w:val="nil"/>
                    <w:tr2bl w:val="nil"/>
                  </w:tcBorders>
                  <w:shd w:val="clear" w:color="auto" w:fill="auto"/>
                  <w:vAlign w:val="center"/>
                </w:tcPr>
                <w:p w14:paraId="694FAF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0.00048 </w:t>
                  </w:r>
                </w:p>
              </w:tc>
              <w:tc>
                <w:tcPr>
                  <w:tcW w:w="548" w:type="dxa"/>
                  <w:vMerge w:val="continue"/>
                  <w:tcBorders>
                    <w:tl2br w:val="nil"/>
                    <w:tr2bl w:val="nil"/>
                  </w:tcBorders>
                  <w:vAlign w:val="center"/>
                </w:tcPr>
                <w:p w14:paraId="55CDDE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1EB4F50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01454A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76818F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1263A2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30BB6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8659B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AF657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FCF906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304DCC7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3000</w:t>
                  </w:r>
                </w:p>
              </w:tc>
              <w:tc>
                <w:tcPr>
                  <w:tcW w:w="758" w:type="dxa"/>
                  <w:tcBorders>
                    <w:tl2br w:val="nil"/>
                    <w:tr2bl w:val="nil"/>
                  </w:tcBorders>
                  <w:shd w:val="clear" w:color="auto" w:fill="auto"/>
                  <w:vAlign w:val="center"/>
                </w:tcPr>
                <w:p w14:paraId="231EB3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0.07200 </w:t>
                  </w:r>
                </w:p>
              </w:tc>
              <w:tc>
                <w:tcPr>
                  <w:tcW w:w="548" w:type="dxa"/>
                  <w:vMerge w:val="continue"/>
                  <w:tcBorders>
                    <w:tl2br w:val="nil"/>
                    <w:tr2bl w:val="nil"/>
                  </w:tcBorders>
                  <w:vAlign w:val="center"/>
                </w:tcPr>
                <w:p w14:paraId="7376DF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28FDC56">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1232" w:type="dxa"/>
                  <w:tcBorders>
                    <w:tl2br w:val="nil"/>
                    <w:tr2bl w:val="nil"/>
                  </w:tcBorders>
                  <w:vAlign w:val="center"/>
                </w:tcPr>
                <w:p w14:paraId="6BC64B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5015DA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42FD7D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0F8AA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27996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801AC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113E788C">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硫酸盐</w:t>
                  </w:r>
                </w:p>
              </w:tc>
              <w:tc>
                <w:tcPr>
                  <w:tcW w:w="1426" w:type="dxa"/>
                  <w:tcBorders>
                    <w:tl2br w:val="nil"/>
                    <w:tr2bl w:val="nil"/>
                  </w:tcBorders>
                  <w:shd w:val="clear" w:color="auto" w:fill="auto"/>
                  <w:vAlign w:val="center"/>
                </w:tcPr>
                <w:p w14:paraId="0685686A">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550</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758" w:type="dxa"/>
                  <w:tcBorders>
                    <w:tl2br w:val="nil"/>
                    <w:tr2bl w:val="nil"/>
                  </w:tcBorders>
                  <w:shd w:val="clear" w:color="auto" w:fill="auto"/>
                  <w:vAlign w:val="center"/>
                </w:tcPr>
                <w:p w14:paraId="3EB17E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0.13200 </w:t>
                  </w:r>
                </w:p>
              </w:tc>
              <w:tc>
                <w:tcPr>
                  <w:tcW w:w="548" w:type="dxa"/>
                  <w:vMerge w:val="continue"/>
                  <w:tcBorders>
                    <w:tl2br w:val="nil"/>
                    <w:tr2bl w:val="nil"/>
                  </w:tcBorders>
                  <w:vAlign w:val="center"/>
                </w:tcPr>
                <w:p w14:paraId="1CB0F3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1D0F8AB8">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4FDBC3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0BF92E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vMerge w:val="continue"/>
                  <w:tcBorders>
                    <w:tl2br w:val="nil"/>
                    <w:tr2bl w:val="nil"/>
                  </w:tcBorders>
                  <w:vAlign w:val="center"/>
                </w:tcPr>
                <w:p w14:paraId="240138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E77B9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5905AC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反冲洗废水</w:t>
                  </w:r>
                </w:p>
              </w:tc>
              <w:tc>
                <w:tcPr>
                  <w:tcW w:w="870" w:type="dxa"/>
                  <w:vMerge w:val="restart"/>
                  <w:tcBorders>
                    <w:tl2br w:val="nil"/>
                    <w:tr2bl w:val="nil"/>
                  </w:tcBorders>
                  <w:vAlign w:val="center"/>
                </w:tcPr>
                <w:p w14:paraId="493C2D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95" w:type="dxa"/>
                  <w:tcBorders>
                    <w:tl2br w:val="nil"/>
                    <w:tr2bl w:val="nil"/>
                  </w:tcBorders>
                  <w:shd w:val="clear" w:color="auto" w:fill="auto"/>
                  <w:vAlign w:val="center"/>
                </w:tcPr>
                <w:p w14:paraId="0A81835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pH</w:t>
                  </w:r>
                </w:p>
              </w:tc>
              <w:tc>
                <w:tcPr>
                  <w:tcW w:w="1426" w:type="dxa"/>
                  <w:tcBorders>
                    <w:tl2br w:val="nil"/>
                    <w:tr2bl w:val="nil"/>
                  </w:tcBorders>
                  <w:shd w:val="clear" w:color="auto" w:fill="auto"/>
                  <w:vAlign w:val="center"/>
                </w:tcPr>
                <w:p w14:paraId="2841CB49">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6~9</w:t>
                  </w:r>
                  <w:r>
                    <w:rPr>
                      <w:rStyle w:val="90"/>
                      <w:color w:val="000000" w:themeColor="text1"/>
                      <w:sz w:val="21"/>
                      <w:szCs w:val="21"/>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6AD8B83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tcBorders>
                    <w:tl2br w:val="nil"/>
                    <w:tr2bl w:val="nil"/>
                  </w:tcBorders>
                  <w:vAlign w:val="center"/>
                </w:tcPr>
                <w:p w14:paraId="793DAC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C40F6E9">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59EE4F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5C145C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0C55C6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5D9010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0274C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43277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EC77D7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64BA4683">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40</w:t>
                  </w:r>
                </w:p>
              </w:tc>
              <w:tc>
                <w:tcPr>
                  <w:tcW w:w="758" w:type="dxa"/>
                  <w:tcBorders>
                    <w:tl2br w:val="nil"/>
                    <w:tr2bl w:val="nil"/>
                  </w:tcBorders>
                  <w:shd w:val="clear" w:color="auto" w:fill="auto"/>
                  <w:vAlign w:val="center"/>
                </w:tcPr>
                <w:p w14:paraId="68FA3A0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0.00008 </w:t>
                  </w:r>
                </w:p>
              </w:tc>
              <w:tc>
                <w:tcPr>
                  <w:tcW w:w="548" w:type="dxa"/>
                  <w:tcBorders>
                    <w:tl2br w:val="nil"/>
                    <w:tr2bl w:val="nil"/>
                  </w:tcBorders>
                  <w:vAlign w:val="center"/>
                </w:tcPr>
                <w:p w14:paraId="2F6745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158FED4">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7D74E8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3A849D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4E7D8F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7D92C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4BC30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0EB474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8A8209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75E32B45">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40</w:t>
                  </w:r>
                </w:p>
              </w:tc>
              <w:tc>
                <w:tcPr>
                  <w:tcW w:w="758" w:type="dxa"/>
                  <w:tcBorders>
                    <w:tl2br w:val="nil"/>
                    <w:tr2bl w:val="nil"/>
                  </w:tcBorders>
                  <w:shd w:val="clear" w:color="auto" w:fill="auto"/>
                  <w:vAlign w:val="center"/>
                </w:tcPr>
                <w:p w14:paraId="23E6D35D">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0.00008 </w:t>
                  </w:r>
                </w:p>
              </w:tc>
              <w:tc>
                <w:tcPr>
                  <w:tcW w:w="548" w:type="dxa"/>
                  <w:tcBorders>
                    <w:tl2br w:val="nil"/>
                    <w:tr2bl w:val="nil"/>
                  </w:tcBorders>
                  <w:vAlign w:val="center"/>
                </w:tcPr>
                <w:p w14:paraId="4BC1FB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43DB1EA">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4157DB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3FA1F9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58256D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D694C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6059C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61BB6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15E45E3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1C8BBA66">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1000</w:t>
                  </w:r>
                </w:p>
              </w:tc>
              <w:tc>
                <w:tcPr>
                  <w:tcW w:w="758" w:type="dxa"/>
                  <w:tcBorders>
                    <w:tl2br w:val="nil"/>
                    <w:tr2bl w:val="nil"/>
                  </w:tcBorders>
                  <w:shd w:val="clear" w:color="auto" w:fill="auto"/>
                  <w:vAlign w:val="center"/>
                </w:tcPr>
                <w:p w14:paraId="3C2C9CEB">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0.00200 </w:t>
                  </w:r>
                </w:p>
              </w:tc>
              <w:tc>
                <w:tcPr>
                  <w:tcW w:w="548" w:type="dxa"/>
                  <w:tcBorders>
                    <w:tl2br w:val="nil"/>
                    <w:tr2bl w:val="nil"/>
                  </w:tcBorders>
                  <w:vAlign w:val="center"/>
                </w:tcPr>
                <w:p w14:paraId="465595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1264199">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5B61EB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62710A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6961F5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5E8145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791" w:type="dxa"/>
                  <w:vMerge w:val="restart"/>
                  <w:tcBorders>
                    <w:tl2br w:val="nil"/>
                    <w:tr2bl w:val="nil"/>
                  </w:tcBorders>
                  <w:shd w:val="clear" w:color="auto" w:fill="auto"/>
                  <w:vAlign w:val="center"/>
                </w:tcPr>
                <w:p w14:paraId="71373B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地面清洗废水</w:t>
                  </w:r>
                </w:p>
              </w:tc>
              <w:tc>
                <w:tcPr>
                  <w:tcW w:w="870" w:type="dxa"/>
                  <w:vMerge w:val="restart"/>
                  <w:tcBorders>
                    <w:tl2br w:val="nil"/>
                    <w:tr2bl w:val="nil"/>
                  </w:tcBorders>
                  <w:shd w:val="clear" w:color="auto" w:fill="auto"/>
                  <w:vAlign w:val="center"/>
                </w:tcPr>
                <w:p w14:paraId="38058A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95" w:type="dxa"/>
                  <w:tcBorders>
                    <w:tl2br w:val="nil"/>
                    <w:tr2bl w:val="nil"/>
                  </w:tcBorders>
                  <w:shd w:val="clear" w:color="auto" w:fill="auto"/>
                  <w:vAlign w:val="center"/>
                </w:tcPr>
                <w:p w14:paraId="79CC3A6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p>
              </w:tc>
              <w:tc>
                <w:tcPr>
                  <w:tcW w:w="1426" w:type="dxa"/>
                  <w:tcBorders>
                    <w:tl2br w:val="nil"/>
                    <w:tr2bl w:val="nil"/>
                  </w:tcBorders>
                  <w:shd w:val="clear" w:color="auto" w:fill="auto"/>
                  <w:vAlign w:val="center"/>
                </w:tcPr>
                <w:p w14:paraId="4D36D4C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4FC107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48" w:type="dxa"/>
                  <w:tcBorders>
                    <w:tl2br w:val="nil"/>
                    <w:tr2bl w:val="nil"/>
                  </w:tcBorders>
                  <w:vAlign w:val="center"/>
                </w:tcPr>
                <w:p w14:paraId="50A5FC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BDF369F">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4EF42B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692A05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78A1C8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558FAF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EE8FD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200B9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ECC49B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0686965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758" w:type="dxa"/>
                  <w:tcBorders>
                    <w:tl2br w:val="nil"/>
                    <w:tr2bl w:val="nil"/>
                  </w:tcBorders>
                  <w:shd w:val="clear" w:color="auto" w:fill="auto"/>
                  <w:vAlign w:val="center"/>
                </w:tcPr>
                <w:p w14:paraId="0E9C0A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0.00200 </w:t>
                  </w:r>
                </w:p>
              </w:tc>
              <w:tc>
                <w:tcPr>
                  <w:tcW w:w="548" w:type="dxa"/>
                  <w:tcBorders>
                    <w:tl2br w:val="nil"/>
                    <w:tr2bl w:val="nil"/>
                  </w:tcBorders>
                  <w:vAlign w:val="center"/>
                </w:tcPr>
                <w:p w14:paraId="2948BB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3D7C140D">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35A4D7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3FC146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5CDA65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51887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7CC7C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1200E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1E22E384">
                  <w:pPr>
                    <w:widowControl/>
                    <w:spacing w:beforeLines="0" w:afterLines="0" w:line="240" w:lineRule="auto"/>
                    <w:ind w:firstLine="0" w:firstLine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SS</w:t>
                  </w:r>
                </w:p>
              </w:tc>
              <w:tc>
                <w:tcPr>
                  <w:tcW w:w="1426" w:type="dxa"/>
                  <w:tcBorders>
                    <w:tl2br w:val="nil"/>
                    <w:tr2bl w:val="nil"/>
                  </w:tcBorders>
                  <w:shd w:val="clear" w:color="auto" w:fill="auto"/>
                  <w:vAlign w:val="center"/>
                </w:tcPr>
                <w:p w14:paraId="546489F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758" w:type="dxa"/>
                  <w:tcBorders>
                    <w:tl2br w:val="nil"/>
                    <w:tr2bl w:val="nil"/>
                  </w:tcBorders>
                  <w:shd w:val="clear" w:color="auto" w:fill="auto"/>
                  <w:vAlign w:val="center"/>
                </w:tcPr>
                <w:p w14:paraId="72AF70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0.00200 </w:t>
                  </w:r>
                </w:p>
              </w:tc>
              <w:tc>
                <w:tcPr>
                  <w:tcW w:w="548" w:type="dxa"/>
                  <w:tcBorders>
                    <w:tl2br w:val="nil"/>
                    <w:tr2bl w:val="nil"/>
                  </w:tcBorders>
                  <w:vAlign w:val="center"/>
                </w:tcPr>
                <w:p w14:paraId="6F17A4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DD72A2B">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199DA8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39F386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5E3BF9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F1B91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2626B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18E46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3ECF9E5">
                  <w:pPr>
                    <w:widowControl/>
                    <w:spacing w:beforeLines="0" w:afterLines="0" w:line="240" w:lineRule="auto"/>
                    <w:ind w:firstLine="0" w:firstLine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氨氮</w:t>
                  </w:r>
                </w:p>
              </w:tc>
              <w:tc>
                <w:tcPr>
                  <w:tcW w:w="1426" w:type="dxa"/>
                  <w:tcBorders>
                    <w:tl2br w:val="nil"/>
                    <w:tr2bl w:val="nil"/>
                  </w:tcBorders>
                  <w:shd w:val="clear" w:color="auto" w:fill="auto"/>
                  <w:vAlign w:val="center"/>
                </w:tcPr>
                <w:p w14:paraId="2FFD2EC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58" w:type="dxa"/>
                  <w:tcBorders>
                    <w:tl2br w:val="nil"/>
                    <w:tr2bl w:val="nil"/>
                  </w:tcBorders>
                  <w:shd w:val="clear" w:color="auto" w:fill="auto"/>
                  <w:vAlign w:val="center"/>
                </w:tcPr>
                <w:p w14:paraId="6C1669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0.00004 </w:t>
                  </w:r>
                </w:p>
              </w:tc>
              <w:tc>
                <w:tcPr>
                  <w:tcW w:w="548" w:type="dxa"/>
                  <w:tcBorders>
                    <w:tl2br w:val="nil"/>
                    <w:tr2bl w:val="nil"/>
                  </w:tcBorders>
                  <w:vAlign w:val="center"/>
                </w:tcPr>
                <w:p w14:paraId="1A2CCB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45506E44">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2E4603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25859B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1F850C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62D4C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5CEAB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71323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DF113A2">
                  <w:pPr>
                    <w:widowControl/>
                    <w:spacing w:beforeLines="0" w:afterLines="0" w:line="240" w:lineRule="auto"/>
                    <w:ind w:firstLine="0" w:firstLine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总磷</w:t>
                  </w:r>
                </w:p>
              </w:tc>
              <w:tc>
                <w:tcPr>
                  <w:tcW w:w="1426" w:type="dxa"/>
                  <w:tcBorders>
                    <w:tl2br w:val="nil"/>
                    <w:tr2bl w:val="nil"/>
                  </w:tcBorders>
                  <w:shd w:val="clear" w:color="auto" w:fill="auto"/>
                  <w:vAlign w:val="center"/>
                </w:tcPr>
                <w:p w14:paraId="5E891DD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758" w:type="dxa"/>
                  <w:tcBorders>
                    <w:tl2br w:val="nil"/>
                    <w:tr2bl w:val="nil"/>
                  </w:tcBorders>
                  <w:shd w:val="clear" w:color="auto" w:fill="auto"/>
                  <w:vAlign w:val="center"/>
                </w:tcPr>
                <w:p w14:paraId="1A2004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0.00001 </w:t>
                  </w:r>
                </w:p>
              </w:tc>
              <w:tc>
                <w:tcPr>
                  <w:tcW w:w="548" w:type="dxa"/>
                  <w:tcBorders>
                    <w:tl2br w:val="nil"/>
                    <w:tr2bl w:val="nil"/>
                  </w:tcBorders>
                  <w:vAlign w:val="center"/>
                </w:tcPr>
                <w:p w14:paraId="6B0B07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3F744D75">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1786F6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044E0A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082BC2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BD183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2B8A9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924AC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7ADE8BB">
                  <w:pPr>
                    <w:widowControl/>
                    <w:spacing w:beforeLines="0" w:afterLines="0" w:line="240" w:lineRule="auto"/>
                    <w:ind w:firstLine="0" w:firstLine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总氮</w:t>
                  </w:r>
                </w:p>
              </w:tc>
              <w:tc>
                <w:tcPr>
                  <w:tcW w:w="1426" w:type="dxa"/>
                  <w:tcBorders>
                    <w:tl2br w:val="nil"/>
                    <w:tr2bl w:val="nil"/>
                  </w:tcBorders>
                  <w:shd w:val="clear" w:color="auto" w:fill="auto"/>
                  <w:vAlign w:val="center"/>
                </w:tcPr>
                <w:p w14:paraId="1B3E3DC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58" w:type="dxa"/>
                  <w:tcBorders>
                    <w:tl2br w:val="nil"/>
                    <w:tr2bl w:val="nil"/>
                  </w:tcBorders>
                  <w:shd w:val="clear" w:color="auto" w:fill="auto"/>
                  <w:vAlign w:val="center"/>
                </w:tcPr>
                <w:p w14:paraId="4CA2EA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0.00005 </w:t>
                  </w:r>
                </w:p>
              </w:tc>
              <w:tc>
                <w:tcPr>
                  <w:tcW w:w="548" w:type="dxa"/>
                  <w:tcBorders>
                    <w:tl2br w:val="nil"/>
                    <w:tr2bl w:val="nil"/>
                  </w:tcBorders>
                  <w:vAlign w:val="center"/>
                </w:tcPr>
                <w:p w14:paraId="5DC827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EAC8E68">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37CD96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285EA3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7F08B1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62152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EC76E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CC8D8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DAD7EF4">
                  <w:pPr>
                    <w:widowControl/>
                    <w:spacing w:beforeLines="0" w:afterLines="0" w:line="240" w:lineRule="auto"/>
                    <w:ind w:firstLine="0" w:firstLine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盐分</w:t>
                  </w:r>
                </w:p>
              </w:tc>
              <w:tc>
                <w:tcPr>
                  <w:tcW w:w="1426" w:type="dxa"/>
                  <w:tcBorders>
                    <w:tl2br w:val="nil"/>
                    <w:tr2bl w:val="nil"/>
                  </w:tcBorders>
                  <w:shd w:val="clear" w:color="auto" w:fill="auto"/>
                  <w:vAlign w:val="center"/>
                </w:tcPr>
                <w:p w14:paraId="1D4F486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600</w:t>
                  </w:r>
                </w:p>
              </w:tc>
              <w:tc>
                <w:tcPr>
                  <w:tcW w:w="758" w:type="dxa"/>
                  <w:tcBorders>
                    <w:tl2br w:val="nil"/>
                    <w:tr2bl w:val="nil"/>
                  </w:tcBorders>
                  <w:shd w:val="clear" w:color="auto" w:fill="auto"/>
                  <w:vAlign w:val="center"/>
                </w:tcPr>
                <w:p w14:paraId="06BC69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0.00240 </w:t>
                  </w:r>
                </w:p>
              </w:tc>
              <w:tc>
                <w:tcPr>
                  <w:tcW w:w="548" w:type="dxa"/>
                  <w:tcBorders>
                    <w:tl2br w:val="nil"/>
                    <w:tr2bl w:val="nil"/>
                  </w:tcBorders>
                  <w:vAlign w:val="center"/>
                </w:tcPr>
                <w:p w14:paraId="54126F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462500BD">
                  <w:pPr>
                    <w:keepNext w:val="0"/>
                    <w:keepLines w:val="0"/>
                    <w:widowControl/>
                    <w:suppressLineNumbers w:val="0"/>
                    <w:jc w:val="center"/>
                    <w:textAlignment w:val="center"/>
                    <w:rPr>
                      <w:rFonts w:hint="default"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p>
              </w:tc>
              <w:tc>
                <w:tcPr>
                  <w:tcW w:w="1232" w:type="dxa"/>
                  <w:tcBorders>
                    <w:tl2br w:val="nil"/>
                    <w:tr2bl w:val="nil"/>
                  </w:tcBorders>
                  <w:vAlign w:val="center"/>
                </w:tcPr>
                <w:p w14:paraId="5F9062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37" w:type="dxa"/>
                  <w:tcBorders>
                    <w:tl2br w:val="nil"/>
                    <w:tr2bl w:val="nil"/>
                  </w:tcBorders>
                  <w:vAlign w:val="center"/>
                </w:tcPr>
                <w:p w14:paraId="25FA2B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46" w:type="dxa"/>
                  <w:tcBorders>
                    <w:tl2br w:val="nil"/>
                    <w:tr2bl w:val="nil"/>
                  </w:tcBorders>
                  <w:vAlign w:val="center"/>
                </w:tcPr>
                <w:p w14:paraId="38A4FB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C847B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4E5D82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综合生产废水</w:t>
                  </w:r>
                </w:p>
              </w:tc>
              <w:tc>
                <w:tcPr>
                  <w:tcW w:w="870" w:type="dxa"/>
                  <w:vMerge w:val="restart"/>
                  <w:tcBorders>
                    <w:tl2br w:val="nil"/>
                    <w:tr2bl w:val="nil"/>
                  </w:tcBorders>
                  <w:vAlign w:val="center"/>
                </w:tcPr>
                <w:p w14:paraId="7E8CB0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198</w:t>
                  </w:r>
                </w:p>
              </w:tc>
              <w:tc>
                <w:tcPr>
                  <w:tcW w:w="795" w:type="dxa"/>
                  <w:tcBorders>
                    <w:tl2br w:val="nil"/>
                    <w:tr2bl w:val="nil"/>
                  </w:tcBorders>
                  <w:shd w:val="clear" w:color="auto" w:fill="auto"/>
                  <w:vAlign w:val="center"/>
                </w:tcPr>
                <w:p w14:paraId="79202C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5ECDFC0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 w:cs="Times New Roman"/>
                      <w:b/>
                      <w:bCs/>
                      <w:color w:val="000000" w:themeColor="text1"/>
                      <w:sz w:val="21"/>
                      <w:szCs w:val="21"/>
                      <w:lang w:val="en-US" w:eastAsia="zh-CN"/>
                      <w14:textFill>
                        <w14:solidFill>
                          <w14:schemeClr w14:val="tx1"/>
                        </w14:solidFill>
                      </w14:textFill>
                    </w:rPr>
                    <w:t>4</w:t>
                  </w:r>
                  <w:r>
                    <w:rPr>
                      <w:rFonts w:ascii="Times New Roman" w:hAnsi="Times New Roman" w:eastAsia="仿宋" w:cs="Times New Roman"/>
                      <w:b/>
                      <w:bCs/>
                      <w:color w:val="000000" w:themeColor="text1"/>
                      <w:sz w:val="21"/>
                      <w:szCs w:val="21"/>
                      <w14:textFill>
                        <w14:solidFill>
                          <w14:schemeClr w14:val="tx1"/>
                        </w14:solidFill>
                      </w14:textFill>
                    </w:rPr>
                    <w:t>~</w:t>
                  </w:r>
                  <w:r>
                    <w:rPr>
                      <w:rFonts w:hint="eastAsia" w:ascii="Times New Roman" w:hAnsi="Times New Roman" w:eastAsia="仿宋" w:cs="Times New Roman"/>
                      <w:b/>
                      <w:bCs/>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4D68DF0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548" w:type="dxa"/>
                  <w:vMerge w:val="restart"/>
                  <w:tcBorders>
                    <w:tl2br w:val="nil"/>
                    <w:tr2bl w:val="nil"/>
                  </w:tcBorders>
                  <w:vAlign w:val="center"/>
                </w:tcPr>
                <w:p w14:paraId="5BDF4F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污水处理设施</w:t>
                  </w:r>
                </w:p>
              </w:tc>
              <w:tc>
                <w:tcPr>
                  <w:tcW w:w="851" w:type="dxa"/>
                  <w:tcBorders>
                    <w:tl2br w:val="nil"/>
                    <w:tr2bl w:val="nil"/>
                  </w:tcBorders>
                  <w:shd w:val="clear" w:color="auto" w:fill="auto"/>
                  <w:vAlign w:val="center"/>
                </w:tcPr>
                <w:p w14:paraId="3BA2C5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3"/>
                      <w:sz w:val="21"/>
                      <w:szCs w:val="21"/>
                      <w:lang w:val="en-US" w:eastAsia="zh-CN"/>
                      <w14:textFill>
                        <w14:solidFill>
                          <w14:schemeClr w14:val="tx1"/>
                        </w14:solidFill>
                      </w14:textFill>
                    </w:rPr>
                    <w:t>pH</w:t>
                  </w:r>
                </w:p>
              </w:tc>
              <w:tc>
                <w:tcPr>
                  <w:tcW w:w="1232" w:type="dxa"/>
                  <w:tcBorders>
                    <w:tl2br w:val="nil"/>
                    <w:tr2bl w:val="nil"/>
                  </w:tcBorders>
                  <w:shd w:val="clear" w:color="auto" w:fill="auto"/>
                  <w:vAlign w:val="center"/>
                </w:tcPr>
                <w:p w14:paraId="61CDC71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7~8（无量纲）</w:t>
                  </w:r>
                </w:p>
              </w:tc>
              <w:tc>
                <w:tcPr>
                  <w:tcW w:w="737" w:type="dxa"/>
                  <w:tcBorders>
                    <w:tl2br w:val="nil"/>
                    <w:tr2bl w:val="nil"/>
                  </w:tcBorders>
                  <w:shd w:val="clear" w:color="auto" w:fill="auto"/>
                  <w:vAlign w:val="center"/>
                </w:tcPr>
                <w:p w14:paraId="3713320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546" w:type="dxa"/>
                  <w:vMerge w:val="restart"/>
                  <w:tcBorders>
                    <w:tl2br w:val="nil"/>
                    <w:tr2bl w:val="nil"/>
                  </w:tcBorders>
                  <w:vAlign w:val="center"/>
                </w:tcPr>
                <w:p w14:paraId="66A767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回用</w:t>
                  </w:r>
                </w:p>
              </w:tc>
            </w:tr>
            <w:tr w14:paraId="6D00D7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44788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870" w:type="dxa"/>
                  <w:vMerge w:val="continue"/>
                  <w:tcBorders>
                    <w:tl2br w:val="nil"/>
                    <w:tr2bl w:val="nil"/>
                  </w:tcBorders>
                  <w:vAlign w:val="center"/>
                </w:tcPr>
                <w:p w14:paraId="43EE6C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43F50DEF">
                  <w:pPr>
                    <w:keepNext w:val="0"/>
                    <w:keepLines w:val="0"/>
                    <w:widowControl/>
                    <w:suppressLineNumbers w:val="0"/>
                    <w:jc w:val="center"/>
                    <w:textAlignment w:val="cente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7A28C173">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213.5 </w:t>
                  </w:r>
                </w:p>
              </w:tc>
              <w:tc>
                <w:tcPr>
                  <w:tcW w:w="758" w:type="dxa"/>
                  <w:tcBorders>
                    <w:tl2br w:val="nil"/>
                    <w:tr2bl w:val="nil"/>
                  </w:tcBorders>
                  <w:shd w:val="clear" w:color="auto" w:fill="auto"/>
                  <w:vAlign w:val="center"/>
                </w:tcPr>
                <w:p w14:paraId="032AD1F3">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0.04228 </w:t>
                  </w:r>
                </w:p>
              </w:tc>
              <w:tc>
                <w:tcPr>
                  <w:tcW w:w="548" w:type="dxa"/>
                  <w:vMerge w:val="continue"/>
                  <w:tcBorders>
                    <w:tl2br w:val="nil"/>
                    <w:tr2bl w:val="nil"/>
                  </w:tcBorders>
                  <w:vAlign w:val="center"/>
                </w:tcPr>
                <w:p w14:paraId="4922E4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474B66A7">
                  <w:pPr>
                    <w:keepNext w:val="0"/>
                    <w:keepLines w:val="0"/>
                    <w:widowControl/>
                    <w:suppressLineNumbers w:val="0"/>
                    <w:jc w:val="center"/>
                    <w:textAlignment w:val="center"/>
                    <w:rPr>
                      <w:rFonts w:hint="eastAsia"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COD</w:t>
                  </w:r>
                </w:p>
              </w:tc>
              <w:tc>
                <w:tcPr>
                  <w:tcW w:w="1232" w:type="dxa"/>
                  <w:tcBorders>
                    <w:tl2br w:val="nil"/>
                    <w:tr2bl w:val="nil"/>
                  </w:tcBorders>
                  <w:shd w:val="clear" w:color="auto" w:fill="auto"/>
                  <w:vAlign w:val="center"/>
                </w:tcPr>
                <w:p w14:paraId="14EDC11D">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44.8 </w:t>
                  </w:r>
                </w:p>
              </w:tc>
              <w:tc>
                <w:tcPr>
                  <w:tcW w:w="737" w:type="dxa"/>
                  <w:tcBorders>
                    <w:tl2br w:val="nil"/>
                    <w:tr2bl w:val="nil"/>
                  </w:tcBorders>
                  <w:shd w:val="clear" w:color="auto" w:fill="auto"/>
                  <w:vAlign w:val="center"/>
                </w:tcPr>
                <w:p w14:paraId="772BF380">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0.00887 </w:t>
                  </w:r>
                </w:p>
              </w:tc>
              <w:tc>
                <w:tcPr>
                  <w:tcW w:w="546" w:type="dxa"/>
                  <w:vMerge w:val="continue"/>
                  <w:tcBorders>
                    <w:tl2br w:val="nil"/>
                    <w:tr2bl w:val="nil"/>
                  </w:tcBorders>
                  <w:vAlign w:val="center"/>
                </w:tcPr>
                <w:p w14:paraId="479226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166EF0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62AD7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98E40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614C8C9D">
                  <w:pPr>
                    <w:keepNext w:val="0"/>
                    <w:keepLines w:val="0"/>
                    <w:widowControl/>
                    <w:suppressLineNumbers w:val="0"/>
                    <w:jc w:val="center"/>
                    <w:textAlignment w:val="cente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1D0A7F7E">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38.4 </w:t>
                  </w:r>
                </w:p>
              </w:tc>
              <w:tc>
                <w:tcPr>
                  <w:tcW w:w="758" w:type="dxa"/>
                  <w:tcBorders>
                    <w:tl2br w:val="nil"/>
                    <w:tr2bl w:val="nil"/>
                  </w:tcBorders>
                  <w:shd w:val="clear" w:color="auto" w:fill="auto"/>
                  <w:vAlign w:val="center"/>
                </w:tcPr>
                <w:p w14:paraId="34365965">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0.00760 </w:t>
                  </w:r>
                </w:p>
              </w:tc>
              <w:tc>
                <w:tcPr>
                  <w:tcW w:w="548" w:type="dxa"/>
                  <w:vMerge w:val="continue"/>
                  <w:tcBorders>
                    <w:tl2br w:val="nil"/>
                    <w:tr2bl w:val="nil"/>
                  </w:tcBorders>
                  <w:vAlign w:val="center"/>
                </w:tcPr>
                <w:p w14:paraId="02C10F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85D9E19">
                  <w:pPr>
                    <w:keepNext w:val="0"/>
                    <w:keepLines w:val="0"/>
                    <w:widowControl/>
                    <w:suppressLineNumbers w:val="0"/>
                    <w:jc w:val="center"/>
                    <w:textAlignment w:val="center"/>
                    <w:rPr>
                      <w:rFonts w:hint="eastAsia"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SS</w:t>
                  </w:r>
                </w:p>
              </w:tc>
              <w:tc>
                <w:tcPr>
                  <w:tcW w:w="1232" w:type="dxa"/>
                  <w:tcBorders>
                    <w:tl2br w:val="nil"/>
                    <w:tr2bl w:val="nil"/>
                  </w:tcBorders>
                  <w:shd w:val="clear" w:color="auto" w:fill="auto"/>
                  <w:vAlign w:val="center"/>
                </w:tcPr>
                <w:p w14:paraId="488D14C2">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7.7 </w:t>
                  </w:r>
                </w:p>
              </w:tc>
              <w:tc>
                <w:tcPr>
                  <w:tcW w:w="737" w:type="dxa"/>
                  <w:tcBorders>
                    <w:tl2br w:val="nil"/>
                    <w:tr2bl w:val="nil"/>
                  </w:tcBorders>
                  <w:shd w:val="clear" w:color="auto" w:fill="auto"/>
                  <w:vAlign w:val="center"/>
                </w:tcPr>
                <w:p w14:paraId="29873C28">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0.00152 </w:t>
                  </w:r>
                </w:p>
              </w:tc>
              <w:tc>
                <w:tcPr>
                  <w:tcW w:w="546" w:type="dxa"/>
                  <w:vMerge w:val="continue"/>
                  <w:tcBorders>
                    <w:tl2br w:val="nil"/>
                    <w:tr2bl w:val="nil"/>
                  </w:tcBorders>
                  <w:vAlign w:val="center"/>
                </w:tcPr>
                <w:p w14:paraId="18D004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EC4E7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C2349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24AA5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668D037">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氨氮</w:t>
                  </w:r>
                </w:p>
              </w:tc>
              <w:tc>
                <w:tcPr>
                  <w:tcW w:w="1426" w:type="dxa"/>
                  <w:tcBorders>
                    <w:tl2br w:val="nil"/>
                    <w:tr2bl w:val="nil"/>
                  </w:tcBorders>
                  <w:shd w:val="clear" w:color="auto" w:fill="auto"/>
                  <w:vAlign w:val="center"/>
                </w:tcPr>
                <w:p w14:paraId="4512BBF7">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2.7 </w:t>
                  </w:r>
                </w:p>
              </w:tc>
              <w:tc>
                <w:tcPr>
                  <w:tcW w:w="758" w:type="dxa"/>
                  <w:tcBorders>
                    <w:tl2br w:val="nil"/>
                    <w:tr2bl w:val="nil"/>
                  </w:tcBorders>
                  <w:shd w:val="clear" w:color="auto" w:fill="auto"/>
                  <w:vAlign w:val="center"/>
                </w:tcPr>
                <w:p w14:paraId="521C772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0.00054 </w:t>
                  </w:r>
                </w:p>
              </w:tc>
              <w:tc>
                <w:tcPr>
                  <w:tcW w:w="548" w:type="dxa"/>
                  <w:vMerge w:val="continue"/>
                  <w:tcBorders>
                    <w:tl2br w:val="nil"/>
                    <w:tr2bl w:val="nil"/>
                  </w:tcBorders>
                  <w:vAlign w:val="center"/>
                </w:tcPr>
                <w:p w14:paraId="615B09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014B10D">
                  <w:pPr>
                    <w:keepNext w:val="0"/>
                    <w:keepLines w:val="0"/>
                    <w:widowControl/>
                    <w:suppressLineNumbers w:val="0"/>
                    <w:jc w:val="center"/>
                    <w:textAlignment w:val="center"/>
                    <w:rPr>
                      <w:rFonts w:hint="eastAsia"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氨氮</w:t>
                  </w:r>
                </w:p>
              </w:tc>
              <w:tc>
                <w:tcPr>
                  <w:tcW w:w="1232" w:type="dxa"/>
                  <w:tcBorders>
                    <w:tl2br w:val="nil"/>
                    <w:tr2bl w:val="nil"/>
                  </w:tcBorders>
                  <w:shd w:val="clear" w:color="auto" w:fill="auto"/>
                  <w:vAlign w:val="center"/>
                </w:tcPr>
                <w:p w14:paraId="0808D70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2.2</w:t>
                  </w: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 </w:t>
                  </w:r>
                </w:p>
              </w:tc>
              <w:tc>
                <w:tcPr>
                  <w:tcW w:w="737" w:type="dxa"/>
                  <w:tcBorders>
                    <w:tl2br w:val="nil"/>
                    <w:tr2bl w:val="nil"/>
                  </w:tcBorders>
                  <w:shd w:val="clear" w:color="auto" w:fill="auto"/>
                  <w:vAlign w:val="center"/>
                </w:tcPr>
                <w:p w14:paraId="3F20D12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0.00044 </w:t>
                  </w:r>
                </w:p>
              </w:tc>
              <w:tc>
                <w:tcPr>
                  <w:tcW w:w="546" w:type="dxa"/>
                  <w:vMerge w:val="continue"/>
                  <w:tcBorders>
                    <w:tl2br w:val="nil"/>
                    <w:tr2bl w:val="nil"/>
                  </w:tcBorders>
                  <w:vAlign w:val="center"/>
                </w:tcPr>
                <w:p w14:paraId="2E7C44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49FD8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8FA46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7054A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7B0C800">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TP</w:t>
                  </w:r>
                </w:p>
              </w:tc>
              <w:tc>
                <w:tcPr>
                  <w:tcW w:w="1426" w:type="dxa"/>
                  <w:tcBorders>
                    <w:tl2br w:val="nil"/>
                    <w:tr2bl w:val="nil"/>
                  </w:tcBorders>
                  <w:shd w:val="clear" w:color="auto" w:fill="auto"/>
                  <w:vAlign w:val="center"/>
                </w:tcPr>
                <w:p w14:paraId="0E1AB88A">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7.7 </w:t>
                  </w:r>
                </w:p>
              </w:tc>
              <w:tc>
                <w:tcPr>
                  <w:tcW w:w="758" w:type="dxa"/>
                  <w:tcBorders>
                    <w:tl2br w:val="nil"/>
                    <w:tr2bl w:val="nil"/>
                  </w:tcBorders>
                  <w:shd w:val="clear" w:color="auto" w:fill="auto"/>
                  <w:vAlign w:val="center"/>
                </w:tcPr>
                <w:p w14:paraId="13E49FC6">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0.00152 </w:t>
                  </w:r>
                </w:p>
              </w:tc>
              <w:tc>
                <w:tcPr>
                  <w:tcW w:w="548" w:type="dxa"/>
                  <w:vMerge w:val="continue"/>
                  <w:tcBorders>
                    <w:tl2br w:val="nil"/>
                    <w:tr2bl w:val="nil"/>
                  </w:tcBorders>
                  <w:vAlign w:val="center"/>
                </w:tcPr>
                <w:p w14:paraId="40BC43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784C4C4B">
                  <w:pPr>
                    <w:keepNext w:val="0"/>
                    <w:keepLines w:val="0"/>
                    <w:widowControl/>
                    <w:suppressLineNumbers w:val="0"/>
                    <w:jc w:val="center"/>
                    <w:textAlignment w:val="center"/>
                    <w:rPr>
                      <w:rFonts w:hint="eastAsia"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TP</w:t>
                  </w:r>
                </w:p>
              </w:tc>
              <w:tc>
                <w:tcPr>
                  <w:tcW w:w="1232" w:type="dxa"/>
                  <w:tcBorders>
                    <w:tl2br w:val="nil"/>
                    <w:tr2bl w:val="nil"/>
                  </w:tcBorders>
                  <w:shd w:val="clear" w:color="auto" w:fill="auto"/>
                  <w:vAlign w:val="center"/>
                </w:tcPr>
                <w:p w14:paraId="79B12A1F">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0.4 </w:t>
                  </w:r>
                </w:p>
              </w:tc>
              <w:tc>
                <w:tcPr>
                  <w:tcW w:w="737" w:type="dxa"/>
                  <w:tcBorders>
                    <w:tl2br w:val="nil"/>
                    <w:tr2bl w:val="nil"/>
                  </w:tcBorders>
                  <w:shd w:val="clear" w:color="auto" w:fill="auto"/>
                  <w:vAlign w:val="center"/>
                </w:tcPr>
                <w:p w14:paraId="5584B075">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0.00008 </w:t>
                  </w:r>
                </w:p>
              </w:tc>
              <w:tc>
                <w:tcPr>
                  <w:tcW w:w="546" w:type="dxa"/>
                  <w:vMerge w:val="continue"/>
                  <w:tcBorders>
                    <w:tl2br w:val="nil"/>
                    <w:tr2bl w:val="nil"/>
                  </w:tcBorders>
                  <w:vAlign w:val="center"/>
                </w:tcPr>
                <w:p w14:paraId="79129B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16955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4DA1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BF843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BF71522">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TN</w:t>
                  </w:r>
                </w:p>
              </w:tc>
              <w:tc>
                <w:tcPr>
                  <w:tcW w:w="1426" w:type="dxa"/>
                  <w:tcBorders>
                    <w:tl2br w:val="nil"/>
                    <w:tr2bl w:val="nil"/>
                  </w:tcBorders>
                  <w:shd w:val="clear" w:color="auto" w:fill="auto"/>
                  <w:vAlign w:val="center"/>
                </w:tcPr>
                <w:p w14:paraId="280C40DF">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4.1 </w:t>
                  </w:r>
                </w:p>
              </w:tc>
              <w:tc>
                <w:tcPr>
                  <w:tcW w:w="758" w:type="dxa"/>
                  <w:tcBorders>
                    <w:tl2br w:val="nil"/>
                    <w:tr2bl w:val="nil"/>
                  </w:tcBorders>
                  <w:shd w:val="clear" w:color="auto" w:fill="auto"/>
                  <w:vAlign w:val="center"/>
                </w:tcPr>
                <w:p w14:paraId="1D19B55B">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0.00080 </w:t>
                  </w:r>
                </w:p>
              </w:tc>
              <w:tc>
                <w:tcPr>
                  <w:tcW w:w="548" w:type="dxa"/>
                  <w:vMerge w:val="continue"/>
                  <w:tcBorders>
                    <w:tl2br w:val="nil"/>
                    <w:tr2bl w:val="nil"/>
                  </w:tcBorders>
                  <w:vAlign w:val="center"/>
                </w:tcPr>
                <w:p w14:paraId="234196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576D14CD">
                  <w:pPr>
                    <w:keepNext w:val="0"/>
                    <w:keepLines w:val="0"/>
                    <w:widowControl/>
                    <w:suppressLineNumbers w:val="0"/>
                    <w:jc w:val="center"/>
                    <w:textAlignment w:val="center"/>
                    <w:rPr>
                      <w:rFonts w:hint="eastAsia" w:ascii="Times New Roman" w:hAnsi="Times New Roman" w:eastAsia="宋体" w:cs="Times New Roman"/>
                      <w:b/>
                      <w:bCs/>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TN</w:t>
                  </w:r>
                </w:p>
              </w:tc>
              <w:tc>
                <w:tcPr>
                  <w:tcW w:w="1232" w:type="dxa"/>
                  <w:tcBorders>
                    <w:tl2br w:val="nil"/>
                    <w:tr2bl w:val="nil"/>
                  </w:tcBorders>
                  <w:shd w:val="clear" w:color="auto" w:fill="auto"/>
                  <w:vAlign w:val="center"/>
                </w:tcPr>
                <w:p w14:paraId="016062D2">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3.3 </w:t>
                  </w:r>
                </w:p>
              </w:tc>
              <w:tc>
                <w:tcPr>
                  <w:tcW w:w="737" w:type="dxa"/>
                  <w:tcBorders>
                    <w:tl2br w:val="nil"/>
                    <w:tr2bl w:val="nil"/>
                  </w:tcBorders>
                  <w:shd w:val="clear" w:color="auto" w:fill="auto"/>
                  <w:vAlign w:val="center"/>
                </w:tcPr>
                <w:p w14:paraId="70738B53">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0.00065 </w:t>
                  </w:r>
                </w:p>
              </w:tc>
              <w:tc>
                <w:tcPr>
                  <w:tcW w:w="546" w:type="dxa"/>
                  <w:vMerge w:val="continue"/>
                  <w:tcBorders>
                    <w:tl2br w:val="nil"/>
                    <w:tr2bl w:val="nil"/>
                  </w:tcBorders>
                  <w:vAlign w:val="center"/>
                </w:tcPr>
                <w:p w14:paraId="142E67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4438B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FA974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4A833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4919F27A">
                  <w:pPr>
                    <w:keepNext w:val="0"/>
                    <w:keepLines w:val="0"/>
                    <w:widowControl/>
                    <w:suppressLineNumbers w:val="0"/>
                    <w:jc w:val="center"/>
                    <w:textAlignment w:val="cente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04112FC9">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4191.9 </w:t>
                  </w:r>
                </w:p>
              </w:tc>
              <w:tc>
                <w:tcPr>
                  <w:tcW w:w="758" w:type="dxa"/>
                  <w:tcBorders>
                    <w:tl2br w:val="nil"/>
                    <w:tr2bl w:val="nil"/>
                  </w:tcBorders>
                  <w:shd w:val="clear" w:color="auto" w:fill="auto"/>
                  <w:vAlign w:val="center"/>
                </w:tcPr>
                <w:p w14:paraId="0CA244DD">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0.83000 </w:t>
                  </w:r>
                </w:p>
              </w:tc>
              <w:tc>
                <w:tcPr>
                  <w:tcW w:w="548" w:type="dxa"/>
                  <w:vMerge w:val="continue"/>
                  <w:tcBorders>
                    <w:tl2br w:val="nil"/>
                    <w:tr2bl w:val="nil"/>
                  </w:tcBorders>
                  <w:vAlign w:val="center"/>
                </w:tcPr>
                <w:p w14:paraId="78F933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3D551557">
                  <w:pPr>
                    <w:keepNext w:val="0"/>
                    <w:keepLines w:val="0"/>
                    <w:widowControl/>
                    <w:suppressLineNumbers w:val="0"/>
                    <w:jc w:val="center"/>
                    <w:textAlignment w:val="center"/>
                    <w:rPr>
                      <w:rFonts w:hint="eastAsia"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溶解性总固体</w:t>
                  </w:r>
                </w:p>
              </w:tc>
              <w:tc>
                <w:tcPr>
                  <w:tcW w:w="1232" w:type="dxa"/>
                  <w:tcBorders>
                    <w:tl2br w:val="nil"/>
                    <w:tr2bl w:val="nil"/>
                  </w:tcBorders>
                  <w:shd w:val="clear" w:color="auto" w:fill="auto"/>
                  <w:vAlign w:val="center"/>
                </w:tcPr>
                <w:p w14:paraId="4E341680">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209.6 </w:t>
                  </w:r>
                </w:p>
              </w:tc>
              <w:tc>
                <w:tcPr>
                  <w:tcW w:w="737" w:type="dxa"/>
                  <w:tcBorders>
                    <w:tl2br w:val="nil"/>
                    <w:tr2bl w:val="nil"/>
                  </w:tcBorders>
                  <w:shd w:val="clear" w:color="auto" w:fill="auto"/>
                  <w:vAlign w:val="center"/>
                </w:tcPr>
                <w:p w14:paraId="2D39E38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0.04150 </w:t>
                  </w:r>
                </w:p>
              </w:tc>
              <w:tc>
                <w:tcPr>
                  <w:tcW w:w="546" w:type="dxa"/>
                  <w:vMerge w:val="continue"/>
                  <w:tcBorders>
                    <w:tl2br w:val="nil"/>
                    <w:tr2bl w:val="nil"/>
                  </w:tcBorders>
                  <w:vAlign w:val="center"/>
                </w:tcPr>
                <w:p w14:paraId="1BCF19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7A4C7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EA7BF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967A4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92FF023">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总铜</w:t>
                  </w:r>
                </w:p>
              </w:tc>
              <w:tc>
                <w:tcPr>
                  <w:tcW w:w="1426" w:type="dxa"/>
                  <w:tcBorders>
                    <w:tl2br w:val="nil"/>
                    <w:tr2bl w:val="nil"/>
                  </w:tcBorders>
                  <w:shd w:val="clear" w:color="auto" w:fill="auto"/>
                  <w:vAlign w:val="center"/>
                </w:tcPr>
                <w:p w14:paraId="1E6CC8B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13.6 </w:t>
                  </w:r>
                </w:p>
              </w:tc>
              <w:tc>
                <w:tcPr>
                  <w:tcW w:w="758" w:type="dxa"/>
                  <w:tcBorders>
                    <w:tl2br w:val="nil"/>
                    <w:tr2bl w:val="nil"/>
                  </w:tcBorders>
                  <w:shd w:val="clear" w:color="auto" w:fill="auto"/>
                  <w:vAlign w:val="center"/>
                </w:tcPr>
                <w:p w14:paraId="3E82FEF8">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0.00270 </w:t>
                  </w:r>
                </w:p>
              </w:tc>
              <w:tc>
                <w:tcPr>
                  <w:tcW w:w="548" w:type="dxa"/>
                  <w:vMerge w:val="continue"/>
                  <w:tcBorders>
                    <w:tl2br w:val="nil"/>
                    <w:tr2bl w:val="nil"/>
                  </w:tcBorders>
                  <w:vAlign w:val="center"/>
                </w:tcPr>
                <w:p w14:paraId="38AC78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tcBorders>
                    <w:tl2br w:val="nil"/>
                    <w:tr2bl w:val="nil"/>
                  </w:tcBorders>
                  <w:shd w:val="clear" w:color="auto" w:fill="auto"/>
                  <w:vAlign w:val="center"/>
                </w:tcPr>
                <w:p w14:paraId="26827C41">
                  <w:pPr>
                    <w:keepNext w:val="0"/>
                    <w:keepLines w:val="0"/>
                    <w:widowControl/>
                    <w:suppressLineNumbers w:val="0"/>
                    <w:jc w:val="center"/>
                    <w:textAlignment w:val="center"/>
                    <w:rPr>
                      <w:rFonts w:hint="eastAsia"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总铜</w:t>
                  </w:r>
                </w:p>
              </w:tc>
              <w:tc>
                <w:tcPr>
                  <w:tcW w:w="1232" w:type="dxa"/>
                  <w:tcBorders>
                    <w:tl2br w:val="nil"/>
                    <w:tr2bl w:val="nil"/>
                  </w:tcBorders>
                  <w:shd w:val="clear" w:color="auto" w:fill="auto"/>
                  <w:vAlign w:val="center"/>
                </w:tcPr>
                <w:p w14:paraId="7F6CF4C7">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1.4 </w:t>
                  </w:r>
                </w:p>
              </w:tc>
              <w:tc>
                <w:tcPr>
                  <w:tcW w:w="737" w:type="dxa"/>
                  <w:tcBorders>
                    <w:tl2br w:val="nil"/>
                    <w:tr2bl w:val="nil"/>
                  </w:tcBorders>
                  <w:shd w:val="clear" w:color="auto" w:fill="auto"/>
                  <w:vAlign w:val="center"/>
                </w:tcPr>
                <w:p w14:paraId="3B3A8B82">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0.00028 </w:t>
                  </w:r>
                </w:p>
              </w:tc>
              <w:tc>
                <w:tcPr>
                  <w:tcW w:w="546" w:type="dxa"/>
                  <w:vMerge w:val="continue"/>
                  <w:tcBorders>
                    <w:tl2br w:val="nil"/>
                    <w:tr2bl w:val="nil"/>
                  </w:tcBorders>
                  <w:vAlign w:val="center"/>
                </w:tcPr>
                <w:p w14:paraId="2A4C35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11179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26DF82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vAlign w:val="center"/>
                </w:tcPr>
                <w:p w14:paraId="67EE28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shd w:val="clear" w:color="auto" w:fill="auto"/>
                  <w:vAlign w:val="center"/>
                </w:tcPr>
                <w:p w14:paraId="23EB2DEA">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硫酸盐</w:t>
                  </w:r>
                </w:p>
              </w:tc>
              <w:tc>
                <w:tcPr>
                  <w:tcW w:w="1426" w:type="dxa"/>
                  <w:vAlign w:val="center"/>
                </w:tcPr>
                <w:p w14:paraId="1823C2A3">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2303.0 </w:t>
                  </w:r>
                </w:p>
              </w:tc>
              <w:tc>
                <w:tcPr>
                  <w:tcW w:w="758" w:type="dxa"/>
                  <w:vAlign w:val="center"/>
                </w:tcPr>
                <w:p w14:paraId="19F18E3F">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0.45600 </w:t>
                  </w:r>
                </w:p>
              </w:tc>
              <w:tc>
                <w:tcPr>
                  <w:tcW w:w="548" w:type="dxa"/>
                  <w:vMerge w:val="continue"/>
                  <w:vAlign w:val="center"/>
                </w:tcPr>
                <w:p w14:paraId="08A8C7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shd w:val="clear" w:color="auto" w:fill="auto"/>
                  <w:vAlign w:val="center"/>
                </w:tcPr>
                <w:p w14:paraId="29F1AC8D">
                  <w:pPr>
                    <w:keepNext w:val="0"/>
                    <w:keepLines w:val="0"/>
                    <w:widowControl/>
                    <w:suppressLineNumbers w:val="0"/>
                    <w:jc w:val="center"/>
                    <w:textAlignment w:val="center"/>
                    <w:rPr>
                      <w:rFonts w:hint="eastAsia"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硫酸盐</w:t>
                  </w:r>
                </w:p>
              </w:tc>
              <w:tc>
                <w:tcPr>
                  <w:tcW w:w="1232" w:type="dxa"/>
                  <w:shd w:val="clear" w:color="auto" w:fill="auto"/>
                  <w:vAlign w:val="center"/>
                </w:tcPr>
                <w:p w14:paraId="779EDD8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115.2 </w:t>
                  </w:r>
                </w:p>
              </w:tc>
              <w:tc>
                <w:tcPr>
                  <w:tcW w:w="737" w:type="dxa"/>
                  <w:shd w:val="clear" w:color="auto" w:fill="auto"/>
                  <w:vAlign w:val="center"/>
                </w:tcPr>
                <w:p w14:paraId="5C791CBE">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0.02281 </w:t>
                  </w:r>
                </w:p>
              </w:tc>
              <w:tc>
                <w:tcPr>
                  <w:tcW w:w="546" w:type="dxa"/>
                  <w:vMerge w:val="continue"/>
                  <w:vAlign w:val="center"/>
                </w:tcPr>
                <w:p w14:paraId="4152D7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5DF2D0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160D0D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vAlign w:val="center"/>
                </w:tcPr>
                <w:p w14:paraId="1CBCF5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shd w:val="clear" w:color="auto" w:fill="auto"/>
                  <w:vAlign w:val="center"/>
                </w:tcPr>
                <w:p w14:paraId="07FF433B">
                  <w:pPr>
                    <w:keepNext w:val="0"/>
                    <w:keepLines w:val="0"/>
                    <w:widowControl/>
                    <w:suppressLineNumbers w:val="0"/>
                    <w:jc w:val="center"/>
                    <w:textAlignment w:val="center"/>
                    <w:rPr>
                      <w:rFonts w:hint="default" w:ascii="Times New Roman" w:hAnsi="Times New Roman" w:cs="Times New Roman"/>
                      <w:b/>
                      <w:bCs/>
                      <w:color w:val="000000" w:themeColor="text1"/>
                      <w:spacing w:val="6"/>
                      <w:sz w:val="21"/>
                      <w:szCs w:val="21"/>
                      <w:lang w:val="en-US" w:eastAsia="zh-CN"/>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石油类</w:t>
                  </w:r>
                </w:p>
              </w:tc>
              <w:tc>
                <w:tcPr>
                  <w:tcW w:w="1426" w:type="dxa"/>
                  <w:vAlign w:val="center"/>
                </w:tcPr>
                <w:p w14:paraId="508AE384">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1.1 </w:t>
                  </w:r>
                </w:p>
              </w:tc>
              <w:tc>
                <w:tcPr>
                  <w:tcW w:w="758" w:type="dxa"/>
                  <w:vAlign w:val="center"/>
                </w:tcPr>
                <w:p w14:paraId="5768CD44">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0.00022 </w:t>
                  </w:r>
                </w:p>
              </w:tc>
              <w:tc>
                <w:tcPr>
                  <w:tcW w:w="548" w:type="dxa"/>
                  <w:vMerge w:val="continue"/>
                  <w:vAlign w:val="center"/>
                </w:tcPr>
                <w:p w14:paraId="08611A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shd w:val="clear" w:color="auto" w:fill="auto"/>
                  <w:vAlign w:val="center"/>
                </w:tcPr>
                <w:p w14:paraId="5209062A">
                  <w:pPr>
                    <w:keepNext w:val="0"/>
                    <w:keepLines w:val="0"/>
                    <w:widowControl/>
                    <w:suppressLineNumbers w:val="0"/>
                    <w:jc w:val="center"/>
                    <w:textAlignment w:val="center"/>
                    <w:rPr>
                      <w:rFonts w:hint="eastAsia" w:ascii="Times New Roman" w:hAnsi="Times New Roman" w:cs="Times New Roman" w:eastAsiaTheme="minorEastAsia"/>
                      <w:b/>
                      <w:bCs/>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石油类</w:t>
                  </w:r>
                </w:p>
              </w:tc>
              <w:tc>
                <w:tcPr>
                  <w:tcW w:w="1232" w:type="dxa"/>
                  <w:shd w:val="clear" w:color="auto" w:fill="auto"/>
                  <w:vAlign w:val="center"/>
                </w:tcPr>
                <w:p w14:paraId="50B03185">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0.9 </w:t>
                  </w:r>
                </w:p>
              </w:tc>
              <w:tc>
                <w:tcPr>
                  <w:tcW w:w="737" w:type="dxa"/>
                  <w:shd w:val="clear" w:color="auto" w:fill="auto"/>
                  <w:vAlign w:val="center"/>
                </w:tcPr>
                <w:p w14:paraId="5AF9A64E">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0.00018 </w:t>
                  </w:r>
                </w:p>
              </w:tc>
              <w:tc>
                <w:tcPr>
                  <w:tcW w:w="546" w:type="dxa"/>
                  <w:vMerge w:val="continue"/>
                  <w:vAlign w:val="center"/>
                </w:tcPr>
                <w:p w14:paraId="368BE7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1CFFD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6DE7E7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dxa"/>
                  <w:vMerge w:val="continue"/>
                  <w:vAlign w:val="center"/>
                </w:tcPr>
                <w:p w14:paraId="5E5012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95" w:type="dxa"/>
                  <w:shd w:val="clear" w:color="auto" w:fill="auto"/>
                  <w:vAlign w:val="center"/>
                </w:tcPr>
                <w:p w14:paraId="5B0061D1">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sz w:val="21"/>
                      <w:szCs w:val="21"/>
                      <w:lang w:val="en-US" w:eastAsia="zh-CN"/>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LAS</w:t>
                  </w:r>
                </w:p>
              </w:tc>
              <w:tc>
                <w:tcPr>
                  <w:tcW w:w="1426" w:type="dxa"/>
                  <w:vAlign w:val="center"/>
                </w:tcPr>
                <w:p w14:paraId="1837C87D">
                  <w:pPr>
                    <w:keepNext w:val="0"/>
                    <w:keepLines w:val="0"/>
                    <w:widowControl/>
                    <w:suppressLineNumbers w:val="0"/>
                    <w:jc w:val="center"/>
                    <w:textAlignment w:val="cente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0.2 </w:t>
                  </w:r>
                </w:p>
              </w:tc>
              <w:tc>
                <w:tcPr>
                  <w:tcW w:w="758" w:type="dxa"/>
                  <w:vAlign w:val="center"/>
                </w:tcPr>
                <w:p w14:paraId="7FB41761">
                  <w:pPr>
                    <w:keepNext w:val="0"/>
                    <w:keepLines w:val="0"/>
                    <w:widowControl/>
                    <w:suppressLineNumbers w:val="0"/>
                    <w:jc w:val="center"/>
                    <w:textAlignment w:val="cente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0.00004 </w:t>
                  </w:r>
                </w:p>
              </w:tc>
              <w:tc>
                <w:tcPr>
                  <w:tcW w:w="548" w:type="dxa"/>
                  <w:vMerge w:val="continue"/>
                  <w:vAlign w:val="center"/>
                </w:tcPr>
                <w:p w14:paraId="35B883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1" w:type="dxa"/>
                  <w:shd w:val="clear" w:color="auto" w:fill="auto"/>
                  <w:vAlign w:val="center"/>
                </w:tcPr>
                <w:p w14:paraId="7A52AB35">
                  <w:pPr>
                    <w:keepNext w:val="0"/>
                    <w:keepLines w:val="0"/>
                    <w:widowControl/>
                    <w:suppressLineNumbers w:val="0"/>
                    <w:jc w:val="center"/>
                    <w:textAlignment w:val="center"/>
                    <w:rPr>
                      <w:rFonts w:hint="default" w:ascii="Times New Roman" w:hAnsi="Times New Roman" w:eastAsia="宋体" w:cs="Times New Roman"/>
                      <w:b/>
                      <w:bCs/>
                      <w:color w:val="000000" w:themeColor="text1"/>
                      <w:spacing w:val="6"/>
                      <w:kern w:val="2"/>
                      <w:sz w:val="21"/>
                      <w:szCs w:val="21"/>
                      <w:lang w:val="en-US" w:eastAsia="zh-CN" w:bidi="ar-SA"/>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LAS</w:t>
                  </w:r>
                </w:p>
              </w:tc>
              <w:tc>
                <w:tcPr>
                  <w:tcW w:w="1232" w:type="dxa"/>
                  <w:shd w:val="clear" w:color="auto" w:fill="auto"/>
                  <w:vAlign w:val="center"/>
                </w:tcPr>
                <w:p w14:paraId="4D735B52">
                  <w:pPr>
                    <w:keepNext w:val="0"/>
                    <w:keepLines w:val="0"/>
                    <w:widowControl/>
                    <w:suppressLineNumbers w:val="0"/>
                    <w:jc w:val="center"/>
                    <w:textAlignment w:val="cente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0.16 </w:t>
                  </w:r>
                </w:p>
              </w:tc>
              <w:tc>
                <w:tcPr>
                  <w:tcW w:w="737" w:type="dxa"/>
                  <w:shd w:val="clear" w:color="auto" w:fill="auto"/>
                  <w:vAlign w:val="center"/>
                </w:tcPr>
                <w:p w14:paraId="0B797310">
                  <w:pPr>
                    <w:keepNext w:val="0"/>
                    <w:keepLines w:val="0"/>
                    <w:widowControl/>
                    <w:suppressLineNumbers w:val="0"/>
                    <w:jc w:val="center"/>
                    <w:textAlignment w:val="cente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 xml:space="preserve">0.00003 </w:t>
                  </w:r>
                </w:p>
              </w:tc>
              <w:tc>
                <w:tcPr>
                  <w:tcW w:w="546" w:type="dxa"/>
                  <w:vMerge w:val="continue"/>
                  <w:vAlign w:val="center"/>
                </w:tcPr>
                <w:p w14:paraId="518973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bl>
          <w:p w14:paraId="3D1BBA6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污染防治措施</w:t>
            </w:r>
          </w:p>
          <w:p w14:paraId="1268586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治理措施</w:t>
            </w:r>
          </w:p>
          <w:p w14:paraId="7CC8427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厂区实现雨污分流。</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本项目生活污水经化粪池预处理后接管至</w:t>
            </w:r>
            <w:r>
              <w:rPr>
                <w:rFonts w:hint="default" w:ascii="Times New Roman" w:hAnsi="Times New Roman" w:eastAsia="宋体" w:cs="Times New Roman"/>
                <w:color w:val="000000" w:themeColor="text1"/>
                <w:kern w:val="0"/>
                <w:sz w:val="24"/>
                <w:lang w:eastAsia="zh-CN"/>
                <w14:textFill>
                  <w14:solidFill>
                    <w14:schemeClr w14:val="tx1"/>
                  </w14:solidFill>
                </w14:textFill>
              </w:rPr>
              <w:t>金坛第二污水处理厂</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集中处理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；电解除油后喷淋废水、酸洗后喷淋废水、铜保护工序后喷淋废水、喷淋塔废水、反冲洗废水、地面清洗废水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经企业自建的污水处理站处理后，回用于生产，不外排</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29A12C1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污水处理站等区域进行防腐防渗处理。废水管线采用明管套明沟或架空敷设，各管线设置明确的标识，每股废水单独接至污水处理设施进行处理。污水处理设施管道、法兰、阀门均采用PVC材质，满足防腐以及密封要求。</w:t>
            </w:r>
          </w:p>
          <w:p w14:paraId="3B75EA4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日常运行管理：运行人员需经过培训，实行定期监控和巡检。生产废水处理后回用管线上安装流量计，并在废水处理区域安装视频监控设施，进行实时监控，且与中控室联网。企业制定回用水规章制度，并做好回用水台账记录，定期统计，确保该部分回用水能够落实回用要求。</w:t>
            </w:r>
          </w:p>
          <w:p w14:paraId="5571515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污水处理站具体工艺如下：</w:t>
            </w:r>
          </w:p>
          <w:p w14:paraId="56ADEBD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p>
          <w:p w14:paraId="62B50A5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drawing>
                <wp:inline distT="0" distB="0" distL="114300" distR="114300">
                  <wp:extent cx="4840605" cy="5186680"/>
                  <wp:effectExtent l="0" t="0" r="5715" b="1016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20"/>
                          <a:stretch>
                            <a:fillRect/>
                          </a:stretch>
                        </pic:blipFill>
                        <pic:spPr>
                          <a:xfrm>
                            <a:off x="0" y="0"/>
                            <a:ext cx="4840605" cy="5186680"/>
                          </a:xfrm>
                          <a:prstGeom prst="rect">
                            <a:avLst/>
                          </a:prstGeom>
                        </pic:spPr>
                      </pic:pic>
                    </a:graphicData>
                  </a:graphic>
                </wp:inline>
              </w:drawing>
            </w:r>
          </w:p>
          <w:p w14:paraId="4BDA1F8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图4-2  污水处理站处理工艺流程</w:t>
            </w:r>
          </w:p>
          <w:p w14:paraId="5772C76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工艺流程说明：</w:t>
            </w:r>
          </w:p>
          <w:p w14:paraId="7183E5F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企业产生的各类废水在废水调节池中进行收集，经一定的停留时间调质均匀。然后由废水提升</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泵提升至</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中和池，投加片碱，</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将PH调整至</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7~8</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左右后准备进一步反应</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4F600C6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 xml:space="preserve">在混凝剂的作用下，使废水中的胶体和细微悬浮物凝聚成絮凝体，然后进行分离处理。絮凝体具有强大吸附力，不仅能吸附悬浮物，还能吸附部分细菌和溶解性物质。正确选择絮凝剂及助凝剂，并根据水质水量的变化及时调整投药量。它通过微涡流凝聚和立体接触絮凝，充分利用混凝空间、混凝能量与絮体活性，大幅度提高了混凝反应效率。 </w:t>
            </w:r>
          </w:p>
          <w:p w14:paraId="22020DDE">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絮体经涡流反应区快速反应后，进入斜板沉淀池，斜板沉淀池是指在沉淀区内设有斜板的沉淀池，在平流式沉淀区内利用蜂窝填料分割成一系列浅层沉淀层，被处理的和沉降的沉泥在各沉淀浅层中相互运动并分离。经过沉淀的出水通过自流的方式进入清水水箱，由清水泵提升至浓缩装置。沉淀池污泥定期由隔膜泵抽吸至板框压滤机，脱水后可作为固废外运由第三方处理。</w:t>
            </w:r>
          </w:p>
          <w:p w14:paraId="34B8987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清水进入石英砂、活性炭等过滤装置，进一步去除水中的细小颗粒物与溶解性有机物、色度、异味等。</w:t>
            </w:r>
          </w:p>
          <w:p w14:paraId="37F5EB5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反渗透亦称为逆渗透，是用一定的压力使溶液中的溶剂通过反渗透膜(或称半透膜)分离出来。因为它和自然渗透的方向相反，故称反渗透。根据各种物料的不同渗透压，就可以使大于渗透压的反渗透法达到分离、提取、纯化和浓缩的目的。反渗透技术可以去除处理水中的绝大部分溶解性总固体、胶体、细菌、病毒、细菌内毒素和大部分有机物等杂质。制得的清水进入回用水箱，根据生产需求，回用于清洗线或喷淋塔；产生的反渗透浓水</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可作为固废外运由第三方处理。</w:t>
            </w:r>
          </w:p>
          <w:p w14:paraId="16C2D71C">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4"/>
                <w:szCs w:val="24"/>
                <w:lang w:val="en-US"/>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cs="Times New Roman"/>
                <w:b/>
                <w:bCs/>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b/>
                <w:bCs/>
                <w:color w:val="000000" w:themeColor="text1"/>
                <w:sz w:val="24"/>
                <w:szCs w:val="24"/>
                <w14:textFill>
                  <w14:solidFill>
                    <w14:schemeClr w14:val="tx1"/>
                  </w14:solidFill>
                </w14:textFill>
              </w:rPr>
              <w:t xml:space="preserve">  本项目</w:t>
            </w:r>
            <w:r>
              <w:rPr>
                <w:rFonts w:hint="eastAsia" w:ascii="Times New Roman" w:hAnsi="Times New Roman" w:cs="Times New Roman"/>
                <w:b/>
                <w:bCs/>
                <w:color w:val="000000" w:themeColor="text1"/>
                <w:sz w:val="24"/>
                <w:szCs w:val="24"/>
                <w:lang w:val="en-US" w:eastAsia="zh-CN"/>
                <w14:textFill>
                  <w14:solidFill>
                    <w14:schemeClr w14:val="tx1"/>
                  </w14:solidFill>
                </w14:textFill>
              </w:rPr>
              <w:t>废水处理设施设备清单</w:t>
            </w:r>
          </w:p>
          <w:tbl>
            <w:tblPr>
              <w:tblStyle w:val="85"/>
              <w:tblW w:w="0" w:type="auto"/>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02"/>
              <w:gridCol w:w="617"/>
              <w:gridCol w:w="1376"/>
              <w:gridCol w:w="4530"/>
              <w:gridCol w:w="600"/>
              <w:gridCol w:w="563"/>
            </w:tblGrid>
            <w:tr w14:paraId="635F01C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02" w:type="dxa"/>
                  <w:tcBorders>
                    <w:tl2br w:val="nil"/>
                    <w:tr2bl w:val="nil"/>
                  </w:tcBorders>
                  <w:vAlign w:val="center"/>
                </w:tcPr>
                <w:p w14:paraId="6799869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1993" w:type="dxa"/>
                  <w:gridSpan w:val="2"/>
                  <w:tcBorders>
                    <w:tl2br w:val="nil"/>
                    <w:tr2bl w:val="nil"/>
                  </w:tcBorders>
                  <w:vAlign w:val="center"/>
                </w:tcPr>
                <w:p w14:paraId="4438979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名称</w:t>
                  </w:r>
                </w:p>
              </w:tc>
              <w:tc>
                <w:tcPr>
                  <w:tcW w:w="4530" w:type="dxa"/>
                  <w:tcBorders>
                    <w:tl2br w:val="nil"/>
                    <w:tr2bl w:val="nil"/>
                  </w:tcBorders>
                  <w:vAlign w:val="center"/>
                </w:tcPr>
                <w:p w14:paraId="3B15B73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规格</w:t>
                  </w:r>
                </w:p>
              </w:tc>
              <w:tc>
                <w:tcPr>
                  <w:tcW w:w="600" w:type="dxa"/>
                  <w:tcBorders>
                    <w:tl2br w:val="nil"/>
                    <w:tr2bl w:val="nil"/>
                  </w:tcBorders>
                  <w:vAlign w:val="center"/>
                </w:tcPr>
                <w:p w14:paraId="2D40847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单位</w:t>
                  </w:r>
                </w:p>
              </w:tc>
              <w:tc>
                <w:tcPr>
                  <w:tcW w:w="563" w:type="dxa"/>
                  <w:tcBorders>
                    <w:tl2br w:val="nil"/>
                    <w:tr2bl w:val="nil"/>
                  </w:tcBorders>
                  <w:vAlign w:val="center"/>
                </w:tcPr>
                <w:p w14:paraId="4FFDD6F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数量</w:t>
                  </w:r>
                </w:p>
              </w:tc>
            </w:tr>
            <w:tr w14:paraId="428B2D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02" w:type="dxa"/>
                  <w:tcBorders>
                    <w:tl2br w:val="nil"/>
                    <w:tr2bl w:val="nil"/>
                  </w:tcBorders>
                  <w:shd w:val="clear" w:color="auto" w:fill="auto"/>
                  <w:vAlign w:val="center"/>
                </w:tcPr>
                <w:p w14:paraId="6CD555A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c>
                <w:tcPr>
                  <w:tcW w:w="617" w:type="dxa"/>
                  <w:tcBorders>
                    <w:tl2br w:val="nil"/>
                    <w:tr2bl w:val="nil"/>
                  </w:tcBorders>
                  <w:vAlign w:val="center"/>
                </w:tcPr>
                <w:p w14:paraId="7BAF509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调节池</w:t>
                  </w:r>
                </w:p>
              </w:tc>
              <w:tc>
                <w:tcPr>
                  <w:tcW w:w="1376" w:type="dxa"/>
                  <w:tcBorders>
                    <w:tl2br w:val="nil"/>
                    <w:tr2bl w:val="nil"/>
                  </w:tcBorders>
                  <w:shd w:val="clear" w:color="auto" w:fill="auto"/>
                  <w:vAlign w:val="center"/>
                </w:tcPr>
                <w:p w14:paraId="77E2800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调节池</w:t>
                  </w:r>
                </w:p>
              </w:tc>
              <w:tc>
                <w:tcPr>
                  <w:tcW w:w="4530" w:type="dxa"/>
                  <w:tcBorders>
                    <w:tl2br w:val="nil"/>
                    <w:tr2bl w:val="nil"/>
                  </w:tcBorders>
                  <w:vAlign w:val="center"/>
                </w:tcPr>
                <w:p w14:paraId="10B0E58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尺寸2.5*1*2米</w:t>
                  </w:r>
                </w:p>
              </w:tc>
              <w:tc>
                <w:tcPr>
                  <w:tcW w:w="600" w:type="dxa"/>
                  <w:tcBorders>
                    <w:tl2br w:val="nil"/>
                    <w:tr2bl w:val="nil"/>
                  </w:tcBorders>
                  <w:shd w:val="clear" w:color="auto" w:fill="auto"/>
                  <w:vAlign w:val="center"/>
                </w:tcPr>
                <w:p w14:paraId="0AE050B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tcBorders>
                    <w:tl2br w:val="nil"/>
                    <w:tr2bl w:val="nil"/>
                  </w:tcBorders>
                  <w:shd w:val="clear" w:color="auto" w:fill="auto"/>
                  <w:vAlign w:val="center"/>
                </w:tcPr>
                <w:p w14:paraId="7DEF5A5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04AEDA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244C90EC">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w:t>
                  </w:r>
                </w:p>
              </w:tc>
              <w:tc>
                <w:tcPr>
                  <w:tcW w:w="617" w:type="dxa"/>
                  <w:vMerge w:val="restart"/>
                  <w:tcBorders>
                    <w:tl2br w:val="nil"/>
                    <w:tr2bl w:val="nil"/>
                  </w:tcBorders>
                  <w:shd w:val="clear" w:color="auto" w:fill="auto"/>
                  <w:vAlign w:val="center"/>
                </w:tcPr>
                <w:p w14:paraId="081070A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斜管沉淀池</w:t>
                  </w:r>
                </w:p>
              </w:tc>
              <w:tc>
                <w:tcPr>
                  <w:tcW w:w="1376" w:type="dxa"/>
                  <w:tcBorders>
                    <w:tl2br w:val="nil"/>
                    <w:tr2bl w:val="nil"/>
                  </w:tcBorders>
                  <w:shd w:val="clear" w:color="auto" w:fill="auto"/>
                  <w:vAlign w:val="center"/>
                </w:tcPr>
                <w:p w14:paraId="3BAF247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斜管沉淀池</w:t>
                  </w:r>
                </w:p>
              </w:tc>
              <w:tc>
                <w:tcPr>
                  <w:tcW w:w="4530" w:type="dxa"/>
                  <w:tcBorders>
                    <w:tl2br w:val="nil"/>
                    <w:tr2bl w:val="nil"/>
                  </w:tcBorders>
                  <w:shd w:val="clear" w:color="auto" w:fill="auto"/>
                  <w:vAlign w:val="center"/>
                </w:tcPr>
                <w:p w14:paraId="709D467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外形尺寸：4.0*1.8*3 米，箱体尺寸：2.5*1.0*2.8 米，前端有中和区，后端含清水池</w:t>
                  </w:r>
                </w:p>
              </w:tc>
              <w:tc>
                <w:tcPr>
                  <w:tcW w:w="600" w:type="dxa"/>
                  <w:tcBorders>
                    <w:tl2br w:val="nil"/>
                    <w:tr2bl w:val="nil"/>
                  </w:tcBorders>
                  <w:shd w:val="clear" w:color="auto" w:fill="auto"/>
                  <w:vAlign w:val="center"/>
                </w:tcPr>
                <w:p w14:paraId="1DFED22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tcBorders>
                    <w:tl2br w:val="nil"/>
                    <w:tr2bl w:val="nil"/>
                  </w:tcBorders>
                  <w:shd w:val="clear" w:color="auto" w:fill="auto"/>
                  <w:vAlign w:val="center"/>
                </w:tcPr>
                <w:p w14:paraId="18271BB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4120BD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26516B5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c>
                <w:tcPr>
                  <w:tcW w:w="617" w:type="dxa"/>
                  <w:vMerge w:val="continue"/>
                  <w:tcBorders>
                    <w:tl2br w:val="nil"/>
                    <w:tr2bl w:val="nil"/>
                  </w:tcBorders>
                  <w:vAlign w:val="center"/>
                </w:tcPr>
                <w:p w14:paraId="01C57C2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tcBorders>
                    <w:tl2br w:val="nil"/>
                    <w:tr2bl w:val="nil"/>
                  </w:tcBorders>
                  <w:shd w:val="clear" w:color="auto" w:fill="auto"/>
                  <w:vAlign w:val="center"/>
                </w:tcPr>
                <w:p w14:paraId="302D727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提升泵</w:t>
                  </w:r>
                </w:p>
              </w:tc>
              <w:tc>
                <w:tcPr>
                  <w:tcW w:w="4530" w:type="dxa"/>
                  <w:tcBorders>
                    <w:tl2br w:val="nil"/>
                    <w:tr2bl w:val="nil"/>
                  </w:tcBorders>
                  <w:shd w:val="clear" w:color="auto" w:fill="auto"/>
                  <w:vAlign w:val="center"/>
                </w:tcPr>
                <w:p w14:paraId="09105DA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配套，耐腐蚀</w:t>
                  </w:r>
                </w:p>
              </w:tc>
              <w:tc>
                <w:tcPr>
                  <w:tcW w:w="600" w:type="dxa"/>
                  <w:tcBorders>
                    <w:tl2br w:val="nil"/>
                    <w:tr2bl w:val="nil"/>
                  </w:tcBorders>
                  <w:shd w:val="clear" w:color="auto" w:fill="auto"/>
                  <w:vAlign w:val="center"/>
                </w:tcPr>
                <w:p w14:paraId="70B559E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tcBorders>
                    <w:tl2br w:val="nil"/>
                    <w:tr2bl w:val="nil"/>
                  </w:tcBorders>
                  <w:shd w:val="clear" w:color="auto" w:fill="auto"/>
                  <w:vAlign w:val="center"/>
                </w:tcPr>
                <w:p w14:paraId="206C5E0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6B7C1D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630245E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4</w:t>
                  </w:r>
                </w:p>
              </w:tc>
              <w:tc>
                <w:tcPr>
                  <w:tcW w:w="617" w:type="dxa"/>
                  <w:vMerge w:val="continue"/>
                  <w:tcBorders>
                    <w:tl2br w:val="nil"/>
                    <w:tr2bl w:val="nil"/>
                  </w:tcBorders>
                  <w:shd w:val="clear" w:color="auto" w:fill="auto"/>
                  <w:vAlign w:val="center"/>
                </w:tcPr>
                <w:p w14:paraId="36C5817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en-US"/>
                      <w14:textFill>
                        <w14:solidFill>
                          <w14:schemeClr w14:val="tx1"/>
                        </w14:solidFill>
                      </w14:textFill>
                    </w:rPr>
                  </w:pPr>
                </w:p>
              </w:tc>
              <w:tc>
                <w:tcPr>
                  <w:tcW w:w="1376" w:type="dxa"/>
                  <w:tcBorders>
                    <w:tl2br w:val="nil"/>
                    <w:tr2bl w:val="nil"/>
                  </w:tcBorders>
                  <w:shd w:val="clear" w:color="auto" w:fill="auto"/>
                  <w:vAlign w:val="center"/>
                </w:tcPr>
                <w:p w14:paraId="3C9E6EDE">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PH 计</w:t>
                  </w:r>
                </w:p>
              </w:tc>
              <w:tc>
                <w:tcPr>
                  <w:tcW w:w="4530" w:type="dxa"/>
                  <w:tcBorders>
                    <w:tl2br w:val="nil"/>
                    <w:tr2bl w:val="nil"/>
                  </w:tcBorders>
                  <w:shd w:val="clear" w:color="auto" w:fill="auto"/>
                  <w:vAlign w:val="center"/>
                </w:tcPr>
                <w:p w14:paraId="1DD096E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0-14</w:t>
                  </w:r>
                </w:p>
              </w:tc>
              <w:tc>
                <w:tcPr>
                  <w:tcW w:w="600" w:type="dxa"/>
                  <w:tcBorders>
                    <w:tl2br w:val="nil"/>
                    <w:tr2bl w:val="nil"/>
                  </w:tcBorders>
                  <w:shd w:val="clear" w:color="auto" w:fill="auto"/>
                  <w:vAlign w:val="center"/>
                </w:tcPr>
                <w:p w14:paraId="4CC2592E">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tcBorders>
                    <w:tl2br w:val="nil"/>
                    <w:tr2bl w:val="nil"/>
                  </w:tcBorders>
                  <w:shd w:val="clear" w:color="auto" w:fill="auto"/>
                  <w:vAlign w:val="center"/>
                </w:tcPr>
                <w:p w14:paraId="33EA559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6C37A0F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5229C4E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w:t>
                  </w:r>
                </w:p>
              </w:tc>
              <w:tc>
                <w:tcPr>
                  <w:tcW w:w="617" w:type="dxa"/>
                  <w:vMerge w:val="continue"/>
                  <w:tcBorders>
                    <w:tl2br w:val="nil"/>
                    <w:tr2bl w:val="nil"/>
                  </w:tcBorders>
                  <w:shd w:val="clear" w:color="auto" w:fill="auto"/>
                  <w:vAlign w:val="center"/>
                </w:tcPr>
                <w:p w14:paraId="7A2D74F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en-US"/>
                      <w14:textFill>
                        <w14:solidFill>
                          <w14:schemeClr w14:val="tx1"/>
                        </w14:solidFill>
                      </w14:textFill>
                    </w:rPr>
                  </w:pPr>
                </w:p>
              </w:tc>
              <w:tc>
                <w:tcPr>
                  <w:tcW w:w="1376" w:type="dxa"/>
                  <w:tcBorders>
                    <w:tl2br w:val="nil"/>
                    <w:tr2bl w:val="nil"/>
                  </w:tcBorders>
                  <w:shd w:val="clear" w:color="auto" w:fill="auto"/>
                  <w:vAlign w:val="center"/>
                </w:tcPr>
                <w:p w14:paraId="5F6E9C4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混凝搅拌</w:t>
                  </w:r>
                </w:p>
              </w:tc>
              <w:tc>
                <w:tcPr>
                  <w:tcW w:w="4530" w:type="dxa"/>
                  <w:tcBorders>
                    <w:tl2br w:val="nil"/>
                    <w:tr2bl w:val="nil"/>
                  </w:tcBorders>
                  <w:shd w:val="clear" w:color="auto" w:fill="auto"/>
                  <w:vAlign w:val="center"/>
                </w:tcPr>
                <w:p w14:paraId="3521943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标配</w:t>
                  </w:r>
                </w:p>
              </w:tc>
              <w:tc>
                <w:tcPr>
                  <w:tcW w:w="600" w:type="dxa"/>
                  <w:tcBorders>
                    <w:tl2br w:val="nil"/>
                    <w:tr2bl w:val="nil"/>
                  </w:tcBorders>
                  <w:shd w:val="clear" w:color="auto" w:fill="auto"/>
                  <w:vAlign w:val="center"/>
                </w:tcPr>
                <w:p w14:paraId="76FD1F3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个</w:t>
                  </w:r>
                </w:p>
              </w:tc>
              <w:tc>
                <w:tcPr>
                  <w:tcW w:w="563" w:type="dxa"/>
                  <w:tcBorders>
                    <w:tl2br w:val="nil"/>
                    <w:tr2bl w:val="nil"/>
                  </w:tcBorders>
                  <w:shd w:val="clear" w:color="auto" w:fill="auto"/>
                  <w:vAlign w:val="center"/>
                </w:tcPr>
                <w:p w14:paraId="543FA57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r>
            <w:tr w14:paraId="2155D1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1675BD2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6</w:t>
                  </w:r>
                </w:p>
              </w:tc>
              <w:tc>
                <w:tcPr>
                  <w:tcW w:w="617" w:type="dxa"/>
                  <w:vMerge w:val="continue"/>
                  <w:tcBorders>
                    <w:tl2br w:val="nil"/>
                    <w:tr2bl w:val="nil"/>
                  </w:tcBorders>
                  <w:shd w:val="clear" w:color="auto" w:fill="auto"/>
                  <w:vAlign w:val="center"/>
                </w:tcPr>
                <w:p w14:paraId="09DED2B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tcBorders>
                    <w:tl2br w:val="nil"/>
                    <w:tr2bl w:val="nil"/>
                  </w:tcBorders>
                  <w:shd w:val="clear" w:color="auto" w:fill="auto"/>
                  <w:vAlign w:val="center"/>
                </w:tcPr>
                <w:p w14:paraId="5449F95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溶药桶</w:t>
                  </w:r>
                </w:p>
              </w:tc>
              <w:tc>
                <w:tcPr>
                  <w:tcW w:w="4530" w:type="dxa"/>
                  <w:tcBorders>
                    <w:tl2br w:val="nil"/>
                    <w:tr2bl w:val="nil"/>
                  </w:tcBorders>
                  <w:shd w:val="clear" w:color="auto" w:fill="auto"/>
                  <w:vAlign w:val="center"/>
                </w:tcPr>
                <w:p w14:paraId="2F3AEAF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100L  PE桶</w:t>
                  </w:r>
                </w:p>
              </w:tc>
              <w:tc>
                <w:tcPr>
                  <w:tcW w:w="600" w:type="dxa"/>
                  <w:tcBorders>
                    <w:tl2br w:val="nil"/>
                    <w:tr2bl w:val="nil"/>
                  </w:tcBorders>
                  <w:shd w:val="clear" w:color="auto" w:fill="auto"/>
                  <w:vAlign w:val="center"/>
                </w:tcPr>
                <w:p w14:paraId="4E575EB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tcBorders>
                    <w:tl2br w:val="nil"/>
                    <w:tr2bl w:val="nil"/>
                  </w:tcBorders>
                  <w:shd w:val="clear" w:color="auto" w:fill="auto"/>
                  <w:vAlign w:val="center"/>
                </w:tcPr>
                <w:p w14:paraId="4621E2D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r>
            <w:tr w14:paraId="5A0C13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vAlign w:val="center"/>
                </w:tcPr>
                <w:p w14:paraId="3494AFA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7</w:t>
                  </w:r>
                </w:p>
              </w:tc>
              <w:tc>
                <w:tcPr>
                  <w:tcW w:w="617" w:type="dxa"/>
                  <w:vMerge w:val="continue"/>
                  <w:tcBorders>
                    <w:tl2br w:val="nil"/>
                    <w:tr2bl w:val="nil"/>
                  </w:tcBorders>
                  <w:shd w:val="clear" w:color="auto" w:fill="auto"/>
                  <w:vAlign w:val="center"/>
                </w:tcPr>
                <w:p w14:paraId="44FA7AF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en-US"/>
                      <w14:textFill>
                        <w14:solidFill>
                          <w14:schemeClr w14:val="tx1"/>
                        </w14:solidFill>
                      </w14:textFill>
                    </w:rPr>
                  </w:pPr>
                </w:p>
              </w:tc>
              <w:tc>
                <w:tcPr>
                  <w:tcW w:w="1376" w:type="dxa"/>
                  <w:tcBorders>
                    <w:tl2br w:val="nil"/>
                    <w:tr2bl w:val="nil"/>
                  </w:tcBorders>
                  <w:shd w:val="clear" w:color="auto" w:fill="auto"/>
                  <w:vAlign w:val="center"/>
                </w:tcPr>
                <w:p w14:paraId="06F71F8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搅拌机</w:t>
                  </w:r>
                </w:p>
              </w:tc>
              <w:tc>
                <w:tcPr>
                  <w:tcW w:w="4530" w:type="dxa"/>
                  <w:tcBorders>
                    <w:tl2br w:val="nil"/>
                    <w:tr2bl w:val="nil"/>
                  </w:tcBorders>
                  <w:shd w:val="clear" w:color="auto" w:fill="auto"/>
                  <w:vAlign w:val="center"/>
                </w:tcPr>
                <w:p w14:paraId="0CF2CB0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N=0.14kw</w:t>
                  </w:r>
                </w:p>
              </w:tc>
              <w:tc>
                <w:tcPr>
                  <w:tcW w:w="600" w:type="dxa"/>
                  <w:tcBorders>
                    <w:tl2br w:val="nil"/>
                    <w:tr2bl w:val="nil"/>
                  </w:tcBorders>
                  <w:shd w:val="clear" w:color="auto" w:fill="auto"/>
                  <w:vAlign w:val="center"/>
                </w:tcPr>
                <w:p w14:paraId="0317BF3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tcBorders>
                    <w:tl2br w:val="nil"/>
                    <w:tr2bl w:val="nil"/>
                  </w:tcBorders>
                  <w:shd w:val="clear" w:color="auto" w:fill="auto"/>
                  <w:vAlign w:val="center"/>
                </w:tcPr>
                <w:p w14:paraId="33191B9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r>
            <w:tr w14:paraId="487959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5503FBC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8</w:t>
                  </w:r>
                </w:p>
              </w:tc>
              <w:tc>
                <w:tcPr>
                  <w:tcW w:w="617" w:type="dxa"/>
                  <w:vMerge w:val="continue"/>
                  <w:tcBorders>
                    <w:tl2br w:val="nil"/>
                    <w:tr2bl w:val="nil"/>
                  </w:tcBorders>
                  <w:shd w:val="clear" w:color="auto" w:fill="auto"/>
                  <w:vAlign w:val="center"/>
                </w:tcPr>
                <w:p w14:paraId="6FFA781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en-US"/>
                      <w14:textFill>
                        <w14:solidFill>
                          <w14:schemeClr w14:val="tx1"/>
                        </w14:solidFill>
                      </w14:textFill>
                    </w:rPr>
                  </w:pPr>
                </w:p>
              </w:tc>
              <w:tc>
                <w:tcPr>
                  <w:tcW w:w="1376" w:type="dxa"/>
                  <w:tcBorders>
                    <w:tl2br w:val="nil"/>
                    <w:tr2bl w:val="nil"/>
                  </w:tcBorders>
                  <w:shd w:val="clear" w:color="auto" w:fill="auto"/>
                  <w:vAlign w:val="center"/>
                </w:tcPr>
                <w:p w14:paraId="57F570E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计量泵</w:t>
                  </w:r>
                </w:p>
              </w:tc>
              <w:tc>
                <w:tcPr>
                  <w:tcW w:w="4530" w:type="dxa"/>
                  <w:tcBorders>
                    <w:tl2br w:val="nil"/>
                    <w:tr2bl w:val="nil"/>
                  </w:tcBorders>
                  <w:shd w:val="clear" w:color="auto" w:fill="auto"/>
                  <w:vAlign w:val="center"/>
                </w:tcPr>
                <w:p w14:paraId="521EE9D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Q=9L/h</w:t>
                  </w:r>
                </w:p>
              </w:tc>
              <w:tc>
                <w:tcPr>
                  <w:tcW w:w="600" w:type="dxa"/>
                  <w:tcBorders>
                    <w:tl2br w:val="nil"/>
                    <w:tr2bl w:val="nil"/>
                  </w:tcBorders>
                  <w:shd w:val="clear" w:color="auto" w:fill="auto"/>
                  <w:vAlign w:val="center"/>
                </w:tcPr>
                <w:p w14:paraId="41EF082C">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tcBorders>
                    <w:tl2br w:val="nil"/>
                    <w:tr2bl w:val="nil"/>
                  </w:tcBorders>
                  <w:shd w:val="clear" w:color="auto" w:fill="auto"/>
                  <w:vAlign w:val="center"/>
                </w:tcPr>
                <w:p w14:paraId="6FF4BCD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r>
            <w:tr w14:paraId="1A9569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vAlign w:val="center"/>
                </w:tcPr>
                <w:p w14:paraId="1335D06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pacing w:val="7"/>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7"/>
                      <w:sz w:val="21"/>
                      <w:szCs w:val="21"/>
                      <w:lang w:val="en-US" w:eastAsia="zh-CN"/>
                      <w14:textFill>
                        <w14:solidFill>
                          <w14:schemeClr w14:val="tx1"/>
                        </w14:solidFill>
                      </w14:textFill>
                    </w:rPr>
                    <w:t>9</w:t>
                  </w:r>
                </w:p>
              </w:tc>
              <w:tc>
                <w:tcPr>
                  <w:tcW w:w="617" w:type="dxa"/>
                  <w:vMerge w:val="restart"/>
                  <w:tcBorders>
                    <w:tl2br w:val="nil"/>
                    <w:tr2bl w:val="nil"/>
                  </w:tcBorders>
                  <w:vAlign w:val="center"/>
                </w:tcPr>
                <w:p w14:paraId="58927DD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板框压滤机</w:t>
                  </w:r>
                </w:p>
              </w:tc>
              <w:tc>
                <w:tcPr>
                  <w:tcW w:w="1376" w:type="dxa"/>
                  <w:tcBorders>
                    <w:tl2br w:val="nil"/>
                    <w:tr2bl w:val="nil"/>
                  </w:tcBorders>
                  <w:shd w:val="clear" w:color="auto" w:fill="auto"/>
                  <w:vAlign w:val="center"/>
                </w:tcPr>
                <w:p w14:paraId="5A2EE0A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板框压滤机</w:t>
                  </w:r>
                </w:p>
              </w:tc>
              <w:tc>
                <w:tcPr>
                  <w:tcW w:w="4530" w:type="dxa"/>
                  <w:tcBorders>
                    <w:tl2br w:val="nil"/>
                    <w:tr2bl w:val="nil"/>
                  </w:tcBorders>
                  <w:shd w:val="clear" w:color="auto" w:fill="auto"/>
                  <w:vAlign w:val="center"/>
                </w:tcPr>
                <w:p w14:paraId="70FDAA7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外形尺寸：1.32*0.54*0.8 米，过滤面积2.5㎡</w:t>
                  </w:r>
                </w:p>
              </w:tc>
              <w:tc>
                <w:tcPr>
                  <w:tcW w:w="600" w:type="dxa"/>
                  <w:tcBorders>
                    <w:tl2br w:val="nil"/>
                    <w:tr2bl w:val="nil"/>
                  </w:tcBorders>
                  <w:shd w:val="clear" w:color="auto" w:fill="auto"/>
                  <w:vAlign w:val="center"/>
                </w:tcPr>
                <w:p w14:paraId="4ED73FD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tcBorders>
                    <w:tl2br w:val="nil"/>
                    <w:tr2bl w:val="nil"/>
                  </w:tcBorders>
                  <w:shd w:val="clear" w:color="auto" w:fill="auto"/>
                  <w:vAlign w:val="center"/>
                </w:tcPr>
                <w:p w14:paraId="2D5D10A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6399B3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shd w:val="clear" w:color="auto" w:fill="auto"/>
                  <w:vAlign w:val="center"/>
                </w:tcPr>
                <w:p w14:paraId="5D046EB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000000" w:themeColor="text1"/>
                      <w:spacing w:val="7"/>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7"/>
                      <w:kern w:val="2"/>
                      <w:sz w:val="21"/>
                      <w:szCs w:val="21"/>
                      <w:lang w:val="en-US" w:eastAsia="zh-CN" w:bidi="ar-SA"/>
                      <w14:textFill>
                        <w14:solidFill>
                          <w14:schemeClr w14:val="tx1"/>
                        </w14:solidFill>
                      </w14:textFill>
                    </w:rPr>
                    <w:t>10</w:t>
                  </w:r>
                </w:p>
              </w:tc>
              <w:tc>
                <w:tcPr>
                  <w:tcW w:w="617" w:type="dxa"/>
                  <w:vMerge w:val="continue"/>
                  <w:tcBorders>
                    <w:tl2br w:val="nil"/>
                    <w:tr2bl w:val="nil"/>
                  </w:tcBorders>
                  <w:shd w:val="clear" w:color="auto" w:fill="auto"/>
                  <w:vAlign w:val="center"/>
                </w:tcPr>
                <w:p w14:paraId="6953D0A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en-US"/>
                      <w14:textFill>
                        <w14:solidFill>
                          <w14:schemeClr w14:val="tx1"/>
                        </w14:solidFill>
                      </w14:textFill>
                    </w:rPr>
                  </w:pPr>
                </w:p>
              </w:tc>
              <w:tc>
                <w:tcPr>
                  <w:tcW w:w="1376" w:type="dxa"/>
                  <w:tcBorders>
                    <w:tl2br w:val="nil"/>
                    <w:tr2bl w:val="nil"/>
                  </w:tcBorders>
                  <w:shd w:val="clear" w:color="auto" w:fill="auto"/>
                  <w:vAlign w:val="center"/>
                </w:tcPr>
                <w:p w14:paraId="646D000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隔膜泵</w:t>
                  </w:r>
                </w:p>
              </w:tc>
              <w:tc>
                <w:tcPr>
                  <w:tcW w:w="4530" w:type="dxa"/>
                  <w:tcBorders>
                    <w:tl2br w:val="nil"/>
                    <w:tr2bl w:val="nil"/>
                  </w:tcBorders>
                  <w:shd w:val="clear" w:color="auto" w:fill="auto"/>
                  <w:vAlign w:val="center"/>
                </w:tcPr>
                <w:p w14:paraId="205527C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G20-1</w:t>
                  </w:r>
                </w:p>
              </w:tc>
              <w:tc>
                <w:tcPr>
                  <w:tcW w:w="600" w:type="dxa"/>
                  <w:tcBorders>
                    <w:tl2br w:val="nil"/>
                    <w:tr2bl w:val="nil"/>
                  </w:tcBorders>
                  <w:shd w:val="clear" w:color="auto" w:fill="auto"/>
                  <w:vAlign w:val="center"/>
                </w:tcPr>
                <w:p w14:paraId="1DCBD21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tcBorders>
                    <w:tl2br w:val="nil"/>
                    <w:tr2bl w:val="nil"/>
                  </w:tcBorders>
                  <w:shd w:val="clear" w:color="auto" w:fill="auto"/>
                  <w:vAlign w:val="center"/>
                </w:tcPr>
                <w:p w14:paraId="509D660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42BB56A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tcBorders>
                    <w:tl2br w:val="nil"/>
                    <w:tr2bl w:val="nil"/>
                  </w:tcBorders>
                  <w:vAlign w:val="center"/>
                </w:tcPr>
                <w:p w14:paraId="2DADF55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11</w:t>
                  </w:r>
                </w:p>
              </w:tc>
              <w:tc>
                <w:tcPr>
                  <w:tcW w:w="617" w:type="dxa"/>
                  <w:vMerge w:val="continue"/>
                  <w:tcBorders>
                    <w:tl2br w:val="nil"/>
                    <w:tr2bl w:val="nil"/>
                  </w:tcBorders>
                  <w:vAlign w:val="center"/>
                </w:tcPr>
                <w:p w14:paraId="19F393F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tcBorders>
                    <w:tl2br w:val="nil"/>
                    <w:tr2bl w:val="nil"/>
                  </w:tcBorders>
                  <w:shd w:val="clear" w:color="auto" w:fill="auto"/>
                  <w:vAlign w:val="center"/>
                </w:tcPr>
                <w:p w14:paraId="60536E4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PAM 溶药桶</w:t>
                  </w:r>
                </w:p>
              </w:tc>
              <w:tc>
                <w:tcPr>
                  <w:tcW w:w="4530" w:type="dxa"/>
                  <w:tcBorders>
                    <w:tl2br w:val="nil"/>
                    <w:tr2bl w:val="nil"/>
                  </w:tcBorders>
                  <w:shd w:val="clear" w:color="auto" w:fill="auto"/>
                  <w:vAlign w:val="center"/>
                </w:tcPr>
                <w:p w14:paraId="02D14F0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100L  PE桶</w:t>
                  </w:r>
                </w:p>
              </w:tc>
              <w:tc>
                <w:tcPr>
                  <w:tcW w:w="600" w:type="dxa"/>
                  <w:tcBorders>
                    <w:tl2br w:val="nil"/>
                    <w:tr2bl w:val="nil"/>
                  </w:tcBorders>
                  <w:shd w:val="clear" w:color="auto" w:fill="auto"/>
                  <w:vAlign w:val="center"/>
                </w:tcPr>
                <w:p w14:paraId="406DDF0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tcBorders>
                    <w:tl2br w:val="nil"/>
                    <w:tr2bl w:val="nil"/>
                  </w:tcBorders>
                  <w:shd w:val="clear" w:color="auto" w:fill="auto"/>
                  <w:vAlign w:val="center"/>
                </w:tcPr>
                <w:p w14:paraId="29C2432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7D2B1C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23B497A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12</w:t>
                  </w:r>
                </w:p>
              </w:tc>
              <w:tc>
                <w:tcPr>
                  <w:tcW w:w="617" w:type="dxa"/>
                  <w:vMerge w:val="continue"/>
                  <w:vAlign w:val="center"/>
                </w:tcPr>
                <w:p w14:paraId="6C2F39D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59293F5E">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PAM 搅拌机</w:t>
                  </w:r>
                </w:p>
              </w:tc>
              <w:tc>
                <w:tcPr>
                  <w:tcW w:w="4530" w:type="dxa"/>
                  <w:shd w:val="clear" w:color="auto" w:fill="auto"/>
                  <w:vAlign w:val="center"/>
                </w:tcPr>
                <w:p w14:paraId="5A47BC7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N=0.14kw</w:t>
                  </w:r>
                </w:p>
              </w:tc>
              <w:tc>
                <w:tcPr>
                  <w:tcW w:w="600" w:type="dxa"/>
                  <w:shd w:val="clear" w:color="auto" w:fill="auto"/>
                  <w:vAlign w:val="center"/>
                </w:tcPr>
                <w:p w14:paraId="16D6792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shd w:val="clear" w:color="auto" w:fill="auto"/>
                  <w:vAlign w:val="center"/>
                </w:tcPr>
                <w:p w14:paraId="66ECC2D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2F2FBD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69F06F1C">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13</w:t>
                  </w:r>
                </w:p>
              </w:tc>
              <w:tc>
                <w:tcPr>
                  <w:tcW w:w="617" w:type="dxa"/>
                  <w:vMerge w:val="continue"/>
                  <w:vAlign w:val="center"/>
                </w:tcPr>
                <w:p w14:paraId="2535C92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3AC1D47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PAM 计量泵</w:t>
                  </w:r>
                </w:p>
              </w:tc>
              <w:tc>
                <w:tcPr>
                  <w:tcW w:w="4530" w:type="dxa"/>
                  <w:shd w:val="clear" w:color="auto" w:fill="auto"/>
                  <w:vAlign w:val="center"/>
                </w:tcPr>
                <w:p w14:paraId="1C82D0A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Q=9L/h</w:t>
                  </w:r>
                </w:p>
              </w:tc>
              <w:tc>
                <w:tcPr>
                  <w:tcW w:w="600" w:type="dxa"/>
                  <w:shd w:val="clear" w:color="auto" w:fill="auto"/>
                  <w:vAlign w:val="center"/>
                </w:tcPr>
                <w:p w14:paraId="4A50B63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shd w:val="clear" w:color="auto" w:fill="auto"/>
                  <w:vAlign w:val="center"/>
                </w:tcPr>
                <w:p w14:paraId="054AB7D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46AA15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3FFF5AD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w:t>
                  </w:r>
                </w:p>
              </w:tc>
              <w:tc>
                <w:tcPr>
                  <w:tcW w:w="617" w:type="dxa"/>
                  <w:vMerge w:val="restart"/>
                  <w:vAlign w:val="center"/>
                </w:tcPr>
                <w:p w14:paraId="577BBCC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浓缩装置</w:t>
                  </w:r>
                </w:p>
              </w:tc>
              <w:tc>
                <w:tcPr>
                  <w:tcW w:w="1376" w:type="dxa"/>
                  <w:shd w:val="clear" w:color="auto" w:fill="auto"/>
                  <w:vAlign w:val="center"/>
                </w:tcPr>
                <w:p w14:paraId="4EBF31A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反渗透机主</w:t>
                  </w:r>
                </w:p>
              </w:tc>
              <w:tc>
                <w:tcPr>
                  <w:tcW w:w="4530" w:type="dxa"/>
                  <w:shd w:val="clear" w:color="auto" w:fill="auto"/>
                  <w:vAlign w:val="center"/>
                </w:tcPr>
                <w:p w14:paraId="359819B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外形尺寸：2.0*1.0*2.0米，过滤面积2.5㎡</w:t>
                  </w:r>
                </w:p>
              </w:tc>
              <w:tc>
                <w:tcPr>
                  <w:tcW w:w="600" w:type="dxa"/>
                  <w:shd w:val="clear" w:color="auto" w:fill="auto"/>
                  <w:vAlign w:val="center"/>
                </w:tcPr>
                <w:p w14:paraId="0C46827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shd w:val="clear" w:color="auto" w:fill="auto"/>
                  <w:vAlign w:val="center"/>
                </w:tcPr>
                <w:p w14:paraId="1B7F46D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3CCE42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2FFFBCF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w:t>
                  </w:r>
                </w:p>
              </w:tc>
              <w:tc>
                <w:tcPr>
                  <w:tcW w:w="617" w:type="dxa"/>
                  <w:vMerge w:val="continue"/>
                  <w:vAlign w:val="center"/>
                </w:tcPr>
                <w:p w14:paraId="7F87B25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2D2C392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原水提升泵</w:t>
                  </w:r>
                </w:p>
              </w:tc>
              <w:tc>
                <w:tcPr>
                  <w:tcW w:w="4530" w:type="dxa"/>
                  <w:shd w:val="clear" w:color="auto" w:fill="auto"/>
                  <w:vAlign w:val="center"/>
                </w:tcPr>
                <w:p w14:paraId="60C2CDB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CHL4-40</w:t>
                  </w:r>
                </w:p>
              </w:tc>
              <w:tc>
                <w:tcPr>
                  <w:tcW w:w="600" w:type="dxa"/>
                  <w:shd w:val="clear" w:color="auto" w:fill="auto"/>
                  <w:vAlign w:val="center"/>
                </w:tcPr>
                <w:p w14:paraId="144886D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shd w:val="clear" w:color="auto" w:fill="auto"/>
                  <w:vAlign w:val="center"/>
                </w:tcPr>
                <w:p w14:paraId="3922B7A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635BFC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3756B3B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16</w:t>
                  </w:r>
                </w:p>
              </w:tc>
              <w:tc>
                <w:tcPr>
                  <w:tcW w:w="617" w:type="dxa"/>
                  <w:vMerge w:val="continue"/>
                  <w:vAlign w:val="center"/>
                </w:tcPr>
                <w:p w14:paraId="27326D7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1ADCF1E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石英砂过滤器</w:t>
                  </w:r>
                </w:p>
              </w:tc>
              <w:tc>
                <w:tcPr>
                  <w:tcW w:w="4530" w:type="dxa"/>
                  <w:shd w:val="clear" w:color="auto" w:fill="auto"/>
                  <w:vAlign w:val="center"/>
                </w:tcPr>
                <w:p w14:paraId="6109803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100L  PE桶</w:t>
                  </w:r>
                </w:p>
              </w:tc>
              <w:tc>
                <w:tcPr>
                  <w:tcW w:w="600" w:type="dxa"/>
                  <w:shd w:val="clear" w:color="auto" w:fill="auto"/>
                  <w:vAlign w:val="center"/>
                </w:tcPr>
                <w:p w14:paraId="278C48F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shd w:val="clear" w:color="auto" w:fill="auto"/>
                  <w:vAlign w:val="center"/>
                </w:tcPr>
                <w:p w14:paraId="28555B7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07468C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432A2B8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17</w:t>
                  </w:r>
                </w:p>
              </w:tc>
              <w:tc>
                <w:tcPr>
                  <w:tcW w:w="617" w:type="dxa"/>
                  <w:vMerge w:val="continue"/>
                  <w:vAlign w:val="center"/>
                </w:tcPr>
                <w:p w14:paraId="39D4882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14D7164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活性炭过滤器</w:t>
                  </w:r>
                </w:p>
              </w:tc>
              <w:tc>
                <w:tcPr>
                  <w:tcW w:w="4530" w:type="dxa"/>
                  <w:shd w:val="clear" w:color="auto" w:fill="auto"/>
                  <w:vAlign w:val="center"/>
                </w:tcPr>
                <w:p w14:paraId="07C5419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N=0.14kw</w:t>
                  </w:r>
                </w:p>
              </w:tc>
              <w:tc>
                <w:tcPr>
                  <w:tcW w:w="600" w:type="dxa"/>
                  <w:shd w:val="clear" w:color="auto" w:fill="auto"/>
                  <w:vAlign w:val="center"/>
                </w:tcPr>
                <w:p w14:paraId="59ED56A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套</w:t>
                  </w:r>
                </w:p>
              </w:tc>
              <w:tc>
                <w:tcPr>
                  <w:tcW w:w="563" w:type="dxa"/>
                  <w:shd w:val="clear" w:color="auto" w:fill="auto"/>
                  <w:vAlign w:val="center"/>
                </w:tcPr>
                <w:p w14:paraId="2772966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74F579A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5E92228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18</w:t>
                  </w:r>
                </w:p>
              </w:tc>
              <w:tc>
                <w:tcPr>
                  <w:tcW w:w="617" w:type="dxa"/>
                  <w:vMerge w:val="continue"/>
                  <w:vAlign w:val="center"/>
                </w:tcPr>
                <w:p w14:paraId="186574F3">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3AE4DB2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保安过滤器</w:t>
                  </w:r>
                </w:p>
              </w:tc>
              <w:tc>
                <w:tcPr>
                  <w:tcW w:w="4530" w:type="dxa"/>
                  <w:shd w:val="clear" w:color="auto" w:fill="auto"/>
                  <w:vAlign w:val="center"/>
                </w:tcPr>
                <w:p w14:paraId="42889F0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HP5-20</w:t>
                  </w:r>
                </w:p>
              </w:tc>
              <w:tc>
                <w:tcPr>
                  <w:tcW w:w="600" w:type="dxa"/>
                  <w:shd w:val="clear" w:color="auto" w:fill="auto"/>
                  <w:vAlign w:val="center"/>
                </w:tcPr>
                <w:p w14:paraId="2DAC953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shd w:val="clear" w:color="auto" w:fill="auto"/>
                  <w:vAlign w:val="center"/>
                </w:tcPr>
                <w:p w14:paraId="0510633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12E553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4151D68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19</w:t>
                  </w:r>
                </w:p>
              </w:tc>
              <w:tc>
                <w:tcPr>
                  <w:tcW w:w="617" w:type="dxa"/>
                  <w:vMerge w:val="continue"/>
                  <w:vAlign w:val="center"/>
                </w:tcPr>
                <w:p w14:paraId="3673AF1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2253DC3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一级高压泵</w:t>
                  </w:r>
                </w:p>
              </w:tc>
              <w:tc>
                <w:tcPr>
                  <w:tcW w:w="4530" w:type="dxa"/>
                  <w:shd w:val="clear" w:color="auto" w:fill="auto"/>
                  <w:vAlign w:val="center"/>
                </w:tcPr>
                <w:p w14:paraId="0D5F8EA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CDLF2-14</w:t>
                  </w:r>
                </w:p>
              </w:tc>
              <w:tc>
                <w:tcPr>
                  <w:tcW w:w="600" w:type="dxa"/>
                  <w:shd w:val="clear" w:color="auto" w:fill="auto"/>
                  <w:vAlign w:val="center"/>
                </w:tcPr>
                <w:p w14:paraId="52DD977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shd w:val="clear" w:color="auto" w:fill="auto"/>
                  <w:vAlign w:val="center"/>
                </w:tcPr>
                <w:p w14:paraId="23FB98D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0EDCCB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0379CDA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20</w:t>
                  </w:r>
                </w:p>
              </w:tc>
              <w:tc>
                <w:tcPr>
                  <w:tcW w:w="617" w:type="dxa"/>
                  <w:vMerge w:val="continue"/>
                  <w:vAlign w:val="center"/>
                </w:tcPr>
                <w:p w14:paraId="3894064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5E04223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玻璃钢膜壳</w:t>
                  </w:r>
                </w:p>
              </w:tc>
              <w:tc>
                <w:tcPr>
                  <w:tcW w:w="4530" w:type="dxa"/>
                  <w:shd w:val="clear" w:color="auto" w:fill="auto"/>
                  <w:vAlign w:val="center"/>
                </w:tcPr>
                <w:p w14:paraId="5A6F2A0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8040-1</w:t>
                  </w:r>
                </w:p>
              </w:tc>
              <w:tc>
                <w:tcPr>
                  <w:tcW w:w="600" w:type="dxa"/>
                  <w:shd w:val="clear" w:color="auto" w:fill="auto"/>
                  <w:vAlign w:val="center"/>
                </w:tcPr>
                <w:p w14:paraId="2CF0513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支</w:t>
                  </w:r>
                </w:p>
              </w:tc>
              <w:tc>
                <w:tcPr>
                  <w:tcW w:w="563" w:type="dxa"/>
                  <w:shd w:val="clear" w:color="auto" w:fill="auto"/>
                  <w:vAlign w:val="center"/>
                </w:tcPr>
                <w:p w14:paraId="18CA19E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w:t>
                  </w:r>
                </w:p>
              </w:tc>
            </w:tr>
            <w:tr w14:paraId="434417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72E0E10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21</w:t>
                  </w:r>
                </w:p>
              </w:tc>
              <w:tc>
                <w:tcPr>
                  <w:tcW w:w="617" w:type="dxa"/>
                  <w:vMerge w:val="continue"/>
                  <w:vAlign w:val="center"/>
                </w:tcPr>
                <w:p w14:paraId="6583364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256AFF8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反渗透膜</w:t>
                  </w:r>
                </w:p>
              </w:tc>
              <w:tc>
                <w:tcPr>
                  <w:tcW w:w="4530" w:type="dxa"/>
                  <w:shd w:val="clear" w:color="auto" w:fill="auto"/>
                  <w:vAlign w:val="center"/>
                </w:tcPr>
                <w:p w14:paraId="197E4037">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8040</w:t>
                  </w:r>
                </w:p>
              </w:tc>
              <w:tc>
                <w:tcPr>
                  <w:tcW w:w="600" w:type="dxa"/>
                  <w:shd w:val="clear" w:color="auto" w:fill="auto"/>
                  <w:vAlign w:val="center"/>
                </w:tcPr>
                <w:p w14:paraId="3E314832">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支</w:t>
                  </w:r>
                </w:p>
              </w:tc>
              <w:tc>
                <w:tcPr>
                  <w:tcW w:w="563" w:type="dxa"/>
                  <w:shd w:val="clear" w:color="auto" w:fill="auto"/>
                  <w:vAlign w:val="center"/>
                </w:tcPr>
                <w:p w14:paraId="3A1632F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w:t>
                  </w:r>
                </w:p>
              </w:tc>
            </w:tr>
            <w:tr w14:paraId="0FD673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2" w:type="dxa"/>
                  <w:vAlign w:val="center"/>
                </w:tcPr>
                <w:p w14:paraId="124FE6F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22</w:t>
                  </w:r>
                </w:p>
              </w:tc>
              <w:tc>
                <w:tcPr>
                  <w:tcW w:w="617" w:type="dxa"/>
                  <w:vMerge w:val="continue"/>
                  <w:vAlign w:val="center"/>
                </w:tcPr>
                <w:p w14:paraId="35C900E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76" w:type="dxa"/>
                  <w:shd w:val="clear" w:color="auto" w:fill="auto"/>
                  <w:vAlign w:val="center"/>
                </w:tcPr>
                <w:p w14:paraId="2BE60489">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储存水箱</w:t>
                  </w:r>
                </w:p>
              </w:tc>
              <w:tc>
                <w:tcPr>
                  <w:tcW w:w="4530" w:type="dxa"/>
                  <w:shd w:val="clear" w:color="auto" w:fill="auto"/>
                  <w:vAlign w:val="center"/>
                </w:tcPr>
                <w:p w14:paraId="47E8480E">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1.5T</w:t>
                  </w:r>
                </w:p>
              </w:tc>
              <w:tc>
                <w:tcPr>
                  <w:tcW w:w="600" w:type="dxa"/>
                  <w:shd w:val="clear" w:color="auto" w:fill="auto"/>
                  <w:vAlign w:val="center"/>
                </w:tcPr>
                <w:p w14:paraId="31C0D66C">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台</w:t>
                  </w:r>
                </w:p>
              </w:tc>
              <w:tc>
                <w:tcPr>
                  <w:tcW w:w="563" w:type="dxa"/>
                  <w:shd w:val="clear" w:color="auto" w:fill="auto"/>
                  <w:vAlign w:val="center"/>
                </w:tcPr>
                <w:p w14:paraId="09AAE35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w:t>
                  </w:r>
                </w:p>
              </w:tc>
            </w:tr>
          </w:tbl>
          <w:p w14:paraId="3F7A9F85">
            <w:pPr>
              <w:keepNext w:val="0"/>
              <w:keepLines w:val="0"/>
              <w:pageBreakBefore w:val="0"/>
              <w:widowControl w:val="0"/>
              <w:kinsoku/>
              <w:wordWrap/>
              <w:overflowPunct/>
              <w:topLinePunct w:val="0"/>
              <w:autoSpaceDE/>
              <w:autoSpaceDN/>
              <w:bidi w:val="0"/>
              <w:adjustRightInd/>
              <w:snapToGrid/>
              <w:spacing w:line="360" w:lineRule="auto"/>
              <w:ind w:left="0" w:right="0" w:rightChars="0" w:firstLine="452" w:firstLineChars="200"/>
              <w:textAlignment w:val="auto"/>
              <w:rPr>
                <w:rFonts w:hint="default" w:ascii="Times New Roman" w:hAnsi="Times New Roman" w:eastAsia="宋体" w:cs="Times New Roman"/>
                <w:color w:val="000000" w:themeColor="text1"/>
                <w:spacing w:val="-7"/>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4"/>
                <w:szCs w:val="24"/>
                <w:lang w:val="en-US" w:eastAsia="zh-CN" w:bidi="ar-SA"/>
                <w14:textFill>
                  <w14:solidFill>
                    <w14:schemeClr w14:val="tx1"/>
                  </w14:solidFill>
                </w14:textFill>
              </w:rPr>
              <w:t>（2）可行性分析</w:t>
            </w:r>
          </w:p>
          <w:p w14:paraId="3C71E498">
            <w:pPr>
              <w:keepNext w:val="0"/>
              <w:keepLines w:val="0"/>
              <w:pageBreakBefore w:val="0"/>
              <w:widowControl w:val="0"/>
              <w:kinsoku/>
              <w:wordWrap/>
              <w:overflowPunct/>
              <w:topLinePunct w:val="0"/>
              <w:autoSpaceDE/>
              <w:autoSpaceDN/>
              <w:bidi w:val="0"/>
              <w:adjustRightInd/>
              <w:snapToGrid/>
              <w:spacing w:line="360" w:lineRule="auto"/>
              <w:ind w:left="0" w:right="0" w:rightChars="0" w:firstLine="452" w:firstLineChars="200"/>
              <w:textAlignment w:val="auto"/>
              <w:rPr>
                <w:rFonts w:hint="eastAsia" w:ascii="Times New Roman" w:hAnsi="Times New Roman" w:eastAsia="宋体" w:cs="Times New Roman"/>
                <w:color w:val="000000" w:themeColor="text1"/>
                <w:spacing w:val="-7"/>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4"/>
                <w:szCs w:val="24"/>
                <w:lang w:val="en-US" w:eastAsia="zh-CN" w:bidi="ar-SA"/>
                <w14:textFill>
                  <w14:solidFill>
                    <w14:schemeClr w14:val="tx1"/>
                  </w14:solidFill>
                </w14:textFill>
              </w:rPr>
              <w:t>①设计处理能力可行性分析</w:t>
            </w:r>
          </w:p>
          <w:p w14:paraId="3B83E70F">
            <w:pPr>
              <w:keepNext w:val="0"/>
              <w:keepLines w:val="0"/>
              <w:pageBreakBefore w:val="0"/>
              <w:widowControl w:val="0"/>
              <w:kinsoku/>
              <w:wordWrap/>
              <w:overflowPunct/>
              <w:topLinePunct w:val="0"/>
              <w:autoSpaceDE/>
              <w:autoSpaceDN/>
              <w:bidi w:val="0"/>
              <w:adjustRightInd/>
              <w:snapToGrid/>
              <w:spacing w:line="360" w:lineRule="auto"/>
              <w:ind w:left="0" w:right="0" w:rightChars="0" w:firstLine="452"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7"/>
                <w:kern w:val="2"/>
                <w:sz w:val="24"/>
                <w:szCs w:val="24"/>
                <w:lang w:val="en-US" w:eastAsia="zh-CN" w:bidi="ar-SA"/>
                <w14:textFill>
                  <w14:solidFill>
                    <w14:schemeClr w14:val="tx1"/>
                  </w14:solidFill>
                </w14:textFill>
              </w:rPr>
              <w:t>本项</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目污水量</w:t>
            </w:r>
            <w:r>
              <w:rPr>
                <w:rFonts w:hint="eastAsia" w:ascii="Times New Roman" w:hAnsi="Times New Roman" w:eastAsia="宋体" w:cs="Times New Roman"/>
                <w:color w:val="000000" w:themeColor="text1"/>
                <w:sz w:val="24"/>
                <w:lang w:val="en-US" w:eastAsia="zh-CN"/>
                <w14:textFill>
                  <w14:solidFill>
                    <w14:schemeClr w14:val="tx1"/>
                  </w14:solidFill>
                </w14:textFill>
              </w:rPr>
              <w:t>198</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/a，预计每天处理量</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约0.7</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，污水站</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设计</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处理规模为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/d，在污水站处理能力范围内。</w:t>
            </w:r>
          </w:p>
          <w:p w14:paraId="3664831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本项目污水周期性产生，考虑三条清洗线同时运行，倒槽时废水最大产生量约为4</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，本项目调节池容积为5</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，可满足本项目最大污水产生情况收集处理。</w:t>
            </w:r>
          </w:p>
          <w:p w14:paraId="13B5174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②出水水质分析可行性分析</w:t>
            </w:r>
          </w:p>
          <w:p w14:paraId="521BC5B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本项目污水处理设施预处理效果见下表。</w:t>
            </w:r>
          </w:p>
          <w:p w14:paraId="3C84B46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cs="Times New Roman"/>
                <w:b/>
                <w:bCs/>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szCs w:val="24"/>
                <w14:textFill>
                  <w14:solidFill>
                    <w14:schemeClr w14:val="tx1"/>
                  </w14:solidFill>
                </w14:textFill>
              </w:rPr>
              <w:t xml:space="preserve">  本项目</w:t>
            </w:r>
            <w:r>
              <w:rPr>
                <w:rFonts w:hint="eastAsia" w:ascii="Times New Roman" w:hAnsi="Times New Roman" w:cs="Times New Roman"/>
                <w:b/>
                <w:bCs/>
                <w:color w:val="000000" w:themeColor="text1"/>
                <w:sz w:val="24"/>
                <w:szCs w:val="24"/>
                <w:lang w:val="en-US" w:eastAsia="zh-CN"/>
                <w14:textFill>
                  <w14:solidFill>
                    <w14:schemeClr w14:val="tx1"/>
                  </w14:solidFill>
                </w14:textFill>
              </w:rPr>
              <w:t>综合废水</w:t>
            </w:r>
            <w:r>
              <w:rPr>
                <w:rFonts w:hint="default" w:ascii="Times New Roman" w:hAnsi="Times New Roman" w:eastAsia="宋体" w:cs="Times New Roman"/>
                <w:b/>
                <w:bCs/>
                <w:color w:val="000000" w:themeColor="text1"/>
                <w:sz w:val="24"/>
                <w:szCs w:val="24"/>
                <w14:textFill>
                  <w14:solidFill>
                    <w14:schemeClr w14:val="tx1"/>
                  </w14:solidFill>
                </w14:textFill>
              </w:rPr>
              <w:t>设计进出水浓度及处理效率一览表（mg/L)</w:t>
            </w:r>
          </w:p>
          <w:tbl>
            <w:tblPr>
              <w:tblStyle w:val="85"/>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66"/>
              <w:gridCol w:w="943"/>
              <w:gridCol w:w="659"/>
              <w:gridCol w:w="607"/>
              <w:gridCol w:w="680"/>
              <w:gridCol w:w="830"/>
              <w:gridCol w:w="592"/>
              <w:gridCol w:w="592"/>
              <w:gridCol w:w="592"/>
              <w:gridCol w:w="594"/>
              <w:gridCol w:w="594"/>
              <w:gridCol w:w="678"/>
              <w:gridCol w:w="678"/>
            </w:tblGrid>
            <w:tr w14:paraId="5D56E6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81" w:type="pct"/>
                  <w:gridSpan w:val="2"/>
                  <w:tcBorders>
                    <w:tl2br w:val="nil"/>
                    <w:tr2bl w:val="nil"/>
                  </w:tcBorders>
                  <w:vAlign w:val="center"/>
                </w:tcPr>
                <w:p w14:paraId="2BB6F29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废水种类</w:t>
                  </w:r>
                </w:p>
              </w:tc>
              <w:tc>
                <w:tcPr>
                  <w:tcW w:w="355" w:type="pct"/>
                  <w:tcBorders>
                    <w:tl2br w:val="nil"/>
                    <w:tr2bl w:val="nil"/>
                  </w:tcBorders>
                  <w:vAlign w:val="center"/>
                </w:tcPr>
                <w:p w14:paraId="27EA13F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pH</w:t>
                  </w:r>
                </w:p>
              </w:tc>
              <w:tc>
                <w:tcPr>
                  <w:tcW w:w="355" w:type="pct"/>
                  <w:tcBorders>
                    <w:tl2br w:val="nil"/>
                    <w:tr2bl w:val="nil"/>
                  </w:tcBorders>
                  <w:vAlign w:val="center"/>
                </w:tcPr>
                <w:p w14:paraId="3E6ACED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COD</w:t>
                  </w:r>
                </w:p>
              </w:tc>
              <w:tc>
                <w:tcPr>
                  <w:tcW w:w="397" w:type="pct"/>
                  <w:tcBorders>
                    <w:tl2br w:val="nil"/>
                    <w:tr2bl w:val="nil"/>
                  </w:tcBorders>
                  <w:vAlign w:val="center"/>
                </w:tcPr>
                <w:p w14:paraId="384A23B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SS</w:t>
                  </w:r>
                </w:p>
              </w:tc>
              <w:tc>
                <w:tcPr>
                  <w:tcW w:w="484" w:type="pct"/>
                  <w:tcBorders>
                    <w:tl2br w:val="nil"/>
                    <w:tr2bl w:val="nil"/>
                  </w:tcBorders>
                  <w:vAlign w:val="center"/>
                </w:tcPr>
                <w:p w14:paraId="693704B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总溶解性固体</w:t>
                  </w:r>
                </w:p>
              </w:tc>
              <w:tc>
                <w:tcPr>
                  <w:tcW w:w="346" w:type="pct"/>
                  <w:tcBorders>
                    <w:tl2br w:val="nil"/>
                    <w:tr2bl w:val="nil"/>
                  </w:tcBorders>
                  <w:vAlign w:val="center"/>
                </w:tcPr>
                <w:p w14:paraId="6318621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总铜</w:t>
                  </w:r>
                </w:p>
              </w:tc>
              <w:tc>
                <w:tcPr>
                  <w:tcW w:w="346" w:type="pct"/>
                  <w:tcBorders>
                    <w:tl2br w:val="nil"/>
                    <w:tr2bl w:val="nil"/>
                  </w:tcBorders>
                  <w:vAlign w:val="center"/>
                </w:tcPr>
                <w:p w14:paraId="51E9E0A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石油类</w:t>
                  </w:r>
                </w:p>
              </w:tc>
              <w:tc>
                <w:tcPr>
                  <w:tcW w:w="346" w:type="pct"/>
                  <w:tcBorders>
                    <w:tl2br w:val="nil"/>
                    <w:tr2bl w:val="nil"/>
                  </w:tcBorders>
                  <w:vAlign w:val="center"/>
                </w:tcPr>
                <w:p w14:paraId="7ED6478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氨氮</w:t>
                  </w:r>
                </w:p>
              </w:tc>
              <w:tc>
                <w:tcPr>
                  <w:tcW w:w="347" w:type="pct"/>
                  <w:tcBorders>
                    <w:tl2br w:val="nil"/>
                    <w:tr2bl w:val="nil"/>
                  </w:tcBorders>
                  <w:vAlign w:val="center"/>
                </w:tcPr>
                <w:p w14:paraId="066E10C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TP</w:t>
                  </w:r>
                </w:p>
              </w:tc>
              <w:tc>
                <w:tcPr>
                  <w:tcW w:w="347" w:type="pct"/>
                  <w:tcBorders>
                    <w:tl2br w:val="nil"/>
                    <w:tr2bl w:val="nil"/>
                  </w:tcBorders>
                  <w:vAlign w:val="center"/>
                </w:tcPr>
                <w:p w14:paraId="0225482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TN</w:t>
                  </w:r>
                </w:p>
              </w:tc>
              <w:tc>
                <w:tcPr>
                  <w:tcW w:w="396" w:type="pct"/>
                  <w:tcBorders>
                    <w:tl2br w:val="nil"/>
                    <w:tr2bl w:val="nil"/>
                  </w:tcBorders>
                  <w:vAlign w:val="center"/>
                </w:tcPr>
                <w:p w14:paraId="7346F89A">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硫酸盐</w:t>
                  </w:r>
                </w:p>
              </w:tc>
              <w:tc>
                <w:tcPr>
                  <w:tcW w:w="396" w:type="pct"/>
                  <w:tcBorders>
                    <w:tl2br w:val="nil"/>
                    <w:tr2bl w:val="nil"/>
                  </w:tcBorders>
                  <w:vAlign w:val="center"/>
                </w:tcPr>
                <w:p w14:paraId="01F7BEEB">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LAS</w:t>
                  </w:r>
                </w:p>
              </w:tc>
            </w:tr>
            <w:tr w14:paraId="1A85F0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restart"/>
                  <w:tcBorders>
                    <w:tl2br w:val="nil"/>
                    <w:tr2bl w:val="nil"/>
                  </w:tcBorders>
                  <w:vAlign w:val="center"/>
                </w:tcPr>
                <w:p w14:paraId="126704C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lang w:val="en-US" w:eastAsia="zh-CN"/>
                      <w14:textFill>
                        <w14:solidFill>
                          <w14:schemeClr w14:val="tx1"/>
                        </w14:solidFill>
                      </w14:textFill>
                    </w:rPr>
                    <w:t>中和</w:t>
                  </w:r>
                </w:p>
              </w:tc>
              <w:tc>
                <w:tcPr>
                  <w:tcW w:w="550" w:type="pct"/>
                  <w:tcBorders>
                    <w:tl2br w:val="nil"/>
                    <w:tr2bl w:val="nil"/>
                  </w:tcBorders>
                  <w:shd w:val="clear" w:color="auto" w:fill="auto"/>
                  <w:vAlign w:val="center"/>
                </w:tcPr>
                <w:p w14:paraId="113DE739">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进水（mg/L）</w:t>
                  </w:r>
                </w:p>
              </w:tc>
              <w:tc>
                <w:tcPr>
                  <w:tcW w:w="355" w:type="pct"/>
                  <w:tcBorders>
                    <w:tl2br w:val="nil"/>
                    <w:tr2bl w:val="nil"/>
                  </w:tcBorders>
                  <w:shd w:val="clear" w:color="auto" w:fill="auto"/>
                  <w:vAlign w:val="center"/>
                </w:tcPr>
                <w:p w14:paraId="53217AA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7"/>
                      <w:sz w:val="21"/>
                      <w:szCs w:val="21"/>
                      <w:lang w:val="en-US" w:eastAsia="zh-CN"/>
                      <w14:textFill>
                        <w14:solidFill>
                          <w14:schemeClr w14:val="tx1"/>
                        </w14:solidFill>
                      </w14:textFill>
                    </w:rPr>
                    <w:t>4~6</w:t>
                  </w:r>
                </w:p>
              </w:tc>
              <w:tc>
                <w:tcPr>
                  <w:tcW w:w="609" w:type="dxa"/>
                  <w:tcBorders>
                    <w:tl2br w:val="nil"/>
                    <w:tr2bl w:val="nil"/>
                  </w:tcBorders>
                  <w:shd w:val="clear" w:color="auto" w:fill="auto"/>
                  <w:vAlign w:val="center"/>
                </w:tcPr>
                <w:p w14:paraId="48A5E66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213.5</w:t>
                  </w:r>
                </w:p>
              </w:tc>
              <w:tc>
                <w:tcPr>
                  <w:tcW w:w="682" w:type="dxa"/>
                  <w:tcBorders>
                    <w:tl2br w:val="nil"/>
                    <w:tr2bl w:val="nil"/>
                  </w:tcBorders>
                  <w:shd w:val="clear" w:color="auto" w:fill="auto"/>
                  <w:vAlign w:val="center"/>
                </w:tcPr>
                <w:p w14:paraId="394F5A38">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38.4</w:t>
                  </w:r>
                </w:p>
              </w:tc>
              <w:tc>
                <w:tcPr>
                  <w:tcW w:w="831" w:type="dxa"/>
                  <w:tcBorders>
                    <w:tl2br w:val="nil"/>
                    <w:tr2bl w:val="nil"/>
                  </w:tcBorders>
                  <w:shd w:val="clear" w:color="auto" w:fill="auto"/>
                  <w:vAlign w:val="center"/>
                </w:tcPr>
                <w:p w14:paraId="2AC56DE6">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2.7</w:t>
                  </w:r>
                </w:p>
              </w:tc>
              <w:tc>
                <w:tcPr>
                  <w:tcW w:w="594" w:type="dxa"/>
                  <w:tcBorders>
                    <w:tl2br w:val="nil"/>
                    <w:tr2bl w:val="nil"/>
                  </w:tcBorders>
                  <w:shd w:val="clear" w:color="auto" w:fill="auto"/>
                  <w:vAlign w:val="center"/>
                </w:tcPr>
                <w:p w14:paraId="36EEC04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7.7</w:t>
                  </w:r>
                </w:p>
              </w:tc>
              <w:tc>
                <w:tcPr>
                  <w:tcW w:w="594" w:type="dxa"/>
                  <w:tcBorders>
                    <w:tl2br w:val="nil"/>
                    <w:tr2bl w:val="nil"/>
                  </w:tcBorders>
                  <w:shd w:val="clear" w:color="auto" w:fill="auto"/>
                  <w:vAlign w:val="center"/>
                </w:tcPr>
                <w:p w14:paraId="2B77A9F6">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4.1</w:t>
                  </w:r>
                </w:p>
              </w:tc>
              <w:tc>
                <w:tcPr>
                  <w:tcW w:w="594" w:type="dxa"/>
                  <w:tcBorders>
                    <w:tl2br w:val="nil"/>
                    <w:tr2bl w:val="nil"/>
                  </w:tcBorders>
                  <w:shd w:val="clear" w:color="auto" w:fill="auto"/>
                  <w:vAlign w:val="center"/>
                </w:tcPr>
                <w:p w14:paraId="7544DB93">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4191.9</w:t>
                  </w:r>
                </w:p>
              </w:tc>
              <w:tc>
                <w:tcPr>
                  <w:tcW w:w="596" w:type="dxa"/>
                  <w:tcBorders>
                    <w:tl2br w:val="nil"/>
                    <w:tr2bl w:val="nil"/>
                  </w:tcBorders>
                  <w:shd w:val="clear" w:color="auto" w:fill="auto"/>
                  <w:vAlign w:val="center"/>
                </w:tcPr>
                <w:p w14:paraId="7D6E6689">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13.6</w:t>
                  </w:r>
                </w:p>
              </w:tc>
              <w:tc>
                <w:tcPr>
                  <w:tcW w:w="596" w:type="dxa"/>
                  <w:tcBorders>
                    <w:tl2br w:val="nil"/>
                    <w:tr2bl w:val="nil"/>
                  </w:tcBorders>
                  <w:shd w:val="clear" w:color="auto" w:fill="auto"/>
                  <w:vAlign w:val="center"/>
                </w:tcPr>
                <w:p w14:paraId="051EEE6F">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2303</w:t>
                  </w:r>
                </w:p>
              </w:tc>
              <w:tc>
                <w:tcPr>
                  <w:tcW w:w="680" w:type="dxa"/>
                  <w:tcBorders>
                    <w:tl2br w:val="nil"/>
                    <w:tr2bl w:val="nil"/>
                  </w:tcBorders>
                  <w:shd w:val="clear" w:color="auto" w:fill="auto"/>
                  <w:vAlign w:val="center"/>
                </w:tcPr>
                <w:p w14:paraId="465FF859">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w:t>
                  </w:r>
                </w:p>
              </w:tc>
              <w:tc>
                <w:tcPr>
                  <w:tcW w:w="680" w:type="dxa"/>
                  <w:tcBorders>
                    <w:tl2br w:val="nil"/>
                    <w:tr2bl w:val="nil"/>
                  </w:tcBorders>
                  <w:shd w:val="clear" w:color="auto" w:fill="auto"/>
                  <w:vAlign w:val="center"/>
                </w:tcPr>
                <w:p w14:paraId="4EBDF3C5">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0.2</w:t>
                  </w:r>
                </w:p>
              </w:tc>
            </w:tr>
            <w:tr w14:paraId="37BD1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continue"/>
                  <w:tcBorders>
                    <w:tl2br w:val="nil"/>
                    <w:tr2bl w:val="nil"/>
                  </w:tcBorders>
                  <w:vAlign w:val="center"/>
                </w:tcPr>
                <w:p w14:paraId="76E6F91D">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p>
              </w:tc>
              <w:tc>
                <w:tcPr>
                  <w:tcW w:w="550" w:type="pct"/>
                  <w:tcBorders>
                    <w:tl2br w:val="nil"/>
                    <w:tr2bl w:val="nil"/>
                  </w:tcBorders>
                  <w:shd w:val="clear" w:color="auto" w:fill="auto"/>
                  <w:vAlign w:val="center"/>
                </w:tcPr>
                <w:p w14:paraId="300D113C">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处理效率（%）</w:t>
                  </w:r>
                </w:p>
              </w:tc>
              <w:tc>
                <w:tcPr>
                  <w:tcW w:w="355" w:type="pct"/>
                  <w:tcBorders>
                    <w:tl2br w:val="nil"/>
                    <w:tr2bl w:val="nil"/>
                  </w:tcBorders>
                  <w:vAlign w:val="center"/>
                </w:tcPr>
                <w:p w14:paraId="710CDA03">
                  <w:pPr>
                    <w:jc w:val="center"/>
                    <w:rPr>
                      <w:rFonts w:hint="default"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w:t>
                  </w:r>
                </w:p>
              </w:tc>
              <w:tc>
                <w:tcPr>
                  <w:tcW w:w="609" w:type="dxa"/>
                  <w:tcBorders>
                    <w:tl2br w:val="nil"/>
                    <w:tr2bl w:val="nil"/>
                  </w:tcBorders>
                  <w:vAlign w:val="center"/>
                </w:tcPr>
                <w:p w14:paraId="6D40F96E">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213.5</w:t>
                  </w:r>
                </w:p>
              </w:tc>
              <w:tc>
                <w:tcPr>
                  <w:tcW w:w="682" w:type="dxa"/>
                  <w:tcBorders>
                    <w:tl2br w:val="nil"/>
                    <w:tr2bl w:val="nil"/>
                  </w:tcBorders>
                  <w:vAlign w:val="center"/>
                </w:tcPr>
                <w:p w14:paraId="079E926C">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38.4</w:t>
                  </w:r>
                </w:p>
              </w:tc>
              <w:tc>
                <w:tcPr>
                  <w:tcW w:w="831" w:type="dxa"/>
                  <w:tcBorders>
                    <w:tl2br w:val="nil"/>
                    <w:tr2bl w:val="nil"/>
                  </w:tcBorders>
                  <w:vAlign w:val="center"/>
                </w:tcPr>
                <w:p w14:paraId="19BDD3FE">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2.7</w:t>
                  </w:r>
                </w:p>
              </w:tc>
              <w:tc>
                <w:tcPr>
                  <w:tcW w:w="594" w:type="dxa"/>
                  <w:tcBorders>
                    <w:tl2br w:val="nil"/>
                    <w:tr2bl w:val="nil"/>
                  </w:tcBorders>
                  <w:vAlign w:val="center"/>
                </w:tcPr>
                <w:p w14:paraId="2219A1DD">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7.7</w:t>
                  </w:r>
                </w:p>
              </w:tc>
              <w:tc>
                <w:tcPr>
                  <w:tcW w:w="594" w:type="dxa"/>
                  <w:tcBorders>
                    <w:tl2br w:val="nil"/>
                    <w:tr2bl w:val="nil"/>
                  </w:tcBorders>
                  <w:vAlign w:val="center"/>
                </w:tcPr>
                <w:p w14:paraId="4DBC65D3">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4.1</w:t>
                  </w:r>
                </w:p>
              </w:tc>
              <w:tc>
                <w:tcPr>
                  <w:tcW w:w="594" w:type="dxa"/>
                  <w:tcBorders>
                    <w:tl2br w:val="nil"/>
                    <w:tr2bl w:val="nil"/>
                  </w:tcBorders>
                  <w:vAlign w:val="center"/>
                </w:tcPr>
                <w:p w14:paraId="0DD4BD8F">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4191.9</w:t>
                  </w:r>
                </w:p>
              </w:tc>
              <w:tc>
                <w:tcPr>
                  <w:tcW w:w="596" w:type="dxa"/>
                  <w:tcBorders>
                    <w:tl2br w:val="nil"/>
                    <w:tr2bl w:val="nil"/>
                  </w:tcBorders>
                  <w:vAlign w:val="center"/>
                </w:tcPr>
                <w:p w14:paraId="67CC3548">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13.6</w:t>
                  </w:r>
                </w:p>
              </w:tc>
              <w:tc>
                <w:tcPr>
                  <w:tcW w:w="596" w:type="dxa"/>
                  <w:tcBorders>
                    <w:tl2br w:val="nil"/>
                    <w:tr2bl w:val="nil"/>
                  </w:tcBorders>
                  <w:vAlign w:val="center"/>
                </w:tcPr>
                <w:p w14:paraId="72C9A4BA">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2303</w:t>
                  </w:r>
                </w:p>
              </w:tc>
              <w:tc>
                <w:tcPr>
                  <w:tcW w:w="680" w:type="dxa"/>
                  <w:tcBorders>
                    <w:tl2br w:val="nil"/>
                    <w:tr2bl w:val="nil"/>
                  </w:tcBorders>
                  <w:vAlign w:val="center"/>
                </w:tcPr>
                <w:p w14:paraId="5091040F">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w:t>
                  </w:r>
                </w:p>
              </w:tc>
              <w:tc>
                <w:tcPr>
                  <w:tcW w:w="680" w:type="dxa"/>
                  <w:tcBorders>
                    <w:tl2br w:val="nil"/>
                    <w:tr2bl w:val="nil"/>
                  </w:tcBorders>
                  <w:vAlign w:val="center"/>
                </w:tcPr>
                <w:p w14:paraId="550D4DFB">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0.2</w:t>
                  </w:r>
                </w:p>
              </w:tc>
            </w:tr>
            <w:tr w14:paraId="77A33B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continue"/>
                  <w:tcBorders>
                    <w:tl2br w:val="nil"/>
                    <w:tr2bl w:val="nil"/>
                  </w:tcBorders>
                  <w:vAlign w:val="center"/>
                </w:tcPr>
                <w:p w14:paraId="28133408">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p>
              </w:tc>
              <w:tc>
                <w:tcPr>
                  <w:tcW w:w="550" w:type="pct"/>
                  <w:tcBorders>
                    <w:tl2br w:val="nil"/>
                    <w:tr2bl w:val="nil"/>
                  </w:tcBorders>
                  <w:shd w:val="clear" w:color="auto" w:fill="auto"/>
                  <w:vAlign w:val="center"/>
                </w:tcPr>
                <w:p w14:paraId="4F7578F4">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出水（mg/L）</w:t>
                  </w:r>
                </w:p>
              </w:tc>
              <w:tc>
                <w:tcPr>
                  <w:tcW w:w="355" w:type="pct"/>
                  <w:tcBorders>
                    <w:tl2br w:val="nil"/>
                    <w:tr2bl w:val="nil"/>
                  </w:tcBorders>
                  <w:shd w:val="clear" w:color="auto" w:fill="auto"/>
                  <w:vAlign w:val="center"/>
                </w:tcPr>
                <w:p w14:paraId="0BE9CA1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7"/>
                      <w:kern w:val="2"/>
                      <w:sz w:val="21"/>
                      <w:szCs w:val="21"/>
                      <w:lang w:val="en-US" w:eastAsia="zh-CN" w:bidi="ar-SA"/>
                      <w14:textFill>
                        <w14:solidFill>
                          <w14:schemeClr w14:val="tx1"/>
                        </w14:solidFill>
                      </w14:textFill>
                    </w:rPr>
                    <w:t>7</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~8</w:t>
                  </w:r>
                </w:p>
              </w:tc>
              <w:tc>
                <w:tcPr>
                  <w:tcW w:w="609" w:type="dxa"/>
                  <w:tcBorders>
                    <w:tl2br w:val="nil"/>
                    <w:tr2bl w:val="nil"/>
                  </w:tcBorders>
                  <w:shd w:val="clear" w:color="auto" w:fill="auto"/>
                  <w:vAlign w:val="center"/>
                </w:tcPr>
                <w:p w14:paraId="4D16E848">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682" w:type="dxa"/>
                  <w:tcBorders>
                    <w:tl2br w:val="nil"/>
                    <w:tr2bl w:val="nil"/>
                  </w:tcBorders>
                  <w:shd w:val="clear" w:color="auto" w:fill="auto"/>
                  <w:vAlign w:val="center"/>
                </w:tcPr>
                <w:p w14:paraId="77D67725">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831" w:type="dxa"/>
                  <w:tcBorders>
                    <w:tl2br w:val="nil"/>
                    <w:tr2bl w:val="nil"/>
                  </w:tcBorders>
                  <w:shd w:val="clear" w:color="auto" w:fill="auto"/>
                  <w:vAlign w:val="center"/>
                </w:tcPr>
                <w:p w14:paraId="3DB3ABDA">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dxa"/>
                  <w:tcBorders>
                    <w:tl2br w:val="nil"/>
                    <w:tr2bl w:val="nil"/>
                  </w:tcBorders>
                  <w:shd w:val="clear" w:color="auto" w:fill="auto"/>
                  <w:vAlign w:val="center"/>
                </w:tcPr>
                <w:p w14:paraId="094A1FCA">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dxa"/>
                  <w:tcBorders>
                    <w:tl2br w:val="nil"/>
                    <w:tr2bl w:val="nil"/>
                  </w:tcBorders>
                  <w:shd w:val="clear" w:color="auto" w:fill="auto"/>
                  <w:vAlign w:val="center"/>
                </w:tcPr>
                <w:p w14:paraId="14438864">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dxa"/>
                  <w:tcBorders>
                    <w:tl2br w:val="nil"/>
                    <w:tr2bl w:val="nil"/>
                  </w:tcBorders>
                  <w:shd w:val="clear" w:color="auto" w:fill="auto"/>
                  <w:vAlign w:val="center"/>
                </w:tcPr>
                <w:p w14:paraId="5D6EF0A6">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6" w:type="dxa"/>
                  <w:tcBorders>
                    <w:tl2br w:val="nil"/>
                    <w:tr2bl w:val="nil"/>
                  </w:tcBorders>
                  <w:shd w:val="clear" w:color="auto" w:fill="auto"/>
                  <w:vAlign w:val="center"/>
                </w:tcPr>
                <w:p w14:paraId="144E43DC">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6" w:type="dxa"/>
                  <w:tcBorders>
                    <w:tl2br w:val="nil"/>
                    <w:tr2bl w:val="nil"/>
                  </w:tcBorders>
                  <w:shd w:val="clear" w:color="auto" w:fill="auto"/>
                  <w:vAlign w:val="center"/>
                </w:tcPr>
                <w:p w14:paraId="657270B7">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680" w:type="dxa"/>
                  <w:tcBorders>
                    <w:tl2br w:val="nil"/>
                    <w:tr2bl w:val="nil"/>
                  </w:tcBorders>
                  <w:shd w:val="clear" w:color="auto" w:fill="auto"/>
                  <w:vAlign w:val="center"/>
                </w:tcPr>
                <w:p w14:paraId="2574CFBC">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680" w:type="dxa"/>
                  <w:tcBorders>
                    <w:tl2br w:val="nil"/>
                    <w:tr2bl w:val="nil"/>
                  </w:tcBorders>
                  <w:shd w:val="clear" w:color="auto" w:fill="auto"/>
                  <w:vAlign w:val="center"/>
                </w:tcPr>
                <w:p w14:paraId="02DFA429">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r>
            <w:tr w14:paraId="095F17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restart"/>
                  <w:tcBorders>
                    <w:tl2br w:val="nil"/>
                    <w:tr2bl w:val="nil"/>
                  </w:tcBorders>
                  <w:vAlign w:val="center"/>
                </w:tcPr>
                <w:p w14:paraId="19769AD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lang w:val="en-US" w:eastAsia="zh-CN"/>
                      <w14:textFill>
                        <w14:solidFill>
                          <w14:schemeClr w14:val="tx1"/>
                        </w14:solidFill>
                      </w14:textFill>
                    </w:rPr>
                    <w:t>絮凝、沉淀</w:t>
                  </w:r>
                </w:p>
              </w:tc>
              <w:tc>
                <w:tcPr>
                  <w:tcW w:w="550" w:type="pct"/>
                  <w:tcBorders>
                    <w:tl2br w:val="nil"/>
                    <w:tr2bl w:val="nil"/>
                  </w:tcBorders>
                  <w:shd w:val="clear" w:color="auto" w:fill="auto"/>
                  <w:vAlign w:val="center"/>
                </w:tcPr>
                <w:p w14:paraId="36CD7FBD">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进水（mg/L）</w:t>
                  </w:r>
                </w:p>
              </w:tc>
              <w:tc>
                <w:tcPr>
                  <w:tcW w:w="355" w:type="pct"/>
                  <w:tcBorders>
                    <w:tl2br w:val="nil"/>
                    <w:tr2bl w:val="nil"/>
                  </w:tcBorders>
                  <w:shd w:val="clear" w:color="auto" w:fill="auto"/>
                  <w:vAlign w:val="center"/>
                </w:tcPr>
                <w:p w14:paraId="5A3F085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7"/>
                      <w:kern w:val="2"/>
                      <w:sz w:val="21"/>
                      <w:szCs w:val="21"/>
                      <w:lang w:val="en-US" w:eastAsia="zh-CN" w:bidi="ar-SA"/>
                      <w14:textFill>
                        <w14:solidFill>
                          <w14:schemeClr w14:val="tx1"/>
                        </w14:solidFill>
                      </w14:textFill>
                    </w:rPr>
                    <w:t>7</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~8</w:t>
                  </w:r>
                </w:p>
              </w:tc>
              <w:tc>
                <w:tcPr>
                  <w:tcW w:w="609" w:type="dxa"/>
                  <w:tcBorders>
                    <w:tl2br w:val="nil"/>
                    <w:tr2bl w:val="nil"/>
                  </w:tcBorders>
                  <w:shd w:val="clear" w:color="auto" w:fill="auto"/>
                  <w:vAlign w:val="center"/>
                </w:tcPr>
                <w:p w14:paraId="41CF971F">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213.5 </w:t>
                  </w:r>
                </w:p>
              </w:tc>
              <w:tc>
                <w:tcPr>
                  <w:tcW w:w="682" w:type="dxa"/>
                  <w:tcBorders>
                    <w:tl2br w:val="nil"/>
                    <w:tr2bl w:val="nil"/>
                  </w:tcBorders>
                  <w:shd w:val="clear" w:color="auto" w:fill="auto"/>
                  <w:vAlign w:val="center"/>
                </w:tcPr>
                <w:p w14:paraId="0754BC34">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38.4 </w:t>
                  </w:r>
                </w:p>
              </w:tc>
              <w:tc>
                <w:tcPr>
                  <w:tcW w:w="831" w:type="dxa"/>
                  <w:tcBorders>
                    <w:tl2br w:val="nil"/>
                    <w:tr2bl w:val="nil"/>
                  </w:tcBorders>
                  <w:shd w:val="clear" w:color="auto" w:fill="auto"/>
                  <w:vAlign w:val="center"/>
                </w:tcPr>
                <w:p w14:paraId="61D3328D">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2.7 </w:t>
                  </w:r>
                </w:p>
              </w:tc>
              <w:tc>
                <w:tcPr>
                  <w:tcW w:w="594" w:type="dxa"/>
                  <w:tcBorders>
                    <w:tl2br w:val="nil"/>
                    <w:tr2bl w:val="nil"/>
                  </w:tcBorders>
                  <w:shd w:val="clear" w:color="auto" w:fill="auto"/>
                  <w:vAlign w:val="center"/>
                </w:tcPr>
                <w:p w14:paraId="48A9E6F3">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7.7 </w:t>
                  </w:r>
                </w:p>
              </w:tc>
              <w:tc>
                <w:tcPr>
                  <w:tcW w:w="594" w:type="dxa"/>
                  <w:tcBorders>
                    <w:tl2br w:val="nil"/>
                    <w:tr2bl w:val="nil"/>
                  </w:tcBorders>
                  <w:shd w:val="clear" w:color="auto" w:fill="auto"/>
                  <w:vAlign w:val="center"/>
                </w:tcPr>
                <w:p w14:paraId="39DAB79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4.1 </w:t>
                  </w:r>
                </w:p>
              </w:tc>
              <w:tc>
                <w:tcPr>
                  <w:tcW w:w="594" w:type="dxa"/>
                  <w:tcBorders>
                    <w:tl2br w:val="nil"/>
                    <w:tr2bl w:val="nil"/>
                  </w:tcBorders>
                  <w:shd w:val="clear" w:color="auto" w:fill="auto"/>
                  <w:vAlign w:val="center"/>
                </w:tcPr>
                <w:p w14:paraId="2489AE90">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4191.9 </w:t>
                  </w:r>
                </w:p>
              </w:tc>
              <w:tc>
                <w:tcPr>
                  <w:tcW w:w="596" w:type="dxa"/>
                  <w:tcBorders>
                    <w:tl2br w:val="nil"/>
                    <w:tr2bl w:val="nil"/>
                  </w:tcBorders>
                  <w:shd w:val="clear" w:color="auto" w:fill="auto"/>
                  <w:vAlign w:val="center"/>
                </w:tcPr>
                <w:p w14:paraId="7F381110">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13.6 </w:t>
                  </w:r>
                </w:p>
              </w:tc>
              <w:tc>
                <w:tcPr>
                  <w:tcW w:w="596" w:type="dxa"/>
                  <w:tcBorders>
                    <w:tl2br w:val="nil"/>
                    <w:tr2bl w:val="nil"/>
                  </w:tcBorders>
                  <w:shd w:val="clear" w:color="auto" w:fill="auto"/>
                  <w:vAlign w:val="center"/>
                </w:tcPr>
                <w:p w14:paraId="2403F8C8">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2303.0 </w:t>
                  </w:r>
                </w:p>
              </w:tc>
              <w:tc>
                <w:tcPr>
                  <w:tcW w:w="680" w:type="dxa"/>
                  <w:tcBorders>
                    <w:tl2br w:val="nil"/>
                    <w:tr2bl w:val="nil"/>
                  </w:tcBorders>
                  <w:shd w:val="clear" w:color="auto" w:fill="auto"/>
                  <w:vAlign w:val="center"/>
                </w:tcPr>
                <w:p w14:paraId="58AD97BD">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1.1 </w:t>
                  </w:r>
                </w:p>
              </w:tc>
              <w:tc>
                <w:tcPr>
                  <w:tcW w:w="680" w:type="dxa"/>
                  <w:tcBorders>
                    <w:tl2br w:val="nil"/>
                    <w:tr2bl w:val="nil"/>
                  </w:tcBorders>
                  <w:shd w:val="clear" w:color="auto" w:fill="auto"/>
                  <w:vAlign w:val="center"/>
                </w:tcPr>
                <w:p w14:paraId="46837A7F">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0.2 </w:t>
                  </w:r>
                </w:p>
              </w:tc>
            </w:tr>
            <w:tr w14:paraId="3CA872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continue"/>
                  <w:tcBorders>
                    <w:tl2br w:val="nil"/>
                    <w:tr2bl w:val="nil"/>
                  </w:tcBorders>
                  <w:vAlign w:val="center"/>
                </w:tcPr>
                <w:p w14:paraId="2BA3BD2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p>
              </w:tc>
              <w:tc>
                <w:tcPr>
                  <w:tcW w:w="550" w:type="pct"/>
                  <w:tcBorders>
                    <w:tl2br w:val="nil"/>
                    <w:tr2bl w:val="nil"/>
                  </w:tcBorders>
                  <w:shd w:val="clear" w:color="auto" w:fill="auto"/>
                  <w:vAlign w:val="center"/>
                </w:tcPr>
                <w:p w14:paraId="28B351C8">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处理效率（%）</w:t>
                  </w:r>
                </w:p>
              </w:tc>
              <w:tc>
                <w:tcPr>
                  <w:tcW w:w="355" w:type="pct"/>
                  <w:tcBorders>
                    <w:tl2br w:val="nil"/>
                    <w:tr2bl w:val="nil"/>
                  </w:tcBorders>
                  <w:vAlign w:val="center"/>
                </w:tcPr>
                <w:p w14:paraId="775C668F">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w:t>
                  </w:r>
                </w:p>
              </w:tc>
              <w:tc>
                <w:tcPr>
                  <w:tcW w:w="609" w:type="dxa"/>
                  <w:tcBorders>
                    <w:tl2br w:val="nil"/>
                    <w:tr2bl w:val="nil"/>
                  </w:tcBorders>
                  <w:shd w:val="clear" w:color="auto" w:fill="auto"/>
                  <w:vAlign w:val="center"/>
                </w:tcPr>
                <w:p w14:paraId="06D56F6E">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64.1 </w:t>
                  </w:r>
                </w:p>
              </w:tc>
              <w:tc>
                <w:tcPr>
                  <w:tcW w:w="682" w:type="dxa"/>
                  <w:tcBorders>
                    <w:tl2br w:val="nil"/>
                    <w:tr2bl w:val="nil"/>
                  </w:tcBorders>
                  <w:shd w:val="clear" w:color="auto" w:fill="auto"/>
                  <w:vAlign w:val="center"/>
                </w:tcPr>
                <w:p w14:paraId="3CFB835B">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7.7 </w:t>
                  </w:r>
                </w:p>
              </w:tc>
              <w:tc>
                <w:tcPr>
                  <w:tcW w:w="831" w:type="dxa"/>
                  <w:tcBorders>
                    <w:tl2br w:val="nil"/>
                    <w:tr2bl w:val="nil"/>
                  </w:tcBorders>
                  <w:shd w:val="clear" w:color="auto" w:fill="auto"/>
                  <w:vAlign w:val="center"/>
                </w:tcPr>
                <w:p w14:paraId="488F1886">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2.2 </w:t>
                  </w:r>
                </w:p>
              </w:tc>
              <w:tc>
                <w:tcPr>
                  <w:tcW w:w="594" w:type="dxa"/>
                  <w:tcBorders>
                    <w:tl2br w:val="nil"/>
                    <w:tr2bl w:val="nil"/>
                  </w:tcBorders>
                  <w:shd w:val="clear" w:color="auto" w:fill="auto"/>
                  <w:vAlign w:val="center"/>
                </w:tcPr>
                <w:p w14:paraId="7902FA7E">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0.4 </w:t>
                  </w:r>
                </w:p>
              </w:tc>
              <w:tc>
                <w:tcPr>
                  <w:tcW w:w="594" w:type="dxa"/>
                  <w:tcBorders>
                    <w:tl2br w:val="nil"/>
                    <w:tr2bl w:val="nil"/>
                  </w:tcBorders>
                  <w:shd w:val="clear" w:color="auto" w:fill="auto"/>
                  <w:vAlign w:val="center"/>
                </w:tcPr>
                <w:p w14:paraId="61FC7AE8">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3.3 </w:t>
                  </w:r>
                </w:p>
              </w:tc>
              <w:tc>
                <w:tcPr>
                  <w:tcW w:w="594" w:type="dxa"/>
                  <w:tcBorders>
                    <w:tl2br w:val="nil"/>
                    <w:tr2bl w:val="nil"/>
                  </w:tcBorders>
                  <w:shd w:val="clear" w:color="auto" w:fill="auto"/>
                  <w:vAlign w:val="center"/>
                </w:tcPr>
                <w:p w14:paraId="43BFFCDC">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209.6 </w:t>
                  </w:r>
                </w:p>
              </w:tc>
              <w:tc>
                <w:tcPr>
                  <w:tcW w:w="596" w:type="dxa"/>
                  <w:tcBorders>
                    <w:tl2br w:val="nil"/>
                    <w:tr2bl w:val="nil"/>
                  </w:tcBorders>
                  <w:shd w:val="clear" w:color="auto" w:fill="auto"/>
                  <w:vAlign w:val="center"/>
                </w:tcPr>
                <w:p w14:paraId="3D61F369">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1.4 </w:t>
                  </w:r>
                </w:p>
              </w:tc>
              <w:tc>
                <w:tcPr>
                  <w:tcW w:w="596" w:type="dxa"/>
                  <w:tcBorders>
                    <w:tl2br w:val="nil"/>
                    <w:tr2bl w:val="nil"/>
                  </w:tcBorders>
                  <w:shd w:val="clear" w:color="auto" w:fill="auto"/>
                  <w:vAlign w:val="center"/>
                </w:tcPr>
                <w:p w14:paraId="5C754D6E">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115.2 </w:t>
                  </w:r>
                </w:p>
              </w:tc>
              <w:tc>
                <w:tcPr>
                  <w:tcW w:w="680" w:type="dxa"/>
                  <w:tcBorders>
                    <w:tl2br w:val="nil"/>
                    <w:tr2bl w:val="nil"/>
                  </w:tcBorders>
                  <w:shd w:val="clear" w:color="auto" w:fill="auto"/>
                  <w:vAlign w:val="center"/>
                </w:tcPr>
                <w:p w14:paraId="1B83E1EE">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0.9 </w:t>
                  </w:r>
                </w:p>
              </w:tc>
              <w:tc>
                <w:tcPr>
                  <w:tcW w:w="680" w:type="dxa"/>
                  <w:tcBorders>
                    <w:tl2br w:val="nil"/>
                    <w:tr2bl w:val="nil"/>
                  </w:tcBorders>
                  <w:shd w:val="clear" w:color="auto" w:fill="auto"/>
                  <w:vAlign w:val="center"/>
                </w:tcPr>
                <w:p w14:paraId="2A7C553A">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0.2 </w:t>
                  </w:r>
                </w:p>
              </w:tc>
            </w:tr>
            <w:tr w14:paraId="76C030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continue"/>
                  <w:tcBorders>
                    <w:tl2br w:val="nil"/>
                    <w:tr2bl w:val="nil"/>
                  </w:tcBorders>
                  <w:vAlign w:val="center"/>
                </w:tcPr>
                <w:p w14:paraId="39B841A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p>
              </w:tc>
              <w:tc>
                <w:tcPr>
                  <w:tcW w:w="550" w:type="pct"/>
                  <w:tcBorders>
                    <w:tl2br w:val="nil"/>
                    <w:tr2bl w:val="nil"/>
                  </w:tcBorders>
                  <w:shd w:val="clear" w:color="auto" w:fill="auto"/>
                  <w:vAlign w:val="center"/>
                </w:tcPr>
                <w:p w14:paraId="7C3D6D74">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出水（mg/L）</w:t>
                  </w:r>
                </w:p>
              </w:tc>
              <w:tc>
                <w:tcPr>
                  <w:tcW w:w="355" w:type="pct"/>
                  <w:tcBorders>
                    <w:tl2br w:val="nil"/>
                    <w:tr2bl w:val="nil"/>
                  </w:tcBorders>
                  <w:vAlign w:val="center"/>
                </w:tcPr>
                <w:p w14:paraId="662191A6">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cs="Times New Roman"/>
                      <w:color w:val="000000" w:themeColor="text1"/>
                      <w:spacing w:val="7"/>
                      <w:kern w:val="2"/>
                      <w:sz w:val="21"/>
                      <w:szCs w:val="21"/>
                      <w:lang w:val="en-US" w:eastAsia="zh-CN" w:bidi="ar-SA"/>
                      <w14:textFill>
                        <w14:solidFill>
                          <w14:schemeClr w14:val="tx1"/>
                        </w14:solidFill>
                      </w14:textFill>
                    </w:rPr>
                    <w:t>7</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~8</w:t>
                  </w:r>
                </w:p>
              </w:tc>
              <w:tc>
                <w:tcPr>
                  <w:tcW w:w="609" w:type="dxa"/>
                  <w:tcBorders>
                    <w:tl2br w:val="nil"/>
                    <w:tr2bl w:val="nil"/>
                  </w:tcBorders>
                  <w:shd w:val="clear" w:color="auto" w:fill="auto"/>
                  <w:vAlign w:val="center"/>
                </w:tcPr>
                <w:p w14:paraId="7A3BF336">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70%</w:t>
                  </w:r>
                </w:p>
              </w:tc>
              <w:tc>
                <w:tcPr>
                  <w:tcW w:w="682" w:type="dxa"/>
                  <w:tcBorders>
                    <w:tl2br w:val="nil"/>
                    <w:tr2bl w:val="nil"/>
                  </w:tcBorders>
                  <w:shd w:val="clear" w:color="auto" w:fill="auto"/>
                  <w:vAlign w:val="center"/>
                </w:tcPr>
                <w:p w14:paraId="1F33B882">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80%</w:t>
                  </w:r>
                </w:p>
              </w:tc>
              <w:tc>
                <w:tcPr>
                  <w:tcW w:w="831" w:type="dxa"/>
                  <w:tcBorders>
                    <w:tl2br w:val="nil"/>
                    <w:tr2bl w:val="nil"/>
                  </w:tcBorders>
                  <w:shd w:val="clear" w:color="auto" w:fill="auto"/>
                  <w:vAlign w:val="center"/>
                </w:tcPr>
                <w:p w14:paraId="5FB8820F">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594" w:type="dxa"/>
                  <w:tcBorders>
                    <w:tl2br w:val="nil"/>
                    <w:tr2bl w:val="nil"/>
                  </w:tcBorders>
                  <w:shd w:val="clear" w:color="auto" w:fill="auto"/>
                  <w:vAlign w:val="center"/>
                </w:tcPr>
                <w:p w14:paraId="1F066BF5">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95%</w:t>
                  </w:r>
                </w:p>
              </w:tc>
              <w:tc>
                <w:tcPr>
                  <w:tcW w:w="594" w:type="dxa"/>
                  <w:tcBorders>
                    <w:tl2br w:val="nil"/>
                    <w:tr2bl w:val="nil"/>
                  </w:tcBorders>
                  <w:shd w:val="clear" w:color="auto" w:fill="auto"/>
                  <w:vAlign w:val="center"/>
                </w:tcPr>
                <w:p w14:paraId="6C7997E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594" w:type="dxa"/>
                  <w:tcBorders>
                    <w:tl2br w:val="nil"/>
                    <w:tr2bl w:val="nil"/>
                  </w:tcBorders>
                  <w:shd w:val="clear" w:color="auto" w:fill="auto"/>
                  <w:vAlign w:val="center"/>
                </w:tcPr>
                <w:p w14:paraId="5ECD6533">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95%</w:t>
                  </w:r>
                </w:p>
              </w:tc>
              <w:tc>
                <w:tcPr>
                  <w:tcW w:w="596" w:type="dxa"/>
                  <w:tcBorders>
                    <w:tl2br w:val="nil"/>
                    <w:tr2bl w:val="nil"/>
                  </w:tcBorders>
                  <w:shd w:val="clear" w:color="auto" w:fill="auto"/>
                  <w:vAlign w:val="center"/>
                </w:tcPr>
                <w:p w14:paraId="6392A0D7">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90%</w:t>
                  </w:r>
                </w:p>
              </w:tc>
              <w:tc>
                <w:tcPr>
                  <w:tcW w:w="596" w:type="dxa"/>
                  <w:tcBorders>
                    <w:tl2br w:val="nil"/>
                    <w:tr2bl w:val="nil"/>
                  </w:tcBorders>
                  <w:shd w:val="clear" w:color="auto" w:fill="auto"/>
                  <w:vAlign w:val="center"/>
                </w:tcPr>
                <w:p w14:paraId="62EF6AB0">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95%</w:t>
                  </w:r>
                </w:p>
              </w:tc>
              <w:tc>
                <w:tcPr>
                  <w:tcW w:w="680" w:type="dxa"/>
                  <w:tcBorders>
                    <w:tl2br w:val="nil"/>
                    <w:tr2bl w:val="nil"/>
                  </w:tcBorders>
                  <w:shd w:val="clear" w:color="auto" w:fill="auto"/>
                  <w:vAlign w:val="center"/>
                </w:tcPr>
                <w:p w14:paraId="72AE8390">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680" w:type="dxa"/>
                  <w:tcBorders>
                    <w:tl2br w:val="nil"/>
                    <w:tr2bl w:val="nil"/>
                  </w:tcBorders>
                  <w:shd w:val="clear" w:color="auto" w:fill="auto"/>
                  <w:vAlign w:val="center"/>
                </w:tcPr>
                <w:p w14:paraId="15CCC3D9">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r>
            <w:tr w14:paraId="7EA51A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restart"/>
                  <w:tcBorders>
                    <w:tl2br w:val="nil"/>
                    <w:tr2bl w:val="nil"/>
                  </w:tcBorders>
                  <w:vAlign w:val="center"/>
                </w:tcPr>
                <w:p w14:paraId="1F83297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lang w:val="en-US" w:eastAsia="zh-CN"/>
                      <w14:textFill>
                        <w14:solidFill>
                          <w14:schemeClr w14:val="tx1"/>
                        </w14:solidFill>
                      </w14:textFill>
                    </w:rPr>
                    <w:t>过滤、反渗透</w:t>
                  </w:r>
                </w:p>
              </w:tc>
              <w:tc>
                <w:tcPr>
                  <w:tcW w:w="550" w:type="pct"/>
                  <w:tcBorders>
                    <w:tl2br w:val="nil"/>
                    <w:tr2bl w:val="nil"/>
                  </w:tcBorders>
                  <w:shd w:val="clear" w:color="auto" w:fill="auto"/>
                  <w:vAlign w:val="center"/>
                </w:tcPr>
                <w:p w14:paraId="29E70DFB">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进水（mg/L）</w:t>
                  </w:r>
                </w:p>
              </w:tc>
              <w:tc>
                <w:tcPr>
                  <w:tcW w:w="355" w:type="pct"/>
                  <w:tcBorders>
                    <w:tl2br w:val="nil"/>
                    <w:tr2bl w:val="nil"/>
                  </w:tcBorders>
                  <w:shd w:val="clear" w:color="auto" w:fill="auto"/>
                  <w:vAlign w:val="center"/>
                </w:tcPr>
                <w:p w14:paraId="2CE0CA6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7"/>
                      <w:kern w:val="2"/>
                      <w:sz w:val="21"/>
                      <w:szCs w:val="21"/>
                      <w:lang w:val="en-US" w:eastAsia="zh-CN" w:bidi="ar-SA"/>
                      <w14:textFill>
                        <w14:solidFill>
                          <w14:schemeClr w14:val="tx1"/>
                        </w14:solidFill>
                      </w14:textFill>
                    </w:rPr>
                    <w:t>7</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~8</w:t>
                  </w:r>
                </w:p>
              </w:tc>
              <w:tc>
                <w:tcPr>
                  <w:tcW w:w="609" w:type="dxa"/>
                  <w:tcBorders>
                    <w:tl2br w:val="nil"/>
                    <w:tr2bl w:val="nil"/>
                  </w:tcBorders>
                  <w:shd w:val="clear" w:color="auto" w:fill="auto"/>
                  <w:vAlign w:val="center"/>
                </w:tcPr>
                <w:p w14:paraId="3BFA9B73">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64.1 </w:t>
                  </w:r>
                </w:p>
              </w:tc>
              <w:tc>
                <w:tcPr>
                  <w:tcW w:w="682" w:type="dxa"/>
                  <w:tcBorders>
                    <w:tl2br w:val="nil"/>
                    <w:tr2bl w:val="nil"/>
                  </w:tcBorders>
                  <w:shd w:val="clear" w:color="auto" w:fill="auto"/>
                  <w:vAlign w:val="center"/>
                </w:tcPr>
                <w:p w14:paraId="7A45F6E9">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7.7 </w:t>
                  </w:r>
                </w:p>
              </w:tc>
              <w:tc>
                <w:tcPr>
                  <w:tcW w:w="831" w:type="dxa"/>
                  <w:tcBorders>
                    <w:tl2br w:val="nil"/>
                    <w:tr2bl w:val="nil"/>
                  </w:tcBorders>
                  <w:shd w:val="clear" w:color="auto" w:fill="auto"/>
                  <w:vAlign w:val="center"/>
                </w:tcPr>
                <w:p w14:paraId="30FE1E2C">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2.2 </w:t>
                  </w:r>
                </w:p>
              </w:tc>
              <w:tc>
                <w:tcPr>
                  <w:tcW w:w="594" w:type="dxa"/>
                  <w:tcBorders>
                    <w:tl2br w:val="nil"/>
                    <w:tr2bl w:val="nil"/>
                  </w:tcBorders>
                  <w:shd w:val="clear" w:color="auto" w:fill="auto"/>
                  <w:vAlign w:val="center"/>
                </w:tcPr>
                <w:p w14:paraId="1D3D3E55">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0.4 </w:t>
                  </w:r>
                </w:p>
              </w:tc>
              <w:tc>
                <w:tcPr>
                  <w:tcW w:w="594" w:type="dxa"/>
                  <w:tcBorders>
                    <w:tl2br w:val="nil"/>
                    <w:tr2bl w:val="nil"/>
                  </w:tcBorders>
                  <w:shd w:val="clear" w:color="auto" w:fill="auto"/>
                  <w:vAlign w:val="center"/>
                </w:tcPr>
                <w:p w14:paraId="6DF16D69">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3.3 </w:t>
                  </w:r>
                </w:p>
              </w:tc>
              <w:tc>
                <w:tcPr>
                  <w:tcW w:w="594" w:type="dxa"/>
                  <w:tcBorders>
                    <w:tl2br w:val="nil"/>
                    <w:tr2bl w:val="nil"/>
                  </w:tcBorders>
                  <w:shd w:val="clear" w:color="auto" w:fill="auto"/>
                  <w:vAlign w:val="center"/>
                </w:tcPr>
                <w:p w14:paraId="4454241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209.6 </w:t>
                  </w:r>
                </w:p>
              </w:tc>
              <w:tc>
                <w:tcPr>
                  <w:tcW w:w="596" w:type="dxa"/>
                  <w:tcBorders>
                    <w:tl2br w:val="nil"/>
                    <w:tr2bl w:val="nil"/>
                  </w:tcBorders>
                  <w:shd w:val="clear" w:color="auto" w:fill="auto"/>
                  <w:vAlign w:val="center"/>
                </w:tcPr>
                <w:p w14:paraId="7BDE85A0">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1.4 </w:t>
                  </w:r>
                </w:p>
              </w:tc>
              <w:tc>
                <w:tcPr>
                  <w:tcW w:w="596" w:type="dxa"/>
                  <w:tcBorders>
                    <w:tl2br w:val="nil"/>
                    <w:tr2bl w:val="nil"/>
                  </w:tcBorders>
                  <w:shd w:val="clear" w:color="auto" w:fill="auto"/>
                  <w:vAlign w:val="center"/>
                </w:tcPr>
                <w:p w14:paraId="20AE6F51">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115.2 </w:t>
                  </w:r>
                </w:p>
              </w:tc>
              <w:tc>
                <w:tcPr>
                  <w:tcW w:w="680" w:type="dxa"/>
                  <w:tcBorders>
                    <w:tl2br w:val="nil"/>
                    <w:tr2bl w:val="nil"/>
                  </w:tcBorders>
                  <w:shd w:val="clear" w:color="auto" w:fill="auto"/>
                  <w:vAlign w:val="center"/>
                </w:tcPr>
                <w:p w14:paraId="3FA8971B">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0.9 </w:t>
                  </w:r>
                </w:p>
              </w:tc>
              <w:tc>
                <w:tcPr>
                  <w:tcW w:w="680" w:type="dxa"/>
                  <w:tcBorders>
                    <w:tl2br w:val="nil"/>
                    <w:tr2bl w:val="nil"/>
                  </w:tcBorders>
                  <w:shd w:val="clear" w:color="auto" w:fill="auto"/>
                  <w:vAlign w:val="center"/>
                </w:tcPr>
                <w:p w14:paraId="61DDC90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0.16 </w:t>
                  </w:r>
                </w:p>
              </w:tc>
            </w:tr>
            <w:tr w14:paraId="4E762A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continue"/>
                  <w:tcBorders>
                    <w:tl2br w:val="nil"/>
                    <w:tr2bl w:val="nil"/>
                  </w:tcBorders>
                  <w:vAlign w:val="center"/>
                </w:tcPr>
                <w:p w14:paraId="3CD25B30">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p>
              </w:tc>
              <w:tc>
                <w:tcPr>
                  <w:tcW w:w="550" w:type="pct"/>
                  <w:tcBorders>
                    <w:tl2br w:val="nil"/>
                    <w:tr2bl w:val="nil"/>
                  </w:tcBorders>
                  <w:shd w:val="clear" w:color="auto" w:fill="auto"/>
                  <w:vAlign w:val="center"/>
                </w:tcPr>
                <w:p w14:paraId="25136FFA">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处理效率（%）</w:t>
                  </w:r>
                </w:p>
              </w:tc>
              <w:tc>
                <w:tcPr>
                  <w:tcW w:w="355" w:type="pct"/>
                  <w:tcBorders>
                    <w:tl2br w:val="nil"/>
                    <w:tr2bl w:val="nil"/>
                  </w:tcBorders>
                  <w:vAlign w:val="center"/>
                </w:tcPr>
                <w:p w14:paraId="353A7344">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lang w:val="en-US" w:eastAsia="zh-CN"/>
                      <w14:textFill>
                        <w14:solidFill>
                          <w14:schemeClr w14:val="tx1"/>
                        </w14:solidFill>
                      </w14:textFill>
                    </w:rPr>
                    <w:t>/</w:t>
                  </w:r>
                </w:p>
              </w:tc>
              <w:tc>
                <w:tcPr>
                  <w:tcW w:w="609" w:type="dxa"/>
                  <w:tcBorders>
                    <w:tl2br w:val="nil"/>
                    <w:tr2bl w:val="nil"/>
                  </w:tcBorders>
                  <w:vAlign w:val="center"/>
                </w:tcPr>
                <w:p w14:paraId="7E7236E6">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44.8 </w:t>
                  </w:r>
                </w:p>
              </w:tc>
              <w:tc>
                <w:tcPr>
                  <w:tcW w:w="682" w:type="dxa"/>
                  <w:tcBorders>
                    <w:tl2br w:val="nil"/>
                    <w:tr2bl w:val="nil"/>
                  </w:tcBorders>
                  <w:vAlign w:val="center"/>
                </w:tcPr>
                <w:p w14:paraId="21911182">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7.7 </w:t>
                  </w:r>
                </w:p>
              </w:tc>
              <w:tc>
                <w:tcPr>
                  <w:tcW w:w="831" w:type="dxa"/>
                  <w:tcBorders>
                    <w:tl2br w:val="nil"/>
                    <w:tr2bl w:val="nil"/>
                  </w:tcBorders>
                  <w:vAlign w:val="center"/>
                </w:tcPr>
                <w:p w14:paraId="59BC371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2.2 </w:t>
                  </w:r>
                </w:p>
              </w:tc>
              <w:tc>
                <w:tcPr>
                  <w:tcW w:w="594" w:type="dxa"/>
                  <w:tcBorders>
                    <w:tl2br w:val="nil"/>
                    <w:tr2bl w:val="nil"/>
                  </w:tcBorders>
                  <w:vAlign w:val="center"/>
                </w:tcPr>
                <w:p w14:paraId="2E7D51B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0.4 </w:t>
                  </w:r>
                </w:p>
              </w:tc>
              <w:tc>
                <w:tcPr>
                  <w:tcW w:w="594" w:type="dxa"/>
                  <w:tcBorders>
                    <w:tl2br w:val="nil"/>
                    <w:tr2bl w:val="nil"/>
                  </w:tcBorders>
                  <w:vAlign w:val="center"/>
                </w:tcPr>
                <w:p w14:paraId="4124456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3.3 </w:t>
                  </w:r>
                </w:p>
              </w:tc>
              <w:tc>
                <w:tcPr>
                  <w:tcW w:w="594" w:type="dxa"/>
                  <w:tcBorders>
                    <w:tl2br w:val="nil"/>
                    <w:tr2bl w:val="nil"/>
                  </w:tcBorders>
                  <w:vAlign w:val="center"/>
                </w:tcPr>
                <w:p w14:paraId="3102DB70">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209.6 </w:t>
                  </w:r>
                </w:p>
              </w:tc>
              <w:tc>
                <w:tcPr>
                  <w:tcW w:w="596" w:type="dxa"/>
                  <w:tcBorders>
                    <w:tl2br w:val="nil"/>
                    <w:tr2bl w:val="nil"/>
                  </w:tcBorders>
                  <w:vAlign w:val="center"/>
                </w:tcPr>
                <w:p w14:paraId="32E5E1B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1.4 </w:t>
                  </w:r>
                </w:p>
              </w:tc>
              <w:tc>
                <w:tcPr>
                  <w:tcW w:w="596" w:type="dxa"/>
                  <w:tcBorders>
                    <w:tl2br w:val="nil"/>
                    <w:tr2bl w:val="nil"/>
                  </w:tcBorders>
                  <w:vAlign w:val="center"/>
                </w:tcPr>
                <w:p w14:paraId="3FA90B11">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115.2 </w:t>
                  </w:r>
                </w:p>
              </w:tc>
              <w:tc>
                <w:tcPr>
                  <w:tcW w:w="680" w:type="dxa"/>
                  <w:tcBorders>
                    <w:tl2br w:val="nil"/>
                    <w:tr2bl w:val="nil"/>
                  </w:tcBorders>
                  <w:vAlign w:val="center"/>
                </w:tcPr>
                <w:p w14:paraId="0F87FB2B">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0.9 </w:t>
                  </w:r>
                </w:p>
              </w:tc>
              <w:tc>
                <w:tcPr>
                  <w:tcW w:w="680" w:type="dxa"/>
                  <w:tcBorders>
                    <w:tl2br w:val="nil"/>
                    <w:tr2bl w:val="nil"/>
                  </w:tcBorders>
                  <w:vAlign w:val="center"/>
                </w:tcPr>
                <w:p w14:paraId="03C9BAF0">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0.16 </w:t>
                  </w:r>
                </w:p>
              </w:tc>
            </w:tr>
            <w:tr w14:paraId="72828F5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1" w:type="pct"/>
                  <w:vMerge w:val="continue"/>
                  <w:tcBorders>
                    <w:tl2br w:val="nil"/>
                    <w:tr2bl w:val="nil"/>
                  </w:tcBorders>
                  <w:vAlign w:val="center"/>
                </w:tcPr>
                <w:p w14:paraId="3B0AEEC1">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7"/>
                      <w:sz w:val="21"/>
                      <w:szCs w:val="21"/>
                      <w:lang w:val="en-US" w:eastAsia="zh-CN"/>
                      <w14:textFill>
                        <w14:solidFill>
                          <w14:schemeClr w14:val="tx1"/>
                        </w14:solidFill>
                      </w14:textFill>
                    </w:rPr>
                  </w:pPr>
                </w:p>
              </w:tc>
              <w:tc>
                <w:tcPr>
                  <w:tcW w:w="550" w:type="pct"/>
                  <w:tcBorders>
                    <w:tl2br w:val="nil"/>
                    <w:tr2bl w:val="nil"/>
                  </w:tcBorders>
                  <w:shd w:val="clear" w:color="auto" w:fill="auto"/>
                  <w:vAlign w:val="center"/>
                </w:tcPr>
                <w:p w14:paraId="614F47FE">
                  <w:pPr>
                    <w:jc w:val="cente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t>出水（mg/L）</w:t>
                  </w:r>
                </w:p>
              </w:tc>
              <w:tc>
                <w:tcPr>
                  <w:tcW w:w="355" w:type="pct"/>
                  <w:tcBorders>
                    <w:tl2br w:val="nil"/>
                    <w:tr2bl w:val="nil"/>
                  </w:tcBorders>
                  <w:shd w:val="clear" w:color="auto" w:fill="auto"/>
                  <w:vAlign w:val="center"/>
                </w:tcPr>
                <w:p w14:paraId="52F08A2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7"/>
                      <w:kern w:val="2"/>
                      <w:sz w:val="21"/>
                      <w:szCs w:val="21"/>
                      <w:lang w:val="en-US" w:eastAsia="zh-CN" w:bidi="ar-SA"/>
                      <w14:textFill>
                        <w14:solidFill>
                          <w14:schemeClr w14:val="tx1"/>
                        </w14:solidFill>
                      </w14:textFill>
                    </w:rPr>
                    <w:t>7</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~8</w:t>
                  </w:r>
                </w:p>
              </w:tc>
              <w:tc>
                <w:tcPr>
                  <w:tcW w:w="609" w:type="dxa"/>
                  <w:tcBorders>
                    <w:tl2br w:val="nil"/>
                    <w:tr2bl w:val="nil"/>
                  </w:tcBorders>
                  <w:shd w:val="clear" w:color="auto" w:fill="auto"/>
                  <w:vAlign w:val="center"/>
                </w:tcPr>
                <w:p w14:paraId="20E0DF77">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w:t>
                  </w:r>
                </w:p>
              </w:tc>
              <w:tc>
                <w:tcPr>
                  <w:tcW w:w="682" w:type="dxa"/>
                  <w:tcBorders>
                    <w:tl2br w:val="nil"/>
                    <w:tr2bl w:val="nil"/>
                  </w:tcBorders>
                  <w:shd w:val="clear" w:color="auto" w:fill="auto"/>
                  <w:vAlign w:val="center"/>
                </w:tcPr>
                <w:p w14:paraId="2E17E66D">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831" w:type="dxa"/>
                  <w:tcBorders>
                    <w:tl2br w:val="nil"/>
                    <w:tr2bl w:val="nil"/>
                  </w:tcBorders>
                  <w:shd w:val="clear" w:color="auto" w:fill="auto"/>
                  <w:vAlign w:val="center"/>
                </w:tcPr>
                <w:p w14:paraId="172D1B61">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dxa"/>
                  <w:tcBorders>
                    <w:tl2br w:val="nil"/>
                    <w:tr2bl w:val="nil"/>
                  </w:tcBorders>
                  <w:shd w:val="clear" w:color="auto" w:fill="auto"/>
                  <w:vAlign w:val="center"/>
                </w:tcPr>
                <w:p w14:paraId="76D84C72">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dxa"/>
                  <w:tcBorders>
                    <w:tl2br w:val="nil"/>
                    <w:tr2bl w:val="nil"/>
                  </w:tcBorders>
                  <w:shd w:val="clear" w:color="auto" w:fill="auto"/>
                  <w:vAlign w:val="center"/>
                </w:tcPr>
                <w:p w14:paraId="4CD8D17A">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dxa"/>
                  <w:tcBorders>
                    <w:tl2br w:val="nil"/>
                    <w:tr2bl w:val="nil"/>
                  </w:tcBorders>
                  <w:shd w:val="clear" w:color="auto" w:fill="auto"/>
                  <w:vAlign w:val="center"/>
                </w:tcPr>
                <w:p w14:paraId="33B6D917">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6" w:type="dxa"/>
                  <w:tcBorders>
                    <w:tl2br w:val="nil"/>
                    <w:tr2bl w:val="nil"/>
                  </w:tcBorders>
                  <w:shd w:val="clear" w:color="auto" w:fill="auto"/>
                  <w:vAlign w:val="center"/>
                </w:tcPr>
                <w:p w14:paraId="55C83D3F">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596" w:type="dxa"/>
                  <w:tcBorders>
                    <w:tl2br w:val="nil"/>
                    <w:tr2bl w:val="nil"/>
                  </w:tcBorders>
                  <w:shd w:val="clear" w:color="auto" w:fill="auto"/>
                  <w:vAlign w:val="center"/>
                </w:tcPr>
                <w:p w14:paraId="7A928A2B">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680" w:type="dxa"/>
                  <w:tcBorders>
                    <w:tl2br w:val="nil"/>
                    <w:tr2bl w:val="nil"/>
                  </w:tcBorders>
                  <w:shd w:val="clear" w:color="auto" w:fill="auto"/>
                  <w:vAlign w:val="center"/>
                </w:tcPr>
                <w:p w14:paraId="64BE0D7C">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c>
                <w:tcPr>
                  <w:tcW w:w="680" w:type="dxa"/>
                  <w:tcBorders>
                    <w:tl2br w:val="nil"/>
                    <w:tr2bl w:val="nil"/>
                  </w:tcBorders>
                  <w:shd w:val="clear" w:color="auto" w:fill="auto"/>
                  <w:vAlign w:val="center"/>
                </w:tcPr>
                <w:p w14:paraId="534E0E9B">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w:t>
                  </w:r>
                </w:p>
              </w:tc>
            </w:tr>
            <w:tr w14:paraId="628BCD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81" w:type="pct"/>
                  <w:gridSpan w:val="2"/>
                  <w:tcBorders>
                    <w:tl2br w:val="nil"/>
                    <w:tr2bl w:val="nil"/>
                  </w:tcBorders>
                  <w:vAlign w:val="center"/>
                </w:tcPr>
                <w:p w14:paraId="3E7C6E75">
                  <w:pPr>
                    <w:pStyle w:val="8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需满足的污水排放要求</w:t>
                  </w:r>
                </w:p>
              </w:tc>
              <w:tc>
                <w:tcPr>
                  <w:tcW w:w="355" w:type="pct"/>
                  <w:tcBorders>
                    <w:tl2br w:val="nil"/>
                    <w:tr2bl w:val="nil"/>
                  </w:tcBorders>
                  <w:shd w:val="clear" w:color="auto" w:fill="auto"/>
                  <w:vAlign w:val="center"/>
                </w:tcPr>
                <w:p w14:paraId="020B8D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6.</w:t>
                  </w: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9.0</w:t>
                  </w:r>
                </w:p>
              </w:tc>
              <w:tc>
                <w:tcPr>
                  <w:tcW w:w="355" w:type="pct"/>
                  <w:tcBorders>
                    <w:tl2br w:val="nil"/>
                    <w:tr2bl w:val="nil"/>
                  </w:tcBorders>
                  <w:shd w:val="clear" w:color="auto" w:fill="auto"/>
                  <w:vAlign w:val="center"/>
                </w:tcPr>
                <w:p w14:paraId="4096AB03">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50</w:t>
                  </w:r>
                </w:p>
              </w:tc>
              <w:tc>
                <w:tcPr>
                  <w:tcW w:w="397" w:type="pct"/>
                  <w:tcBorders>
                    <w:tl2br w:val="nil"/>
                    <w:tr2bl w:val="nil"/>
                  </w:tcBorders>
                  <w:shd w:val="clear" w:color="auto" w:fill="auto"/>
                  <w:vAlign w:val="center"/>
                </w:tcPr>
                <w:p w14:paraId="2C93C9D0">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484" w:type="pct"/>
                  <w:tcBorders>
                    <w:tl2br w:val="nil"/>
                    <w:tr2bl w:val="nil"/>
                  </w:tcBorders>
                  <w:shd w:val="clear" w:color="auto" w:fill="auto"/>
                  <w:vAlign w:val="center"/>
                </w:tcPr>
                <w:p w14:paraId="48C33BA1">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346" w:type="pct"/>
                  <w:tcBorders>
                    <w:tl2br w:val="nil"/>
                    <w:tr2bl w:val="nil"/>
                  </w:tcBorders>
                  <w:shd w:val="clear" w:color="auto" w:fill="auto"/>
                  <w:vAlign w:val="center"/>
                </w:tcPr>
                <w:p w14:paraId="7B22261C">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0.5</w:t>
                  </w:r>
                </w:p>
              </w:tc>
              <w:tc>
                <w:tcPr>
                  <w:tcW w:w="346" w:type="pct"/>
                  <w:tcBorders>
                    <w:tl2br w:val="nil"/>
                    <w:tr2bl w:val="nil"/>
                  </w:tcBorders>
                  <w:shd w:val="clear" w:color="auto" w:fill="auto"/>
                  <w:vAlign w:val="center"/>
                </w:tcPr>
                <w:p w14:paraId="05F60CB5">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15</w:t>
                  </w:r>
                </w:p>
              </w:tc>
              <w:tc>
                <w:tcPr>
                  <w:tcW w:w="346" w:type="pct"/>
                  <w:tcBorders>
                    <w:tl2br w:val="nil"/>
                    <w:tr2bl w:val="nil"/>
                  </w:tcBorders>
                  <w:shd w:val="clear" w:color="auto" w:fill="auto"/>
                  <w:vAlign w:val="center"/>
                </w:tcPr>
                <w:p w14:paraId="2BD47E4F">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1500</w:t>
                  </w:r>
                </w:p>
              </w:tc>
              <w:tc>
                <w:tcPr>
                  <w:tcW w:w="347" w:type="pct"/>
                  <w:tcBorders>
                    <w:tl2br w:val="nil"/>
                    <w:tr2bl w:val="nil"/>
                  </w:tcBorders>
                  <w:shd w:val="clear" w:color="auto" w:fill="auto"/>
                  <w:vAlign w:val="center"/>
                </w:tcPr>
                <w:p w14:paraId="3D996836">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347" w:type="pct"/>
                  <w:tcBorders>
                    <w:tl2br w:val="nil"/>
                    <w:tr2bl w:val="nil"/>
                  </w:tcBorders>
                  <w:shd w:val="clear" w:color="auto" w:fill="auto"/>
                  <w:vAlign w:val="center"/>
                </w:tcPr>
                <w:p w14:paraId="19DEEB15">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w:t>
                  </w:r>
                </w:p>
              </w:tc>
              <w:tc>
                <w:tcPr>
                  <w:tcW w:w="396" w:type="pct"/>
                  <w:tcBorders>
                    <w:tl2br w:val="nil"/>
                    <w:tr2bl w:val="nil"/>
                  </w:tcBorders>
                  <w:shd w:val="clear" w:color="auto" w:fill="auto"/>
                  <w:vAlign w:val="center"/>
                </w:tcPr>
                <w:p w14:paraId="0467884B">
                  <w:pPr>
                    <w:keepNext w:val="0"/>
                    <w:keepLines w:val="0"/>
                    <w:widowControl/>
                    <w:suppressLineNumbers w:val="0"/>
                    <w:jc w:val="center"/>
                    <w:textAlignment w:val="cente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396" w:type="pct"/>
                  <w:tcBorders>
                    <w:tl2br w:val="nil"/>
                    <w:tr2bl w:val="nil"/>
                  </w:tcBorders>
                  <w:shd w:val="clear" w:color="auto" w:fill="auto"/>
                  <w:vAlign w:val="center"/>
                </w:tcPr>
                <w:p w14:paraId="7EA6DBEE">
                  <w:pPr>
                    <w:keepNext w:val="0"/>
                    <w:keepLines w:val="0"/>
                    <w:widowControl/>
                    <w:suppressLineNumbers w:val="0"/>
                    <w:jc w:val="center"/>
                    <w:textAlignment w:val="cente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0.5</w:t>
                  </w:r>
                </w:p>
              </w:tc>
            </w:tr>
          </w:tbl>
          <w:p w14:paraId="4BF3B41E">
            <w:pPr>
              <w:pStyle w:val="84"/>
              <w:spacing w:before="35" w:line="359" w:lineRule="auto"/>
              <w:ind w:left="109" w:right="101" w:firstLine="480"/>
              <w:jc w:val="both"/>
              <w:rPr>
                <w:rFonts w:hint="eastAsia" w:ascii="Times New Roman" w:hAnsi="Times New Roman" w:cs="Times New Roman"/>
                <w:color w:val="000000" w:themeColor="text1"/>
                <w:spacing w:val="-7"/>
                <w:lang w:val="en-US" w:eastAsia="zh-CN"/>
                <w14:textFill>
                  <w14:solidFill>
                    <w14:schemeClr w14:val="tx1"/>
                  </w14:solidFill>
                </w14:textFill>
              </w:rPr>
            </w:pPr>
            <w:r>
              <w:rPr>
                <w:rFonts w:hint="eastAsia"/>
                <w:color w:val="000000" w:themeColor="text1"/>
                <w:spacing w:val="-3"/>
                <w:lang w:val="en-US" w:eastAsia="zh-CN"/>
                <w14:textFill>
                  <w14:solidFill>
                    <w14:schemeClr w14:val="tx1"/>
                  </w14:solidFill>
                </w14:textFill>
              </w:rPr>
              <w:t>由上表可知，</w:t>
            </w:r>
            <w:r>
              <w:rPr>
                <w:color w:val="000000" w:themeColor="text1"/>
                <w:spacing w:val="-3"/>
                <w14:textFill>
                  <w14:solidFill>
                    <w14:schemeClr w14:val="tx1"/>
                  </w14:solidFill>
                </w14:textFill>
              </w:rPr>
              <w:t>项目</w:t>
            </w:r>
            <w:r>
              <w:rPr>
                <w:rFonts w:hint="eastAsia" w:ascii="Times New Roman" w:hAnsi="Times New Roman" w:cs="Times New Roman"/>
                <w:color w:val="000000" w:themeColor="text1"/>
                <w:sz w:val="24"/>
                <w:lang w:val="en-US" w:eastAsia="zh-CN"/>
                <w14:textFill>
                  <w14:solidFill>
                    <w14:schemeClr w14:val="tx1"/>
                  </w14:solidFill>
                </w14:textFill>
              </w:rPr>
              <w:t>综合</w:t>
            </w:r>
            <w:r>
              <w:rPr>
                <w:rFonts w:hint="eastAsia" w:ascii="Times New Roman" w:hAnsi="Times New Roman" w:eastAsia="宋体" w:cs="Times New Roman"/>
                <w:color w:val="000000" w:themeColor="text1"/>
                <w:sz w:val="24"/>
                <w:lang w:val="en-US" w:eastAsia="zh-CN"/>
                <w14:textFill>
                  <w14:solidFill>
                    <w14:schemeClr w14:val="tx1"/>
                  </w14:solidFill>
                </w14:textFill>
              </w:rPr>
              <w:t>废水（电解除油、酸洗、铜保护</w:t>
            </w:r>
            <w:r>
              <w:rPr>
                <w:rFonts w:hint="eastAsia" w:ascii="Times New Roman" w:hAnsi="Times New Roman" w:cs="Times New Roman"/>
                <w:color w:val="000000" w:themeColor="text1"/>
                <w:sz w:val="24"/>
                <w:lang w:val="en-US" w:eastAsia="zh-CN"/>
                <w14:textFill>
                  <w14:solidFill>
                    <w14:schemeClr w14:val="tx1"/>
                  </w14:solidFill>
                </w14:textFill>
              </w:rPr>
              <w:t>等</w:t>
            </w:r>
            <w:r>
              <w:rPr>
                <w:rFonts w:hint="eastAsia" w:ascii="Times New Roman" w:hAnsi="Times New Roman" w:eastAsia="宋体" w:cs="Times New Roman"/>
                <w:color w:val="000000" w:themeColor="text1"/>
                <w:sz w:val="24"/>
                <w:lang w:val="en-US" w:eastAsia="zh-CN"/>
                <w14:textFill>
                  <w14:solidFill>
                    <w14:schemeClr w14:val="tx1"/>
                  </w14:solidFill>
                </w14:textFill>
              </w:rPr>
              <w:t>相应的喷淋工序产生的废水</w:t>
            </w:r>
            <w:r>
              <w:rPr>
                <w:rFonts w:hint="eastAsia" w:ascii="Times New Roman" w:hAnsi="Times New Roman" w:cs="Times New Roman"/>
                <w:color w:val="000000" w:themeColor="text1"/>
                <w:spacing w:val="-1"/>
                <w:lang w:eastAsia="zh-CN"/>
                <w14:textFill>
                  <w14:solidFill>
                    <w14:schemeClr w14:val="tx1"/>
                  </w14:solidFill>
                </w14:textFill>
              </w:rPr>
              <w:t>、</w:t>
            </w:r>
            <w:r>
              <w:rPr>
                <w:rFonts w:hint="eastAsia" w:ascii="Times New Roman" w:hAnsi="Times New Roman" w:cs="Times New Roman"/>
                <w:color w:val="000000" w:themeColor="text1"/>
                <w:spacing w:val="-1"/>
                <w:lang w:val="en-US" w:eastAsia="zh-CN"/>
                <w14:textFill>
                  <w14:solidFill>
                    <w14:schemeClr w14:val="tx1"/>
                  </w14:solidFill>
                </w14:textFill>
              </w:rPr>
              <w:t>喷淋塔废水、反冲洗废水）</w:t>
            </w:r>
            <w:r>
              <w:rPr>
                <w:color w:val="000000" w:themeColor="text1"/>
                <w:spacing w:val="-3"/>
                <w14:textFill>
                  <w14:solidFill>
                    <w14:schemeClr w14:val="tx1"/>
                  </w14:solidFill>
                </w14:textFill>
              </w:rPr>
              <w:t>经企业的污水处理设施处理后</w:t>
            </w:r>
            <w:r>
              <w:rPr>
                <w:rFonts w:hint="eastAsia"/>
                <w:color w:val="000000" w:themeColor="text1"/>
                <w:spacing w:val="-3"/>
                <w:lang w:val="en-US" w:eastAsia="zh-CN"/>
                <w14:textFill>
                  <w14:solidFill>
                    <w14:schemeClr w14:val="tx1"/>
                  </w14:solidFill>
                </w14:textFill>
              </w:rPr>
              <w:t>回用</w:t>
            </w:r>
            <w:r>
              <w:rPr>
                <w:color w:val="000000" w:themeColor="text1"/>
                <w:spacing w:val="-3"/>
                <w14:textFill>
                  <w14:solidFill>
                    <w14:schemeClr w14:val="tx1"/>
                  </w14:solidFill>
                </w14:textFill>
              </w:rPr>
              <w:t>，回用</w:t>
            </w:r>
            <w:r>
              <w:rPr>
                <w:color w:val="000000" w:themeColor="text1"/>
                <w:spacing w:val="-1"/>
                <w14:textFill>
                  <w14:solidFill>
                    <w14:schemeClr w14:val="tx1"/>
                  </w14:solidFill>
                </w14:textFill>
              </w:rPr>
              <w:t>水水质满足</w:t>
            </w:r>
            <w:r>
              <w:rPr>
                <w:rFonts w:hint="default" w:ascii="Times New Roman" w:hAnsi="Times New Roman" w:cs="Times New Roman"/>
                <w:color w:val="000000" w:themeColor="text1"/>
                <w:spacing w:val="-1"/>
                <w14:textFill>
                  <w14:solidFill>
                    <w14:schemeClr w14:val="tx1"/>
                  </w14:solidFill>
                </w14:textFill>
              </w:rPr>
              <w:t>《城市污水再生利用 工业用水水质》（GB/T 19923-2024）</w:t>
            </w:r>
            <w:r>
              <w:rPr>
                <w:color w:val="000000" w:themeColor="text1"/>
                <w:spacing w:val="-2"/>
                <w14:textFill>
                  <w14:solidFill>
                    <w14:schemeClr w14:val="tx1"/>
                  </w14:solidFill>
                </w14:textFill>
              </w:rPr>
              <w:t>表</w:t>
            </w:r>
            <w:r>
              <w:rPr>
                <w:rFonts w:ascii="Times New Roman" w:hAnsi="Times New Roman" w:eastAsia="Times New Roman" w:cs="Times New Roman"/>
                <w:color w:val="000000" w:themeColor="text1"/>
                <w:spacing w:val="-2"/>
                <w14:textFill>
                  <w14:solidFill>
                    <w14:schemeClr w14:val="tx1"/>
                  </w14:solidFill>
                </w14:textFill>
              </w:rPr>
              <w:t>1</w:t>
            </w:r>
            <w:r>
              <w:rPr>
                <w:color w:val="000000" w:themeColor="text1"/>
                <w:spacing w:val="-2"/>
                <w14:textFill>
                  <w14:solidFill>
                    <w14:schemeClr w14:val="tx1"/>
                  </w14:solidFill>
                </w14:textFill>
              </w:rPr>
              <w:t>中</w:t>
            </w:r>
            <w:r>
              <w:rPr>
                <w:rFonts w:hint="default" w:ascii="Times New Roman" w:hAnsi="Times New Roman" w:cs="Times New Roman"/>
                <w:color w:val="000000" w:themeColor="text1"/>
                <w:spacing w:val="-7"/>
                <w14:textFill>
                  <w14:solidFill>
                    <w14:schemeClr w14:val="tx1"/>
                  </w14:solidFill>
                </w14:textFill>
              </w:rPr>
              <w:t>直流冷却水、洗涤用水</w:t>
            </w:r>
            <w:r>
              <w:rPr>
                <w:rFonts w:hint="eastAsia" w:ascii="Times New Roman" w:hAnsi="Times New Roman" w:cs="Times New Roman"/>
                <w:color w:val="000000" w:themeColor="text1"/>
                <w:spacing w:val="-7"/>
                <w:lang w:val="en-US" w:eastAsia="zh-CN"/>
                <w14:textFill>
                  <w14:solidFill>
                    <w14:schemeClr w14:val="tx1"/>
                  </w14:solidFill>
                </w14:textFill>
              </w:rPr>
              <w:t>和《污水排入城镇下水道水质标准》（GB/T 31962-2015）中标准限值，SS满足企业自定标准限值。</w:t>
            </w:r>
          </w:p>
          <w:p w14:paraId="29B31521">
            <w:pPr>
              <w:pStyle w:val="84"/>
              <w:spacing w:before="35" w:line="359" w:lineRule="auto"/>
              <w:ind w:left="109" w:right="101" w:firstLine="480"/>
              <w:jc w:val="both"/>
              <w:rPr>
                <w:rFonts w:hint="default" w:ascii="Times New Roman" w:hAnsi="Times New Roman" w:cs="Times New Roman"/>
                <w:color w:val="000000" w:themeColor="text1"/>
                <w:spacing w:val="-7"/>
                <w:lang w:val="en-US" w:eastAsia="zh-CN"/>
                <w14:textFill>
                  <w14:solidFill>
                    <w14:schemeClr w14:val="tx1"/>
                  </w14:solidFill>
                </w14:textFill>
              </w:rPr>
            </w:pPr>
            <w:r>
              <w:rPr>
                <w:rFonts w:hint="eastAsia" w:ascii="Times New Roman" w:hAnsi="Times New Roman" w:cs="Times New Roman"/>
                <w:color w:val="000000" w:themeColor="text1"/>
                <w:spacing w:val="-7"/>
                <w:lang w:val="en-US" w:eastAsia="zh-CN"/>
                <w14:textFill>
                  <w14:solidFill>
                    <w14:schemeClr w14:val="tx1"/>
                  </w14:solidFill>
                </w14:textFill>
              </w:rPr>
              <w:t>③中水回用可行性分析</w:t>
            </w:r>
          </w:p>
          <w:p w14:paraId="3BBA23DA">
            <w:pPr>
              <w:pStyle w:val="84"/>
              <w:spacing w:before="35" w:line="359" w:lineRule="auto"/>
              <w:ind w:left="109" w:right="101" w:firstLine="480"/>
              <w:jc w:val="both"/>
              <w:rPr>
                <w:rFonts w:hint="default" w:ascii="Times New Roman" w:hAnsi="Times New Roman" w:cs="Times New Roman"/>
                <w:color w:val="000000" w:themeColor="text1"/>
                <w:spacing w:val="-7"/>
                <w:lang w:val="en-US" w:eastAsia="zh-CN"/>
                <w14:textFill>
                  <w14:solidFill>
                    <w14:schemeClr w14:val="tx1"/>
                  </w14:solidFill>
                </w14:textFill>
              </w:rPr>
            </w:pPr>
            <w:r>
              <w:rPr>
                <w:rFonts w:hint="eastAsia" w:ascii="Times New Roman" w:hAnsi="Times New Roman" w:cs="Times New Roman"/>
                <w:color w:val="000000" w:themeColor="text1"/>
                <w:spacing w:val="-7"/>
                <w:lang w:val="en-US" w:eastAsia="zh-CN"/>
                <w14:textFill>
                  <w14:solidFill>
                    <w14:schemeClr w14:val="tx1"/>
                  </w14:solidFill>
                </w14:textFill>
              </w:rPr>
              <w:t>项目综合废水经企业的污水处理设施处理后回用，回用水水质满足《城市污水再生利用 工业用水水质》（GB/T 19923-2024）表1中直流冷却水、洗涤用水和《污水排入城镇下水道水质标准》（GB/T 31962-2015）中标准限值，SS满足企业自定标准限值，可回用于各喷淋工段。回用水量为143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7"/>
                <w:lang w:val="en-US" w:eastAsia="zh-CN"/>
                <w14:textFill>
                  <w14:solidFill>
                    <w14:schemeClr w14:val="tx1"/>
                  </w14:solidFill>
                </w14:textFill>
              </w:rPr>
              <w:t>/a，回用点位为电解除油、酸洗、铜保护等相应的喷淋工序，共需用水210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7"/>
                <w:lang w:val="en-US" w:eastAsia="zh-CN"/>
                <w14:textFill>
                  <w14:solidFill>
                    <w14:schemeClr w14:val="tx1"/>
                  </w14:solidFill>
                </w14:textFill>
              </w:rPr>
              <w:t>/a，可以完全回用。</w:t>
            </w:r>
          </w:p>
          <w:p w14:paraId="633D3F1C">
            <w:pPr>
              <w:pStyle w:val="84"/>
              <w:spacing w:before="35" w:line="359" w:lineRule="auto"/>
              <w:ind w:left="109" w:right="101" w:firstLine="480"/>
              <w:jc w:val="both"/>
              <w:rPr>
                <w:rFonts w:hint="eastAsia" w:ascii="Times New Roman" w:hAnsi="Times New Roman" w:cs="Times New Roman"/>
                <w:color w:val="000000" w:themeColor="text1"/>
                <w:spacing w:val="-7"/>
                <w:lang w:val="en-US" w:eastAsia="zh-CN"/>
                <w14:textFill>
                  <w14:solidFill>
                    <w14:schemeClr w14:val="tx1"/>
                  </w14:solidFill>
                </w14:textFill>
              </w:rPr>
            </w:pPr>
            <w:r>
              <w:rPr>
                <w:rFonts w:hint="eastAsia" w:ascii="Times New Roman" w:hAnsi="Times New Roman" w:cs="Times New Roman"/>
                <w:color w:val="000000" w:themeColor="text1"/>
                <w:spacing w:val="-7"/>
                <w:lang w:val="en-US" w:eastAsia="zh-CN"/>
                <w14:textFill>
                  <w14:solidFill>
                    <w14:schemeClr w14:val="tx1"/>
                  </w14:solidFill>
                </w14:textFill>
              </w:rPr>
              <w:t>④同类项目案例分析</w:t>
            </w:r>
          </w:p>
          <w:p w14:paraId="43F9092B">
            <w:pPr>
              <w:pStyle w:val="84"/>
              <w:spacing w:before="35" w:line="359" w:lineRule="auto"/>
              <w:ind w:left="109" w:right="101" w:firstLine="48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根据《江苏世烨鼎电子科技有限公司电子元器件生产扩建项目（部分验收）竣工环境保护验收监测报告表》，建设项目位于江苏省常州市金坛区开发区晨风路968号，行业类别为C3824电力电子元器件制造。该项目于2025年6月通过竣工环境保护验收，验收内容为年产2100万件电子元器件。该项目生产废水主要为清洗废水，经污水处理设施处理后回用于清洗工艺。该项目污水处理设施工艺为气浮沉淀、过滤单元、反渗透，与本项目类似，具有可比性。</w:t>
            </w:r>
          </w:p>
          <w:p w14:paraId="45FB42A4">
            <w:pPr>
              <w:pStyle w:val="84"/>
              <w:spacing w:before="35" w:line="359" w:lineRule="auto"/>
              <w:ind w:left="109" w:right="101" w:firstLine="480"/>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2025年04月07日</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-08日，江苏巨成检测科技有限公司对项目污水处理站出口进行验收监测，监测结果见下表。</w:t>
            </w:r>
          </w:p>
          <w:p w14:paraId="3E3B53FB">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7"/>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cs="Times New Roman"/>
                <w:b/>
                <w:bCs/>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同类型项目水质监测结果统计表  单位mg/L</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51"/>
              <w:gridCol w:w="2145"/>
              <w:gridCol w:w="979"/>
              <w:gridCol w:w="979"/>
              <w:gridCol w:w="979"/>
              <w:gridCol w:w="980"/>
              <w:gridCol w:w="658"/>
              <w:gridCol w:w="683"/>
            </w:tblGrid>
            <w:tr w14:paraId="7B42C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1" w:type="dxa"/>
                  <w:vMerge w:val="restart"/>
                  <w:noWrap w:val="0"/>
                  <w:vAlign w:val="center"/>
                </w:tcPr>
                <w:p w14:paraId="6E6867F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采样时间</w:t>
                  </w:r>
                </w:p>
              </w:tc>
              <w:tc>
                <w:tcPr>
                  <w:tcW w:w="2145" w:type="dxa"/>
                  <w:vMerge w:val="restart"/>
                  <w:noWrap w:val="0"/>
                  <w:vAlign w:val="center"/>
                </w:tcPr>
                <w:p w14:paraId="7C93B07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检测项目</w:t>
                  </w:r>
                </w:p>
              </w:tc>
              <w:tc>
                <w:tcPr>
                  <w:tcW w:w="3917" w:type="dxa"/>
                  <w:gridSpan w:val="4"/>
                  <w:noWrap w:val="0"/>
                  <w:vAlign w:val="center"/>
                </w:tcPr>
                <w:p w14:paraId="223399F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生产废水出口</w:t>
                  </w:r>
                </w:p>
              </w:tc>
              <w:tc>
                <w:tcPr>
                  <w:tcW w:w="658" w:type="dxa"/>
                  <w:vMerge w:val="restart"/>
                  <w:noWrap w:val="0"/>
                  <w:vAlign w:val="center"/>
                </w:tcPr>
                <w:p w14:paraId="1CA1F88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回用标准</w:t>
                  </w:r>
                </w:p>
              </w:tc>
              <w:tc>
                <w:tcPr>
                  <w:tcW w:w="683" w:type="dxa"/>
                  <w:vMerge w:val="restart"/>
                  <w:noWrap w:val="0"/>
                  <w:vAlign w:val="center"/>
                </w:tcPr>
                <w:p w14:paraId="7D821E49">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评价</w:t>
                  </w:r>
                </w:p>
              </w:tc>
            </w:tr>
            <w:tr w14:paraId="76154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130EDF59">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vMerge w:val="continue"/>
                  <w:noWrap w:val="0"/>
                  <w:vAlign w:val="center"/>
                </w:tcPr>
                <w:p w14:paraId="4939485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979" w:type="dxa"/>
                  <w:noWrap w:val="0"/>
                  <w:vAlign w:val="center"/>
                </w:tcPr>
                <w:p w14:paraId="7EF6604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第一次</w:t>
                  </w:r>
                </w:p>
              </w:tc>
              <w:tc>
                <w:tcPr>
                  <w:tcW w:w="979" w:type="dxa"/>
                  <w:noWrap w:val="0"/>
                  <w:vAlign w:val="center"/>
                </w:tcPr>
                <w:p w14:paraId="7289A50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第二次</w:t>
                  </w:r>
                </w:p>
              </w:tc>
              <w:tc>
                <w:tcPr>
                  <w:tcW w:w="979" w:type="dxa"/>
                  <w:noWrap w:val="0"/>
                  <w:vAlign w:val="center"/>
                </w:tcPr>
                <w:p w14:paraId="524389F5">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第三次</w:t>
                  </w:r>
                </w:p>
              </w:tc>
              <w:tc>
                <w:tcPr>
                  <w:tcW w:w="980" w:type="dxa"/>
                  <w:noWrap w:val="0"/>
                  <w:vAlign w:val="center"/>
                </w:tcPr>
                <w:p w14:paraId="32F57966">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第四次</w:t>
                  </w:r>
                </w:p>
              </w:tc>
              <w:tc>
                <w:tcPr>
                  <w:tcW w:w="658" w:type="dxa"/>
                  <w:vMerge w:val="continue"/>
                  <w:noWrap w:val="0"/>
                  <w:vAlign w:val="center"/>
                </w:tcPr>
                <w:p w14:paraId="028131A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683" w:type="dxa"/>
                  <w:vMerge w:val="continue"/>
                  <w:noWrap w:val="0"/>
                  <w:vAlign w:val="center"/>
                </w:tcPr>
                <w:p w14:paraId="3F15AF9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r>
            <w:tr w14:paraId="7D149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restart"/>
                  <w:noWrap w:val="0"/>
                  <w:vAlign w:val="center"/>
                </w:tcPr>
                <w:p w14:paraId="3B3FD30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2025年04月07日</w:t>
                  </w:r>
                </w:p>
              </w:tc>
              <w:tc>
                <w:tcPr>
                  <w:tcW w:w="2145" w:type="dxa"/>
                  <w:noWrap w:val="0"/>
                  <w:vAlign w:val="center"/>
                </w:tcPr>
                <w:p w14:paraId="26E1261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样品状态</w:t>
                  </w:r>
                </w:p>
              </w:tc>
              <w:tc>
                <w:tcPr>
                  <w:tcW w:w="3917" w:type="dxa"/>
                  <w:gridSpan w:val="4"/>
                  <w:noWrap w:val="0"/>
                  <w:vAlign w:val="center"/>
                </w:tcPr>
                <w:p w14:paraId="2B84FCB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透明、无色、无臭</w:t>
                  </w:r>
                </w:p>
              </w:tc>
              <w:tc>
                <w:tcPr>
                  <w:tcW w:w="658" w:type="dxa"/>
                  <w:noWrap w:val="0"/>
                  <w:vAlign w:val="center"/>
                </w:tcPr>
                <w:p w14:paraId="2BE35196">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w:t>
                  </w:r>
                </w:p>
              </w:tc>
              <w:tc>
                <w:tcPr>
                  <w:tcW w:w="683" w:type="dxa"/>
                  <w:noWrap w:val="0"/>
                  <w:vAlign w:val="center"/>
                </w:tcPr>
                <w:p w14:paraId="1759035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w:t>
                  </w:r>
                </w:p>
              </w:tc>
            </w:tr>
            <w:tr w14:paraId="3330B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5AB4D5E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1CF568A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pH值（无量纲）</w:t>
                  </w:r>
                </w:p>
              </w:tc>
              <w:tc>
                <w:tcPr>
                  <w:tcW w:w="979" w:type="dxa"/>
                  <w:noWrap w:val="0"/>
                  <w:vAlign w:val="center"/>
                </w:tcPr>
                <w:p w14:paraId="2B59F57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w:t>
                  </w:r>
                </w:p>
              </w:tc>
              <w:tc>
                <w:tcPr>
                  <w:tcW w:w="979" w:type="dxa"/>
                  <w:noWrap w:val="0"/>
                  <w:vAlign w:val="center"/>
                </w:tcPr>
                <w:p w14:paraId="320EA12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w:t>
                  </w:r>
                </w:p>
              </w:tc>
              <w:tc>
                <w:tcPr>
                  <w:tcW w:w="979" w:type="dxa"/>
                  <w:noWrap w:val="0"/>
                  <w:vAlign w:val="center"/>
                </w:tcPr>
                <w:p w14:paraId="1900132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w:t>
                  </w:r>
                </w:p>
              </w:tc>
              <w:tc>
                <w:tcPr>
                  <w:tcW w:w="980" w:type="dxa"/>
                  <w:noWrap w:val="0"/>
                  <w:vAlign w:val="center"/>
                </w:tcPr>
                <w:p w14:paraId="64AEA05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7.3</w:t>
                  </w:r>
                </w:p>
              </w:tc>
              <w:tc>
                <w:tcPr>
                  <w:tcW w:w="658" w:type="dxa"/>
                  <w:noWrap w:val="0"/>
                  <w:vAlign w:val="center"/>
                </w:tcPr>
                <w:p w14:paraId="09FEFD0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6~9</w:t>
                  </w:r>
                </w:p>
              </w:tc>
              <w:tc>
                <w:tcPr>
                  <w:tcW w:w="683" w:type="dxa"/>
                  <w:noWrap w:val="0"/>
                  <w:vAlign w:val="center"/>
                </w:tcPr>
                <w:p w14:paraId="1C10436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25A44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45DBED1E">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215B2D0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化学需氧量</w:t>
                  </w:r>
                </w:p>
              </w:tc>
              <w:tc>
                <w:tcPr>
                  <w:tcW w:w="979" w:type="dxa"/>
                  <w:noWrap w:val="0"/>
                  <w:vAlign w:val="center"/>
                </w:tcPr>
                <w:p w14:paraId="2D8BB99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26</w:t>
                  </w:r>
                </w:p>
              </w:tc>
              <w:tc>
                <w:tcPr>
                  <w:tcW w:w="979" w:type="dxa"/>
                  <w:noWrap w:val="0"/>
                  <w:vAlign w:val="center"/>
                </w:tcPr>
                <w:p w14:paraId="6639246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30</w:t>
                  </w:r>
                </w:p>
              </w:tc>
              <w:tc>
                <w:tcPr>
                  <w:tcW w:w="979" w:type="dxa"/>
                  <w:noWrap w:val="0"/>
                  <w:vAlign w:val="center"/>
                </w:tcPr>
                <w:p w14:paraId="572E4D9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32</w:t>
                  </w:r>
                </w:p>
              </w:tc>
              <w:tc>
                <w:tcPr>
                  <w:tcW w:w="980" w:type="dxa"/>
                  <w:noWrap w:val="0"/>
                  <w:vAlign w:val="center"/>
                </w:tcPr>
                <w:p w14:paraId="78BFDB65">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24</w:t>
                  </w:r>
                </w:p>
              </w:tc>
              <w:tc>
                <w:tcPr>
                  <w:tcW w:w="658" w:type="dxa"/>
                  <w:noWrap w:val="0"/>
                  <w:vAlign w:val="center"/>
                </w:tcPr>
                <w:p w14:paraId="0D0CF1A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14:textFill>
                        <w14:solidFill>
                          <w14:schemeClr w14:val="tx1"/>
                        </w14:solidFill>
                      </w14:textFill>
                    </w:rPr>
                    <w:t>0</w:t>
                  </w:r>
                </w:p>
              </w:tc>
              <w:tc>
                <w:tcPr>
                  <w:tcW w:w="683" w:type="dxa"/>
                  <w:noWrap w:val="0"/>
                  <w:vAlign w:val="center"/>
                </w:tcPr>
                <w:p w14:paraId="0BCE415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27501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163A5F5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543EF3F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阴离子表面活性剂</w:t>
                  </w:r>
                </w:p>
              </w:tc>
              <w:tc>
                <w:tcPr>
                  <w:tcW w:w="979" w:type="dxa"/>
                  <w:noWrap w:val="0"/>
                  <w:vAlign w:val="center"/>
                </w:tcPr>
                <w:p w14:paraId="5219426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0.24</w:t>
                  </w:r>
                </w:p>
              </w:tc>
              <w:tc>
                <w:tcPr>
                  <w:tcW w:w="979" w:type="dxa"/>
                  <w:noWrap w:val="0"/>
                  <w:vAlign w:val="center"/>
                </w:tcPr>
                <w:p w14:paraId="421B887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0.24</w:t>
                  </w:r>
                </w:p>
              </w:tc>
              <w:tc>
                <w:tcPr>
                  <w:tcW w:w="979" w:type="dxa"/>
                  <w:noWrap w:val="0"/>
                  <w:vAlign w:val="center"/>
                </w:tcPr>
                <w:p w14:paraId="67F175D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0.26</w:t>
                  </w:r>
                </w:p>
              </w:tc>
              <w:tc>
                <w:tcPr>
                  <w:tcW w:w="980" w:type="dxa"/>
                  <w:noWrap w:val="0"/>
                  <w:vAlign w:val="center"/>
                </w:tcPr>
                <w:p w14:paraId="4E2C646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0.22</w:t>
                  </w:r>
                </w:p>
              </w:tc>
              <w:tc>
                <w:tcPr>
                  <w:tcW w:w="658" w:type="dxa"/>
                  <w:noWrap w:val="0"/>
                  <w:vAlign w:val="center"/>
                </w:tcPr>
                <w:p w14:paraId="65961F9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0.5</w:t>
                  </w:r>
                </w:p>
              </w:tc>
              <w:tc>
                <w:tcPr>
                  <w:tcW w:w="683" w:type="dxa"/>
                  <w:noWrap w:val="0"/>
                  <w:vAlign w:val="center"/>
                </w:tcPr>
                <w:p w14:paraId="0A722FC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4DF4C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371C2EE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0354F87A">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悬浮物</w:t>
                  </w:r>
                </w:p>
              </w:tc>
              <w:tc>
                <w:tcPr>
                  <w:tcW w:w="979" w:type="dxa"/>
                  <w:noWrap w:val="0"/>
                  <w:vAlign w:val="center"/>
                </w:tcPr>
                <w:p w14:paraId="3E0D94A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16</w:t>
                  </w:r>
                </w:p>
              </w:tc>
              <w:tc>
                <w:tcPr>
                  <w:tcW w:w="979" w:type="dxa"/>
                  <w:noWrap w:val="0"/>
                  <w:vAlign w:val="center"/>
                </w:tcPr>
                <w:p w14:paraId="7341EA7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18</w:t>
                  </w:r>
                </w:p>
              </w:tc>
              <w:tc>
                <w:tcPr>
                  <w:tcW w:w="979" w:type="dxa"/>
                  <w:noWrap w:val="0"/>
                  <w:vAlign w:val="center"/>
                </w:tcPr>
                <w:p w14:paraId="492BD3E6">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19</w:t>
                  </w:r>
                </w:p>
              </w:tc>
              <w:tc>
                <w:tcPr>
                  <w:tcW w:w="980" w:type="dxa"/>
                  <w:noWrap w:val="0"/>
                  <w:vAlign w:val="center"/>
                </w:tcPr>
                <w:p w14:paraId="4223C95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13</w:t>
                  </w:r>
                </w:p>
              </w:tc>
              <w:tc>
                <w:tcPr>
                  <w:tcW w:w="658" w:type="dxa"/>
                  <w:noWrap w:val="0"/>
                  <w:vAlign w:val="center"/>
                </w:tcPr>
                <w:p w14:paraId="6478651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20</w:t>
                  </w:r>
                </w:p>
              </w:tc>
              <w:tc>
                <w:tcPr>
                  <w:tcW w:w="683" w:type="dxa"/>
                  <w:noWrap w:val="0"/>
                  <w:vAlign w:val="center"/>
                </w:tcPr>
                <w:p w14:paraId="0CAECEB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4E742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1A78C3C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244580A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石油类</w:t>
                  </w:r>
                </w:p>
              </w:tc>
              <w:tc>
                <w:tcPr>
                  <w:tcW w:w="979" w:type="dxa"/>
                  <w:noWrap w:val="0"/>
                  <w:vAlign w:val="center"/>
                </w:tcPr>
                <w:p w14:paraId="4822936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0.49</w:t>
                  </w:r>
                </w:p>
              </w:tc>
              <w:tc>
                <w:tcPr>
                  <w:tcW w:w="979" w:type="dxa"/>
                  <w:noWrap w:val="0"/>
                  <w:vAlign w:val="center"/>
                </w:tcPr>
                <w:p w14:paraId="43FEC9B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0.38</w:t>
                  </w:r>
                </w:p>
              </w:tc>
              <w:tc>
                <w:tcPr>
                  <w:tcW w:w="979" w:type="dxa"/>
                  <w:noWrap w:val="0"/>
                  <w:vAlign w:val="center"/>
                </w:tcPr>
                <w:p w14:paraId="15A229C6">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0.48</w:t>
                  </w:r>
                </w:p>
              </w:tc>
              <w:tc>
                <w:tcPr>
                  <w:tcW w:w="980" w:type="dxa"/>
                  <w:noWrap w:val="0"/>
                  <w:vAlign w:val="center"/>
                </w:tcPr>
                <w:p w14:paraId="0E08D159">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0.36</w:t>
                  </w:r>
                </w:p>
              </w:tc>
              <w:tc>
                <w:tcPr>
                  <w:tcW w:w="658" w:type="dxa"/>
                  <w:noWrap w:val="0"/>
                  <w:vAlign w:val="center"/>
                </w:tcPr>
                <w:p w14:paraId="5A18E5C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w:t>
                  </w:r>
                </w:p>
              </w:tc>
              <w:tc>
                <w:tcPr>
                  <w:tcW w:w="683" w:type="dxa"/>
                  <w:noWrap w:val="0"/>
                  <w:vAlign w:val="center"/>
                </w:tcPr>
                <w:p w14:paraId="04E71CE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797CE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restart"/>
                  <w:noWrap w:val="0"/>
                  <w:vAlign w:val="center"/>
                </w:tcPr>
                <w:p w14:paraId="1AD2FBBE">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2025年04月08日</w:t>
                  </w:r>
                </w:p>
              </w:tc>
              <w:tc>
                <w:tcPr>
                  <w:tcW w:w="2145" w:type="dxa"/>
                  <w:noWrap w:val="0"/>
                  <w:vAlign w:val="center"/>
                </w:tcPr>
                <w:p w14:paraId="5436665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样品状态</w:t>
                  </w:r>
                </w:p>
              </w:tc>
              <w:tc>
                <w:tcPr>
                  <w:tcW w:w="3917" w:type="dxa"/>
                  <w:gridSpan w:val="4"/>
                  <w:noWrap w:val="0"/>
                  <w:vAlign w:val="center"/>
                </w:tcPr>
                <w:p w14:paraId="119CBDB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透明、无色、无臭</w:t>
                  </w:r>
                </w:p>
              </w:tc>
              <w:tc>
                <w:tcPr>
                  <w:tcW w:w="658" w:type="dxa"/>
                  <w:shd w:val="clear" w:color="auto" w:fill="auto"/>
                  <w:noWrap w:val="0"/>
                  <w:vAlign w:val="center"/>
                </w:tcPr>
                <w:p w14:paraId="67BEB1E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w:t>
                  </w:r>
                </w:p>
              </w:tc>
              <w:tc>
                <w:tcPr>
                  <w:tcW w:w="683" w:type="dxa"/>
                  <w:shd w:val="clear" w:color="auto" w:fill="auto"/>
                  <w:noWrap w:val="0"/>
                  <w:vAlign w:val="center"/>
                </w:tcPr>
                <w:p w14:paraId="014BF77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w:t>
                  </w:r>
                </w:p>
              </w:tc>
            </w:tr>
            <w:tr w14:paraId="6A6F0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30561B8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75CA3A3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pH值（无量纲）</w:t>
                  </w:r>
                </w:p>
              </w:tc>
              <w:tc>
                <w:tcPr>
                  <w:tcW w:w="979" w:type="dxa"/>
                  <w:shd w:val="clear" w:color="auto" w:fill="auto"/>
                  <w:noWrap w:val="0"/>
                  <w:vAlign w:val="center"/>
                </w:tcPr>
                <w:p w14:paraId="56F88D1E">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w:t>
                  </w:r>
                </w:p>
              </w:tc>
              <w:tc>
                <w:tcPr>
                  <w:tcW w:w="979" w:type="dxa"/>
                  <w:shd w:val="clear" w:color="auto" w:fill="auto"/>
                  <w:noWrap w:val="0"/>
                  <w:vAlign w:val="center"/>
                </w:tcPr>
                <w:p w14:paraId="752A7CC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w:t>
                  </w:r>
                </w:p>
              </w:tc>
              <w:tc>
                <w:tcPr>
                  <w:tcW w:w="979" w:type="dxa"/>
                  <w:shd w:val="clear" w:color="auto" w:fill="auto"/>
                  <w:noWrap w:val="0"/>
                  <w:vAlign w:val="center"/>
                </w:tcPr>
                <w:p w14:paraId="4E3A03D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w:t>
                  </w:r>
                </w:p>
              </w:tc>
              <w:tc>
                <w:tcPr>
                  <w:tcW w:w="980" w:type="dxa"/>
                  <w:shd w:val="clear" w:color="auto" w:fill="auto"/>
                  <w:noWrap w:val="0"/>
                  <w:vAlign w:val="center"/>
                </w:tcPr>
                <w:p w14:paraId="2318869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7.1</w:t>
                  </w:r>
                </w:p>
              </w:tc>
              <w:tc>
                <w:tcPr>
                  <w:tcW w:w="658" w:type="dxa"/>
                  <w:shd w:val="clear" w:color="auto" w:fill="auto"/>
                  <w:noWrap w:val="0"/>
                  <w:vAlign w:val="center"/>
                </w:tcPr>
                <w:p w14:paraId="77586BA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6~9</w:t>
                  </w:r>
                </w:p>
              </w:tc>
              <w:tc>
                <w:tcPr>
                  <w:tcW w:w="683" w:type="dxa"/>
                  <w:shd w:val="clear" w:color="auto" w:fill="auto"/>
                  <w:noWrap w:val="0"/>
                  <w:vAlign w:val="center"/>
                </w:tcPr>
                <w:p w14:paraId="149C89A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507BC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0D7ADA7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7BFE990A">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化学需氧量</w:t>
                  </w:r>
                </w:p>
              </w:tc>
              <w:tc>
                <w:tcPr>
                  <w:tcW w:w="979" w:type="dxa"/>
                  <w:shd w:val="clear" w:color="auto" w:fill="auto"/>
                  <w:noWrap w:val="0"/>
                  <w:vAlign w:val="center"/>
                </w:tcPr>
                <w:p w14:paraId="426CC9F9">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35</w:t>
                  </w:r>
                </w:p>
              </w:tc>
              <w:tc>
                <w:tcPr>
                  <w:tcW w:w="979" w:type="dxa"/>
                  <w:shd w:val="clear" w:color="auto" w:fill="auto"/>
                  <w:noWrap w:val="0"/>
                  <w:vAlign w:val="center"/>
                </w:tcPr>
                <w:p w14:paraId="1D82BD66">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34</w:t>
                  </w:r>
                </w:p>
              </w:tc>
              <w:tc>
                <w:tcPr>
                  <w:tcW w:w="979" w:type="dxa"/>
                  <w:shd w:val="clear" w:color="auto" w:fill="auto"/>
                  <w:noWrap w:val="0"/>
                  <w:vAlign w:val="center"/>
                </w:tcPr>
                <w:p w14:paraId="548F59D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35</w:t>
                  </w:r>
                </w:p>
              </w:tc>
              <w:tc>
                <w:tcPr>
                  <w:tcW w:w="980" w:type="dxa"/>
                  <w:shd w:val="clear" w:color="auto" w:fill="auto"/>
                  <w:noWrap w:val="0"/>
                  <w:vAlign w:val="center"/>
                </w:tcPr>
                <w:p w14:paraId="1C4940AC">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36</w:t>
                  </w:r>
                </w:p>
              </w:tc>
              <w:tc>
                <w:tcPr>
                  <w:tcW w:w="658" w:type="dxa"/>
                  <w:shd w:val="clear" w:color="auto" w:fill="auto"/>
                  <w:noWrap w:val="0"/>
                  <w:vAlign w:val="center"/>
                </w:tcPr>
                <w:p w14:paraId="647D07FE">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14:textFill>
                        <w14:solidFill>
                          <w14:schemeClr w14:val="tx1"/>
                        </w14:solidFill>
                      </w14:textFill>
                    </w:rPr>
                    <w:t>0</w:t>
                  </w:r>
                </w:p>
              </w:tc>
              <w:tc>
                <w:tcPr>
                  <w:tcW w:w="683" w:type="dxa"/>
                  <w:shd w:val="clear" w:color="auto" w:fill="auto"/>
                  <w:noWrap w:val="0"/>
                  <w:vAlign w:val="center"/>
                </w:tcPr>
                <w:p w14:paraId="5CB919B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4B235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55B1B0F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357CB219">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阴离子表面活性剂</w:t>
                  </w:r>
                </w:p>
              </w:tc>
              <w:tc>
                <w:tcPr>
                  <w:tcW w:w="979" w:type="dxa"/>
                  <w:shd w:val="clear" w:color="auto" w:fill="auto"/>
                  <w:noWrap w:val="0"/>
                  <w:vAlign w:val="center"/>
                </w:tcPr>
                <w:p w14:paraId="7E4FE83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0.28</w:t>
                  </w:r>
                </w:p>
              </w:tc>
              <w:tc>
                <w:tcPr>
                  <w:tcW w:w="979" w:type="dxa"/>
                  <w:shd w:val="clear" w:color="auto" w:fill="auto"/>
                  <w:noWrap w:val="0"/>
                  <w:vAlign w:val="center"/>
                </w:tcPr>
                <w:p w14:paraId="53107E9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0.23</w:t>
                  </w:r>
                </w:p>
              </w:tc>
              <w:tc>
                <w:tcPr>
                  <w:tcW w:w="979" w:type="dxa"/>
                  <w:shd w:val="clear" w:color="auto" w:fill="auto"/>
                  <w:noWrap w:val="0"/>
                  <w:vAlign w:val="center"/>
                </w:tcPr>
                <w:p w14:paraId="30A98F1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0.26</w:t>
                  </w:r>
                </w:p>
              </w:tc>
              <w:tc>
                <w:tcPr>
                  <w:tcW w:w="980" w:type="dxa"/>
                  <w:shd w:val="clear" w:color="auto" w:fill="auto"/>
                  <w:noWrap w:val="0"/>
                  <w:vAlign w:val="center"/>
                </w:tcPr>
                <w:p w14:paraId="272FD225">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0.27</w:t>
                  </w:r>
                </w:p>
              </w:tc>
              <w:tc>
                <w:tcPr>
                  <w:tcW w:w="658" w:type="dxa"/>
                  <w:shd w:val="clear" w:color="auto" w:fill="auto"/>
                  <w:noWrap w:val="0"/>
                  <w:vAlign w:val="center"/>
                </w:tcPr>
                <w:p w14:paraId="1799B65A">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0.5</w:t>
                  </w:r>
                </w:p>
              </w:tc>
              <w:tc>
                <w:tcPr>
                  <w:tcW w:w="683" w:type="dxa"/>
                  <w:shd w:val="clear" w:color="auto" w:fill="auto"/>
                  <w:noWrap w:val="0"/>
                  <w:vAlign w:val="center"/>
                </w:tcPr>
                <w:p w14:paraId="5ABA9BE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2FA96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68E96F1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72AF36A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悬浮物</w:t>
                  </w:r>
                </w:p>
              </w:tc>
              <w:tc>
                <w:tcPr>
                  <w:tcW w:w="979" w:type="dxa"/>
                  <w:shd w:val="clear" w:color="auto" w:fill="auto"/>
                  <w:noWrap w:val="0"/>
                  <w:vAlign w:val="center"/>
                </w:tcPr>
                <w:p w14:paraId="4100B63D">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15</w:t>
                  </w:r>
                </w:p>
              </w:tc>
              <w:tc>
                <w:tcPr>
                  <w:tcW w:w="979" w:type="dxa"/>
                  <w:shd w:val="clear" w:color="auto" w:fill="auto"/>
                  <w:noWrap w:val="0"/>
                  <w:vAlign w:val="center"/>
                </w:tcPr>
                <w:p w14:paraId="594CC09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19</w:t>
                  </w:r>
                </w:p>
              </w:tc>
              <w:tc>
                <w:tcPr>
                  <w:tcW w:w="979" w:type="dxa"/>
                  <w:shd w:val="clear" w:color="auto" w:fill="auto"/>
                  <w:noWrap w:val="0"/>
                  <w:vAlign w:val="center"/>
                </w:tcPr>
                <w:p w14:paraId="625F448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18</w:t>
                  </w:r>
                </w:p>
              </w:tc>
              <w:tc>
                <w:tcPr>
                  <w:tcW w:w="980" w:type="dxa"/>
                  <w:shd w:val="clear" w:color="auto" w:fill="auto"/>
                  <w:noWrap w:val="0"/>
                  <w:vAlign w:val="center"/>
                </w:tcPr>
                <w:p w14:paraId="4978F5B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16</w:t>
                  </w:r>
                </w:p>
              </w:tc>
              <w:tc>
                <w:tcPr>
                  <w:tcW w:w="658" w:type="dxa"/>
                  <w:shd w:val="clear" w:color="auto" w:fill="auto"/>
                  <w:noWrap w:val="0"/>
                  <w:vAlign w:val="center"/>
                </w:tcPr>
                <w:p w14:paraId="5D0B5FCE">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20</w:t>
                  </w:r>
                </w:p>
              </w:tc>
              <w:tc>
                <w:tcPr>
                  <w:tcW w:w="683" w:type="dxa"/>
                  <w:shd w:val="clear" w:color="auto" w:fill="auto"/>
                  <w:noWrap w:val="0"/>
                  <w:vAlign w:val="center"/>
                </w:tcPr>
                <w:p w14:paraId="6A232DC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r w14:paraId="54468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1" w:type="dxa"/>
                  <w:vMerge w:val="continue"/>
                  <w:noWrap w:val="0"/>
                  <w:vAlign w:val="center"/>
                </w:tcPr>
                <w:p w14:paraId="61CE6ABF">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p>
              </w:tc>
              <w:tc>
                <w:tcPr>
                  <w:tcW w:w="2145" w:type="dxa"/>
                  <w:noWrap w:val="0"/>
                  <w:vAlign w:val="center"/>
                </w:tcPr>
                <w:p w14:paraId="0C808D23">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石油类</w:t>
                  </w:r>
                </w:p>
              </w:tc>
              <w:tc>
                <w:tcPr>
                  <w:tcW w:w="979" w:type="dxa"/>
                  <w:shd w:val="clear" w:color="auto" w:fill="auto"/>
                  <w:noWrap w:val="0"/>
                  <w:vAlign w:val="center"/>
                </w:tcPr>
                <w:p w14:paraId="2BA21E1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0.44</w:t>
                  </w:r>
                </w:p>
              </w:tc>
              <w:tc>
                <w:tcPr>
                  <w:tcW w:w="979" w:type="dxa"/>
                  <w:shd w:val="clear" w:color="auto" w:fill="auto"/>
                  <w:noWrap w:val="0"/>
                  <w:vAlign w:val="center"/>
                </w:tcPr>
                <w:p w14:paraId="4797553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0.53</w:t>
                  </w:r>
                </w:p>
              </w:tc>
              <w:tc>
                <w:tcPr>
                  <w:tcW w:w="979" w:type="dxa"/>
                  <w:shd w:val="clear" w:color="auto" w:fill="auto"/>
                  <w:noWrap w:val="0"/>
                  <w:vAlign w:val="center"/>
                </w:tcPr>
                <w:p w14:paraId="096F54D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0.67</w:t>
                  </w:r>
                </w:p>
              </w:tc>
              <w:tc>
                <w:tcPr>
                  <w:tcW w:w="980" w:type="dxa"/>
                  <w:shd w:val="clear" w:color="auto" w:fill="auto"/>
                  <w:noWrap w:val="0"/>
                  <w:vAlign w:val="center"/>
                </w:tcPr>
                <w:p w14:paraId="4B83EB6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0.45</w:t>
                  </w:r>
                </w:p>
              </w:tc>
              <w:tc>
                <w:tcPr>
                  <w:tcW w:w="658" w:type="dxa"/>
                  <w:shd w:val="clear" w:color="auto" w:fill="auto"/>
                  <w:noWrap w:val="0"/>
                  <w:vAlign w:val="center"/>
                </w:tcPr>
                <w:p w14:paraId="17836C40">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w:t>
                  </w:r>
                </w:p>
              </w:tc>
              <w:tc>
                <w:tcPr>
                  <w:tcW w:w="683" w:type="dxa"/>
                  <w:shd w:val="clear" w:color="auto" w:fill="auto"/>
                  <w:noWrap w:val="0"/>
                  <w:vAlign w:val="center"/>
                </w:tcPr>
                <w:p w14:paraId="59139BA9">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达标</w:t>
                  </w:r>
                </w:p>
              </w:tc>
            </w:tr>
          </w:tbl>
          <w:p w14:paraId="327B2386">
            <w:pPr>
              <w:pStyle w:val="84"/>
              <w:spacing w:before="35" w:line="359" w:lineRule="auto"/>
              <w:ind w:left="109" w:right="101" w:firstLine="48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监测结果表明，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该项目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pH值、化学需氧量、悬浮物、氨氮、总氮、总磷、石油类排放浓度满足</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回用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标准，环境保护设施运行正常、治理效果较好。</w:t>
            </w:r>
          </w:p>
          <w:p w14:paraId="72C61872">
            <w:pPr>
              <w:pStyle w:val="84"/>
              <w:spacing w:before="35" w:line="359" w:lineRule="auto"/>
              <w:ind w:left="109" w:right="101" w:firstLine="480"/>
              <w:jc w:val="both"/>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综上，经类比同类项目案例，本项目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综合废水经污水处理设施处理后可满足回用要求。</w:t>
            </w:r>
          </w:p>
          <w:p w14:paraId="04C48DC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lang w:val="en-US" w:eastAsia="zh-CN"/>
                <w14:textFill>
                  <w14:solidFill>
                    <w14:schemeClr w14:val="tx1"/>
                  </w14:solidFill>
                </w14:textFill>
              </w:rPr>
              <w:t>生活污水</w:t>
            </w:r>
            <w:r>
              <w:rPr>
                <w:rFonts w:hint="default" w:ascii="Times New Roman" w:hAnsi="Times New Roman" w:eastAsia="宋体" w:cs="Times New Roman"/>
                <w:b/>
                <w:bCs/>
                <w:color w:val="000000" w:themeColor="text1"/>
                <w:sz w:val="24"/>
                <w:lang w:val="en-US" w:eastAsia="zh-CN"/>
                <w14:textFill>
                  <w14:solidFill>
                    <w14:schemeClr w14:val="tx1"/>
                  </w14:solidFill>
                </w14:textFill>
              </w:rPr>
              <w:t>接管可行性分析</w:t>
            </w:r>
          </w:p>
          <w:p w14:paraId="2553DC2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管网建设情况</w:t>
            </w:r>
          </w:p>
          <w:p w14:paraId="061E698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金坛第二污水处理厂</w:t>
            </w:r>
            <w:r>
              <w:rPr>
                <w:rFonts w:hint="default" w:ascii="Times New Roman" w:hAnsi="Times New Roman" w:eastAsia="宋体" w:cs="Times New Roman"/>
                <w:color w:val="000000" w:themeColor="text1"/>
                <w:kern w:val="0"/>
                <w:sz w:val="24"/>
                <w14:textFill>
                  <w14:solidFill>
                    <w14:schemeClr w14:val="tx1"/>
                  </w14:solidFill>
                </w14:textFill>
              </w:rPr>
              <w:t>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。根据区域规划，本项目在</w:t>
            </w:r>
            <w:r>
              <w:rPr>
                <w:rFonts w:hint="default" w:ascii="Times New Roman" w:hAnsi="Times New Roman" w:eastAsia="宋体" w:cs="Times New Roman"/>
                <w:color w:val="000000" w:themeColor="text1"/>
                <w:kern w:val="0"/>
                <w:sz w:val="24"/>
                <w:lang w:eastAsia="zh-CN"/>
                <w14:textFill>
                  <w14:solidFill>
                    <w14:schemeClr w14:val="tx1"/>
                  </w14:solidFill>
                </w14:textFill>
              </w:rPr>
              <w:t>金坛第二污水处理厂</w:t>
            </w:r>
            <w:r>
              <w:rPr>
                <w:rFonts w:hint="default" w:ascii="Times New Roman" w:hAnsi="Times New Roman" w:eastAsia="宋体" w:cs="Times New Roman"/>
                <w:color w:val="000000" w:themeColor="text1"/>
                <w:kern w:val="0"/>
                <w:sz w:val="24"/>
                <w14:textFill>
                  <w14:solidFill>
                    <w14:schemeClr w14:val="tx1"/>
                  </w14:solidFill>
                </w14:textFill>
              </w:rPr>
              <w:t>接收范围之内。</w:t>
            </w:r>
          </w:p>
          <w:p w14:paraId="232A9E0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污水处理厂简介</w:t>
            </w:r>
          </w:p>
          <w:p w14:paraId="1EB276A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金坛第二污水处理厂</w:t>
            </w:r>
            <w:r>
              <w:rPr>
                <w:rFonts w:hint="default" w:ascii="Times New Roman" w:hAnsi="Times New Roman" w:eastAsia="宋体" w:cs="Times New Roman"/>
                <w:color w:val="000000" w:themeColor="text1"/>
                <w:kern w:val="0"/>
                <w:sz w:val="24"/>
                <w14:textFill>
                  <w14:solidFill>
                    <w14:schemeClr w14:val="tx1"/>
                  </w14:solidFill>
                </w14:textFill>
              </w:rPr>
              <w:t>位于江苏省金坛经济开发区内，华城东路与新常金公路交汇处以北100m。2013年年平均处理水量约为3.1万m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/d（处理负荷为77.5%），接管工业废水约1.57万t/d，接管生活污水约1.53万t/d，二污厂现状工业废水与生活污水之比约为1</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1。2014年4月8日《金坛市</w:t>
            </w:r>
            <w:r>
              <w:rPr>
                <w:rFonts w:hint="default" w:ascii="Times New Roman" w:hAnsi="Times New Roman" w:eastAsia="宋体" w:cs="Times New Roman"/>
                <w:color w:val="000000" w:themeColor="text1"/>
                <w:kern w:val="0"/>
                <w:sz w:val="24"/>
                <w:lang w:eastAsia="zh-CN"/>
                <w14:textFill>
                  <w14:solidFill>
                    <w14:schemeClr w14:val="tx1"/>
                  </w14:solidFill>
                </w14:textFill>
              </w:rPr>
              <w:t>第二污水处理有限公司</w:t>
            </w:r>
            <w:r>
              <w:rPr>
                <w:rFonts w:hint="default" w:ascii="Times New Roman" w:hAnsi="Times New Roman" w:eastAsia="宋体" w:cs="Times New Roman"/>
                <w:color w:val="000000" w:themeColor="text1"/>
                <w:kern w:val="0"/>
                <w:sz w:val="24"/>
                <w14:textFill>
                  <w14:solidFill>
                    <w14:schemeClr w14:val="tx1"/>
                  </w14:solidFill>
                </w14:textFill>
              </w:rPr>
              <w:t>扩建工程项目环境影响报告书》通过</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原</w:t>
            </w:r>
            <w:r>
              <w:rPr>
                <w:rFonts w:hint="default" w:ascii="Times New Roman" w:hAnsi="Times New Roman" w:eastAsia="宋体" w:cs="Times New Roman"/>
                <w:color w:val="000000" w:themeColor="text1"/>
                <w:kern w:val="0"/>
                <w:sz w:val="24"/>
                <w14:textFill>
                  <w14:solidFill>
                    <w14:schemeClr w14:val="tx1"/>
                  </w14:solidFill>
                </w14:textFill>
              </w:rPr>
              <w:t>金坛市环境保护局审批，规划扩建工程规模为2.0万m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/d，远期规划规模达16万m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/d，该项目已于2017年1月3日通过</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原</w:t>
            </w:r>
            <w:r>
              <w:rPr>
                <w:rFonts w:hint="default" w:ascii="Times New Roman" w:hAnsi="Times New Roman" w:eastAsia="宋体" w:cs="Times New Roman"/>
                <w:color w:val="000000" w:themeColor="text1"/>
                <w:kern w:val="0"/>
                <w:sz w:val="24"/>
                <w14:textFill>
                  <w14:solidFill>
                    <w14:schemeClr w14:val="tx1"/>
                  </w14:solidFill>
                </w14:textFill>
              </w:rPr>
              <w:t>常州市金坛区环境保护局验收，并正式投入运营。</w:t>
            </w:r>
          </w:p>
          <w:p w14:paraId="42F6664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（3）接管水量可行性</w:t>
            </w:r>
          </w:p>
          <w:p w14:paraId="5568E97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金坛第二污水处理厂目前实际处理量约5.8万吨/日，还有余量0.2万吨/日。本项目废水排放总量约为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176</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0.92</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t/d），占金坛第二污水处理厂日处理余量的比例极小，金坛第二污水处理厂完全有能力接纳本项目污水。</w:t>
            </w:r>
          </w:p>
          <w:p w14:paraId="4319D55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（4）接管水质可行性</w:t>
            </w:r>
          </w:p>
          <w:p w14:paraId="67B79CD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本项目建成后接管废水为生活污水，废水排放浓度低、水量小、水质简单，不会对污水处理厂运行产生冲击负荷，不影响污水处理厂出水水质。</w:t>
            </w:r>
          </w:p>
          <w:p w14:paraId="0BC3C8F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综上所述，本项目污水管网已铺设完毕，从接管时间、服务范围、处理工艺以及水量水质来看，本项目运营后</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生活</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污水接入</w:t>
            </w:r>
            <w:r>
              <w:rPr>
                <w:rFonts w:hint="default" w:ascii="Times New Roman" w:hAnsi="Times New Roman" w:eastAsia="宋体" w:cs="Times New Roman"/>
                <w:color w:val="000000" w:themeColor="text1"/>
                <w:kern w:val="0"/>
                <w:sz w:val="24"/>
                <w:lang w:eastAsia="zh-CN"/>
                <w14:textFill>
                  <w14:solidFill>
                    <w14:schemeClr w14:val="tx1"/>
                  </w14:solidFill>
                </w14:textFill>
              </w:rPr>
              <w:t>金坛第二污水处理厂</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处理是可行的。</w:t>
            </w:r>
          </w:p>
          <w:p w14:paraId="0E83BD4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4.废水排放情况</w:t>
            </w:r>
          </w:p>
          <w:p w14:paraId="6223912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（1）废水排放情况汇总</w:t>
            </w:r>
          </w:p>
          <w:p w14:paraId="3D9FD5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本项目生活污水经化粪池预处理后接管至</w:t>
            </w:r>
            <w:r>
              <w:rPr>
                <w:rFonts w:hint="default" w:ascii="Times New Roman" w:hAnsi="Times New Roman" w:eastAsia="宋体" w:cs="Times New Roman"/>
                <w:color w:val="000000" w:themeColor="text1"/>
                <w:kern w:val="0"/>
                <w:sz w:val="24"/>
                <w:lang w:eastAsia="zh-CN"/>
                <w14:textFill>
                  <w14:solidFill>
                    <w14:schemeClr w14:val="tx1"/>
                  </w14:solidFill>
                </w14:textFill>
              </w:rPr>
              <w:t>金坛第二污水处理厂</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集中处理</w:t>
            </w:r>
            <w:r>
              <w:rPr>
                <w:rFonts w:hint="default" w:ascii="Times New Roman" w:hAnsi="Times New Roman" w:eastAsia="宋体" w:cs="Times New Roman"/>
                <w:color w:val="000000" w:themeColor="text1"/>
                <w:sz w:val="24"/>
                <w14:textFill>
                  <w14:solidFill>
                    <w14:schemeClr w14:val="tx1"/>
                  </w14:solidFill>
                </w14:textFill>
              </w:rPr>
              <w:t>，处理后尾水排入尧塘河</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；纯水制备</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浓水回用于冲厕用水；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综合生产废水经厂内新建污水处理站处理后回用，不外排。</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废水产生及排放情况见下表。</w:t>
            </w:r>
          </w:p>
          <w:p w14:paraId="54B9E7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本项目废水污染物排放情况表</w:t>
            </w:r>
          </w:p>
          <w:tbl>
            <w:tblPr>
              <w:tblStyle w:val="85"/>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91"/>
              <w:gridCol w:w="870"/>
              <w:gridCol w:w="795"/>
              <w:gridCol w:w="1426"/>
              <w:gridCol w:w="758"/>
              <w:gridCol w:w="548"/>
              <w:gridCol w:w="750"/>
              <w:gridCol w:w="1333"/>
              <w:gridCol w:w="737"/>
              <w:gridCol w:w="546"/>
            </w:tblGrid>
            <w:tr w14:paraId="21C26BC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0E3596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废水源</w:t>
                  </w:r>
                </w:p>
              </w:tc>
              <w:tc>
                <w:tcPr>
                  <w:tcW w:w="870" w:type="dxa"/>
                  <w:vMerge w:val="restart"/>
                  <w:tcBorders>
                    <w:tl2br w:val="nil"/>
                    <w:tr2bl w:val="nil"/>
                  </w:tcBorders>
                  <w:vAlign w:val="center"/>
                </w:tcPr>
                <w:p w14:paraId="714B8E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废水量（m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/a）</w:t>
                  </w:r>
                </w:p>
              </w:tc>
              <w:tc>
                <w:tcPr>
                  <w:tcW w:w="2979" w:type="dxa"/>
                  <w:gridSpan w:val="3"/>
                  <w:tcBorders>
                    <w:tl2br w:val="nil"/>
                    <w:tr2bl w:val="nil"/>
                  </w:tcBorders>
                  <w:vAlign w:val="center"/>
                </w:tcPr>
                <w:p w14:paraId="1141BA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产生情况</w:t>
                  </w:r>
                </w:p>
              </w:tc>
              <w:tc>
                <w:tcPr>
                  <w:tcW w:w="3368" w:type="dxa"/>
                  <w:gridSpan w:val="4"/>
                  <w:tcBorders>
                    <w:tl2br w:val="nil"/>
                    <w:tr2bl w:val="nil"/>
                  </w:tcBorders>
                  <w:vAlign w:val="center"/>
                </w:tcPr>
                <w:p w14:paraId="34B73E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预处理后情况</w:t>
                  </w:r>
                </w:p>
              </w:tc>
              <w:tc>
                <w:tcPr>
                  <w:tcW w:w="546" w:type="dxa"/>
                  <w:vMerge w:val="restart"/>
                  <w:tcBorders>
                    <w:tl2br w:val="nil"/>
                    <w:tr2bl w:val="nil"/>
                  </w:tcBorders>
                  <w:vAlign w:val="center"/>
                </w:tcPr>
                <w:p w14:paraId="5474FC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排放去向</w:t>
                  </w:r>
                </w:p>
              </w:tc>
            </w:tr>
            <w:tr w14:paraId="4459EE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E29A1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70" w:type="dxa"/>
                  <w:vMerge w:val="continue"/>
                  <w:tcBorders>
                    <w:tl2br w:val="nil"/>
                    <w:tr2bl w:val="nil"/>
                  </w:tcBorders>
                  <w:vAlign w:val="center"/>
                </w:tcPr>
                <w:p w14:paraId="6F185D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vAlign w:val="center"/>
                </w:tcPr>
                <w:p w14:paraId="70D086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污染物名称</w:t>
                  </w:r>
                </w:p>
              </w:tc>
              <w:tc>
                <w:tcPr>
                  <w:tcW w:w="1426" w:type="dxa"/>
                  <w:tcBorders>
                    <w:tl2br w:val="nil"/>
                    <w:tr2bl w:val="nil"/>
                  </w:tcBorders>
                  <w:vAlign w:val="center"/>
                </w:tcPr>
                <w:p w14:paraId="133C30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产生浓度mg/L</w:t>
                  </w:r>
                </w:p>
              </w:tc>
              <w:tc>
                <w:tcPr>
                  <w:tcW w:w="758" w:type="dxa"/>
                  <w:tcBorders>
                    <w:tl2br w:val="nil"/>
                    <w:tr2bl w:val="nil"/>
                  </w:tcBorders>
                  <w:vAlign w:val="center"/>
                </w:tcPr>
                <w:p w14:paraId="34D705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548" w:type="dxa"/>
                  <w:tcBorders>
                    <w:tl2br w:val="nil"/>
                    <w:tr2bl w:val="nil"/>
                  </w:tcBorders>
                  <w:vAlign w:val="center"/>
                </w:tcPr>
                <w:p w14:paraId="3A9462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处理措施</w:t>
                  </w:r>
                </w:p>
              </w:tc>
              <w:tc>
                <w:tcPr>
                  <w:tcW w:w="750" w:type="dxa"/>
                  <w:tcBorders>
                    <w:tl2br w:val="nil"/>
                    <w:tr2bl w:val="nil"/>
                  </w:tcBorders>
                  <w:vAlign w:val="center"/>
                </w:tcPr>
                <w:p w14:paraId="52256F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污染物名称</w:t>
                  </w:r>
                </w:p>
              </w:tc>
              <w:tc>
                <w:tcPr>
                  <w:tcW w:w="1333" w:type="dxa"/>
                  <w:tcBorders>
                    <w:tl2br w:val="nil"/>
                    <w:tr2bl w:val="nil"/>
                  </w:tcBorders>
                  <w:vAlign w:val="center"/>
                </w:tcPr>
                <w:p w14:paraId="0E46C8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接管浓度mg/L</w:t>
                  </w:r>
                </w:p>
              </w:tc>
              <w:tc>
                <w:tcPr>
                  <w:tcW w:w="737" w:type="dxa"/>
                  <w:tcBorders>
                    <w:tl2br w:val="nil"/>
                    <w:tr2bl w:val="nil"/>
                  </w:tcBorders>
                  <w:vAlign w:val="center"/>
                </w:tcPr>
                <w:p w14:paraId="324073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接管量t/a</w:t>
                  </w:r>
                </w:p>
              </w:tc>
              <w:tc>
                <w:tcPr>
                  <w:tcW w:w="546" w:type="dxa"/>
                  <w:vMerge w:val="continue"/>
                  <w:tcBorders>
                    <w:tl2br w:val="nil"/>
                    <w:tr2bl w:val="nil"/>
                  </w:tcBorders>
                  <w:vAlign w:val="center"/>
                </w:tcPr>
                <w:p w14:paraId="1A1D96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2549E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0A463E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（含纯水制备浓水）</w:t>
                  </w:r>
                </w:p>
              </w:tc>
              <w:tc>
                <w:tcPr>
                  <w:tcW w:w="870" w:type="dxa"/>
                  <w:vMerge w:val="restart"/>
                  <w:tcBorders>
                    <w:tl2br w:val="nil"/>
                    <w:tr2bl w:val="nil"/>
                  </w:tcBorders>
                  <w:vAlign w:val="center"/>
                </w:tcPr>
                <w:p w14:paraId="4A364A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240</w:t>
                  </w:r>
                </w:p>
              </w:tc>
              <w:tc>
                <w:tcPr>
                  <w:tcW w:w="795" w:type="dxa"/>
                  <w:tcBorders>
                    <w:tl2br w:val="nil"/>
                    <w:tr2bl w:val="nil"/>
                  </w:tcBorders>
                  <w:vAlign w:val="center"/>
                </w:tcPr>
                <w:p w14:paraId="5923DC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1426" w:type="dxa"/>
                  <w:tcBorders>
                    <w:tl2br w:val="nil"/>
                    <w:tr2bl w:val="nil"/>
                  </w:tcBorders>
                  <w:vAlign w:val="center"/>
                </w:tcPr>
                <w:p w14:paraId="62D28E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6~9（无量纲）</w:t>
                  </w:r>
                </w:p>
              </w:tc>
              <w:tc>
                <w:tcPr>
                  <w:tcW w:w="758" w:type="dxa"/>
                  <w:tcBorders>
                    <w:tl2br w:val="nil"/>
                    <w:tr2bl w:val="nil"/>
                  </w:tcBorders>
                  <w:vAlign w:val="center"/>
                </w:tcPr>
                <w:p w14:paraId="028EEC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dxa"/>
                  <w:vMerge w:val="restart"/>
                  <w:tcBorders>
                    <w:tl2br w:val="nil"/>
                    <w:tr2bl w:val="nil"/>
                  </w:tcBorders>
                  <w:vAlign w:val="center"/>
                </w:tcPr>
                <w:p w14:paraId="17EBCC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化粪池</w:t>
                  </w:r>
                </w:p>
              </w:tc>
              <w:tc>
                <w:tcPr>
                  <w:tcW w:w="750" w:type="dxa"/>
                  <w:tcBorders>
                    <w:tl2br w:val="nil"/>
                    <w:tr2bl w:val="nil"/>
                  </w:tcBorders>
                  <w:shd w:val="clear" w:color="auto" w:fill="auto"/>
                  <w:vAlign w:val="center"/>
                </w:tcPr>
                <w:p w14:paraId="75639C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1333" w:type="dxa"/>
                  <w:tcBorders>
                    <w:tl2br w:val="nil"/>
                    <w:tr2bl w:val="nil"/>
                  </w:tcBorders>
                  <w:shd w:val="clear" w:color="auto" w:fill="auto"/>
                  <w:vAlign w:val="center"/>
                </w:tcPr>
                <w:p w14:paraId="0E950F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6~9（无量纲）</w:t>
                  </w:r>
                </w:p>
              </w:tc>
              <w:tc>
                <w:tcPr>
                  <w:tcW w:w="737" w:type="dxa"/>
                  <w:tcBorders>
                    <w:tl2br w:val="nil"/>
                    <w:tr2bl w:val="nil"/>
                  </w:tcBorders>
                  <w:shd w:val="clear" w:color="auto" w:fill="auto"/>
                  <w:vAlign w:val="center"/>
                </w:tcPr>
                <w:p w14:paraId="7359BD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6" w:type="dxa"/>
                  <w:vMerge w:val="restart"/>
                  <w:tcBorders>
                    <w:tl2br w:val="nil"/>
                    <w:tr2bl w:val="nil"/>
                  </w:tcBorders>
                  <w:vAlign w:val="center"/>
                </w:tcPr>
                <w:p w14:paraId="548672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接管至金坛第二污水处理厂</w:t>
                  </w:r>
                </w:p>
              </w:tc>
            </w:tr>
            <w:tr w14:paraId="5DB8A1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893A945">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870" w:type="dxa"/>
                  <w:vMerge w:val="continue"/>
                  <w:tcBorders>
                    <w:tl2br w:val="nil"/>
                    <w:tr2bl w:val="nil"/>
                  </w:tcBorders>
                  <w:vAlign w:val="center"/>
                </w:tcPr>
                <w:p w14:paraId="5A5CD3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vAlign w:val="center"/>
                </w:tcPr>
                <w:p w14:paraId="785AD7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COD</w:t>
                  </w:r>
                </w:p>
              </w:tc>
              <w:tc>
                <w:tcPr>
                  <w:tcW w:w="1426" w:type="dxa"/>
                  <w:tcBorders>
                    <w:tl2br w:val="nil"/>
                    <w:tr2bl w:val="nil"/>
                  </w:tcBorders>
                  <w:vAlign w:val="center"/>
                </w:tcPr>
                <w:p w14:paraId="7B2FF8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758" w:type="dxa"/>
                  <w:tcBorders>
                    <w:tl2br w:val="nil"/>
                    <w:tr2bl w:val="nil"/>
                  </w:tcBorders>
                  <w:vAlign w:val="center"/>
                </w:tcPr>
                <w:p w14:paraId="5A442E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0.096</w:t>
                  </w:r>
                </w:p>
              </w:tc>
              <w:tc>
                <w:tcPr>
                  <w:tcW w:w="548" w:type="dxa"/>
                  <w:vMerge w:val="continue"/>
                  <w:tcBorders>
                    <w:tl2br w:val="nil"/>
                    <w:tr2bl w:val="nil"/>
                  </w:tcBorders>
                  <w:vAlign w:val="center"/>
                </w:tcPr>
                <w:p w14:paraId="478AF0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dxa"/>
                  <w:tcBorders>
                    <w:tl2br w:val="nil"/>
                    <w:tr2bl w:val="nil"/>
                  </w:tcBorders>
                  <w:vAlign w:val="center"/>
                </w:tcPr>
                <w:p w14:paraId="41241E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w:t>
                  </w:r>
                </w:p>
              </w:tc>
              <w:tc>
                <w:tcPr>
                  <w:tcW w:w="1333" w:type="dxa"/>
                  <w:tcBorders>
                    <w:tl2br w:val="nil"/>
                    <w:tr2bl w:val="nil"/>
                  </w:tcBorders>
                  <w:vAlign w:val="center"/>
                </w:tcPr>
                <w:p w14:paraId="113262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737" w:type="dxa"/>
                  <w:tcBorders>
                    <w:tl2br w:val="nil"/>
                    <w:tr2bl w:val="nil"/>
                  </w:tcBorders>
                  <w:shd w:val="clear" w:color="auto" w:fill="auto"/>
                  <w:vAlign w:val="center"/>
                </w:tcPr>
                <w:p w14:paraId="4546FF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0.096</w:t>
                  </w:r>
                </w:p>
              </w:tc>
              <w:tc>
                <w:tcPr>
                  <w:tcW w:w="546" w:type="dxa"/>
                  <w:vMerge w:val="continue"/>
                  <w:tcBorders>
                    <w:tl2br w:val="nil"/>
                    <w:tr2bl w:val="nil"/>
                  </w:tcBorders>
                  <w:vAlign w:val="center"/>
                </w:tcPr>
                <w:p w14:paraId="31C40A26">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93199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36EB0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43FCB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58D3A8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SS</w:t>
                  </w:r>
                </w:p>
              </w:tc>
              <w:tc>
                <w:tcPr>
                  <w:tcW w:w="1426" w:type="dxa"/>
                  <w:tcBorders>
                    <w:tl2br w:val="nil"/>
                    <w:tr2bl w:val="nil"/>
                  </w:tcBorders>
                  <w:vAlign w:val="center"/>
                </w:tcPr>
                <w:p w14:paraId="04C65C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58" w:type="dxa"/>
                  <w:tcBorders>
                    <w:tl2br w:val="nil"/>
                    <w:tr2bl w:val="nil"/>
                  </w:tcBorders>
                  <w:vAlign w:val="center"/>
                </w:tcPr>
                <w:p w14:paraId="0B5C75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548" w:type="dxa"/>
                  <w:vMerge w:val="continue"/>
                  <w:tcBorders>
                    <w:tl2br w:val="nil"/>
                    <w:tr2bl w:val="nil"/>
                  </w:tcBorders>
                  <w:vAlign w:val="center"/>
                </w:tcPr>
                <w:p w14:paraId="0DFAC8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dxa"/>
                  <w:tcBorders>
                    <w:tl2br w:val="nil"/>
                    <w:tr2bl w:val="nil"/>
                  </w:tcBorders>
                  <w:vAlign w:val="center"/>
                </w:tcPr>
                <w:p w14:paraId="20EA31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1333" w:type="dxa"/>
                  <w:tcBorders>
                    <w:tl2br w:val="nil"/>
                    <w:tr2bl w:val="nil"/>
                  </w:tcBorders>
                  <w:vAlign w:val="center"/>
                </w:tcPr>
                <w:p w14:paraId="04E69F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37" w:type="dxa"/>
                  <w:tcBorders>
                    <w:tl2br w:val="nil"/>
                    <w:tr2bl w:val="nil"/>
                  </w:tcBorders>
                  <w:shd w:val="clear" w:color="auto" w:fill="auto"/>
                  <w:vAlign w:val="center"/>
                </w:tcPr>
                <w:p w14:paraId="079C85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0.048</w:t>
                  </w:r>
                </w:p>
              </w:tc>
              <w:tc>
                <w:tcPr>
                  <w:tcW w:w="546" w:type="dxa"/>
                  <w:vMerge w:val="continue"/>
                  <w:tcBorders>
                    <w:tl2br w:val="nil"/>
                    <w:tr2bl w:val="nil"/>
                  </w:tcBorders>
                  <w:vAlign w:val="center"/>
                </w:tcPr>
                <w:p w14:paraId="2458C8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83F27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0FD9B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1B9D33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56DCBA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pacing w:val="9"/>
                      <w:position w:val="-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pacing w:val="9"/>
                      <w:sz w:val="21"/>
                      <w:szCs w:val="21"/>
                      <w14:textFill>
                        <w14:solidFill>
                          <w14:schemeClr w14:val="tx1"/>
                        </w14:solidFill>
                      </w14:textFill>
                    </w:rPr>
                    <w:t>-N</w:t>
                  </w:r>
                </w:p>
              </w:tc>
              <w:tc>
                <w:tcPr>
                  <w:tcW w:w="1426" w:type="dxa"/>
                  <w:tcBorders>
                    <w:tl2br w:val="nil"/>
                    <w:tr2bl w:val="nil"/>
                  </w:tcBorders>
                  <w:vAlign w:val="center"/>
                </w:tcPr>
                <w:p w14:paraId="389619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758" w:type="dxa"/>
                  <w:tcBorders>
                    <w:tl2br w:val="nil"/>
                    <w:tr2bl w:val="nil"/>
                  </w:tcBorders>
                  <w:vAlign w:val="center"/>
                </w:tcPr>
                <w:p w14:paraId="3BB985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548" w:type="dxa"/>
                  <w:vMerge w:val="continue"/>
                  <w:tcBorders>
                    <w:tl2br w:val="nil"/>
                    <w:tr2bl w:val="nil"/>
                  </w:tcBorders>
                  <w:vAlign w:val="center"/>
                </w:tcPr>
                <w:p w14:paraId="0CF5EC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dxa"/>
                  <w:tcBorders>
                    <w:tl2br w:val="nil"/>
                    <w:tr2bl w:val="nil"/>
                  </w:tcBorders>
                  <w:vAlign w:val="center"/>
                </w:tcPr>
                <w:p w14:paraId="1AD5FF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w:t>
                  </w:r>
                </w:p>
              </w:tc>
              <w:tc>
                <w:tcPr>
                  <w:tcW w:w="1333" w:type="dxa"/>
                  <w:tcBorders>
                    <w:tl2br w:val="nil"/>
                    <w:tr2bl w:val="nil"/>
                  </w:tcBorders>
                  <w:shd w:val="clear" w:color="auto" w:fill="auto"/>
                  <w:vAlign w:val="center"/>
                </w:tcPr>
                <w:p w14:paraId="01F2F2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737" w:type="dxa"/>
                  <w:tcBorders>
                    <w:tl2br w:val="nil"/>
                    <w:tr2bl w:val="nil"/>
                  </w:tcBorders>
                  <w:shd w:val="clear" w:color="auto" w:fill="auto"/>
                  <w:vAlign w:val="center"/>
                </w:tcPr>
                <w:p w14:paraId="3271E0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546" w:type="dxa"/>
                  <w:vMerge w:val="continue"/>
                  <w:tcBorders>
                    <w:tl2br w:val="nil"/>
                    <w:tr2bl w:val="nil"/>
                  </w:tcBorders>
                  <w:vAlign w:val="center"/>
                </w:tcPr>
                <w:p w14:paraId="6ECC73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3A9E4E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D7B4F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278D2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0886CC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TP</w:t>
                  </w:r>
                </w:p>
              </w:tc>
              <w:tc>
                <w:tcPr>
                  <w:tcW w:w="1426" w:type="dxa"/>
                  <w:tcBorders>
                    <w:tl2br w:val="nil"/>
                    <w:tr2bl w:val="nil"/>
                  </w:tcBorders>
                  <w:vAlign w:val="center"/>
                </w:tcPr>
                <w:p w14:paraId="76E790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58" w:type="dxa"/>
                  <w:tcBorders>
                    <w:tl2br w:val="nil"/>
                    <w:tr2bl w:val="nil"/>
                  </w:tcBorders>
                  <w:vAlign w:val="center"/>
                </w:tcPr>
                <w:p w14:paraId="19E31C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0.00048</w:t>
                  </w:r>
                </w:p>
              </w:tc>
              <w:tc>
                <w:tcPr>
                  <w:tcW w:w="548" w:type="dxa"/>
                  <w:vMerge w:val="continue"/>
                  <w:tcBorders>
                    <w:tl2br w:val="nil"/>
                    <w:tr2bl w:val="nil"/>
                  </w:tcBorders>
                  <w:vAlign w:val="center"/>
                </w:tcPr>
                <w:p w14:paraId="3F4485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dxa"/>
                  <w:tcBorders>
                    <w:tl2br w:val="nil"/>
                    <w:tr2bl w:val="nil"/>
                  </w:tcBorders>
                  <w:vAlign w:val="center"/>
                </w:tcPr>
                <w:p w14:paraId="191E8A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TP</w:t>
                  </w:r>
                </w:p>
              </w:tc>
              <w:tc>
                <w:tcPr>
                  <w:tcW w:w="1333" w:type="dxa"/>
                  <w:tcBorders>
                    <w:tl2br w:val="nil"/>
                    <w:tr2bl w:val="nil"/>
                  </w:tcBorders>
                  <w:shd w:val="clear" w:color="auto" w:fill="auto"/>
                  <w:vAlign w:val="center"/>
                </w:tcPr>
                <w:p w14:paraId="2D47ED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37" w:type="dxa"/>
                  <w:tcBorders>
                    <w:tl2br w:val="nil"/>
                    <w:tr2bl w:val="nil"/>
                  </w:tcBorders>
                  <w:shd w:val="clear" w:color="auto" w:fill="auto"/>
                  <w:vAlign w:val="center"/>
                </w:tcPr>
                <w:p w14:paraId="4A6724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0.00048</w:t>
                  </w:r>
                </w:p>
              </w:tc>
              <w:tc>
                <w:tcPr>
                  <w:tcW w:w="546" w:type="dxa"/>
                  <w:vMerge w:val="continue"/>
                  <w:tcBorders>
                    <w:tl2br w:val="nil"/>
                    <w:tr2bl w:val="nil"/>
                  </w:tcBorders>
                  <w:vAlign w:val="center"/>
                </w:tcPr>
                <w:p w14:paraId="1D8D0A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E950B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0FA9C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62EC3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25281B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TN</w:t>
                  </w:r>
                </w:p>
              </w:tc>
              <w:tc>
                <w:tcPr>
                  <w:tcW w:w="1426" w:type="dxa"/>
                  <w:tcBorders>
                    <w:tl2br w:val="nil"/>
                    <w:tr2bl w:val="nil"/>
                  </w:tcBorders>
                  <w:shd w:val="clear" w:color="auto" w:fill="auto"/>
                  <w:vAlign w:val="center"/>
                </w:tcPr>
                <w:p w14:paraId="60046A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58" w:type="dxa"/>
                  <w:tcBorders>
                    <w:tl2br w:val="nil"/>
                    <w:tr2bl w:val="nil"/>
                  </w:tcBorders>
                  <w:shd w:val="clear" w:color="auto" w:fill="auto"/>
                  <w:vAlign w:val="center"/>
                </w:tcPr>
                <w:p w14:paraId="0979BF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0.0096</w:t>
                  </w:r>
                </w:p>
              </w:tc>
              <w:tc>
                <w:tcPr>
                  <w:tcW w:w="548" w:type="dxa"/>
                  <w:vMerge w:val="continue"/>
                  <w:tcBorders>
                    <w:tl2br w:val="nil"/>
                    <w:tr2bl w:val="nil"/>
                  </w:tcBorders>
                  <w:vAlign w:val="center"/>
                </w:tcPr>
                <w:p w14:paraId="2D28A9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dxa"/>
                  <w:tcBorders>
                    <w:tl2br w:val="nil"/>
                    <w:tr2bl w:val="nil"/>
                  </w:tcBorders>
                  <w:vAlign w:val="center"/>
                </w:tcPr>
                <w:p w14:paraId="00E2AC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TN</w:t>
                  </w:r>
                </w:p>
              </w:tc>
              <w:tc>
                <w:tcPr>
                  <w:tcW w:w="1333" w:type="dxa"/>
                  <w:tcBorders>
                    <w:tl2br w:val="nil"/>
                    <w:tr2bl w:val="nil"/>
                  </w:tcBorders>
                  <w:shd w:val="clear" w:color="auto" w:fill="auto"/>
                  <w:vAlign w:val="center"/>
                </w:tcPr>
                <w:p w14:paraId="6A2D26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37" w:type="dxa"/>
                  <w:tcBorders>
                    <w:tl2br w:val="nil"/>
                    <w:tr2bl w:val="nil"/>
                  </w:tcBorders>
                  <w:shd w:val="clear" w:color="auto" w:fill="auto"/>
                  <w:vAlign w:val="center"/>
                </w:tcPr>
                <w:p w14:paraId="55DFE6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0.0096</w:t>
                  </w:r>
                </w:p>
              </w:tc>
              <w:tc>
                <w:tcPr>
                  <w:tcW w:w="546" w:type="dxa"/>
                  <w:vMerge w:val="continue"/>
                  <w:tcBorders>
                    <w:tl2br w:val="nil"/>
                    <w:tr2bl w:val="nil"/>
                  </w:tcBorders>
                  <w:vAlign w:val="center"/>
                </w:tcPr>
                <w:p w14:paraId="03B3B4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D626A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2730BE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综合生产废水</w:t>
                  </w:r>
                </w:p>
              </w:tc>
              <w:tc>
                <w:tcPr>
                  <w:tcW w:w="870" w:type="dxa"/>
                  <w:vMerge w:val="restart"/>
                  <w:tcBorders>
                    <w:tl2br w:val="nil"/>
                    <w:tr2bl w:val="nil"/>
                  </w:tcBorders>
                  <w:vAlign w:val="center"/>
                </w:tcPr>
                <w:p w14:paraId="4DEA61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198</w:t>
                  </w:r>
                </w:p>
              </w:tc>
              <w:tc>
                <w:tcPr>
                  <w:tcW w:w="795" w:type="dxa"/>
                  <w:tcBorders>
                    <w:tl2br w:val="nil"/>
                    <w:tr2bl w:val="nil"/>
                  </w:tcBorders>
                  <w:shd w:val="clear" w:color="auto" w:fill="auto"/>
                  <w:vAlign w:val="center"/>
                </w:tcPr>
                <w:p w14:paraId="6C8269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473CD8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 w:cs="Times New Roman"/>
                      <w:b w:val="0"/>
                      <w:bCs w:val="0"/>
                      <w:color w:val="000000" w:themeColor="text1"/>
                      <w:sz w:val="21"/>
                      <w:szCs w:val="21"/>
                      <w:lang w:val="en-US" w:eastAsia="zh-CN"/>
                      <w14:textFill>
                        <w14:solidFill>
                          <w14:schemeClr w14:val="tx1"/>
                        </w14:solidFill>
                      </w14:textFill>
                    </w:rPr>
                    <w:t>4</w:t>
                  </w:r>
                  <w:r>
                    <w:rPr>
                      <w:rFonts w:ascii="Times New Roman" w:hAnsi="Times New Roman" w:eastAsia="仿宋" w:cs="Times New Roman"/>
                      <w:b w:val="0"/>
                      <w:bCs w:val="0"/>
                      <w:color w:val="000000" w:themeColor="text1"/>
                      <w:sz w:val="21"/>
                      <w:szCs w:val="21"/>
                      <w14:textFill>
                        <w14:solidFill>
                          <w14:schemeClr w14:val="tx1"/>
                        </w14:solidFill>
                      </w14:textFill>
                    </w:rPr>
                    <w:t>~</w:t>
                  </w:r>
                  <w:r>
                    <w:rPr>
                      <w:rFonts w:hint="eastAsia" w:ascii="Times New Roman" w:hAnsi="Times New Roman" w:eastAsia="仿宋" w:cs="Times New Roman"/>
                      <w:b w:val="0"/>
                      <w:bCs w:val="0"/>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7CF2D0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t>
                  </w:r>
                </w:p>
              </w:tc>
              <w:tc>
                <w:tcPr>
                  <w:tcW w:w="548" w:type="dxa"/>
                  <w:vMerge w:val="restart"/>
                  <w:tcBorders>
                    <w:tl2br w:val="nil"/>
                    <w:tr2bl w:val="nil"/>
                  </w:tcBorders>
                  <w:vAlign w:val="center"/>
                </w:tcPr>
                <w:p w14:paraId="4EE3C6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污水处理设施</w:t>
                  </w:r>
                </w:p>
              </w:tc>
              <w:tc>
                <w:tcPr>
                  <w:tcW w:w="750" w:type="dxa"/>
                  <w:tcBorders>
                    <w:tl2br w:val="nil"/>
                    <w:tr2bl w:val="nil"/>
                  </w:tcBorders>
                  <w:shd w:val="clear" w:color="auto" w:fill="auto"/>
                  <w:vAlign w:val="center"/>
                </w:tcPr>
                <w:p w14:paraId="57FF44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t>pH</w:t>
                  </w:r>
                </w:p>
              </w:tc>
              <w:tc>
                <w:tcPr>
                  <w:tcW w:w="1333" w:type="dxa"/>
                  <w:tcBorders>
                    <w:tl2br w:val="nil"/>
                    <w:tr2bl w:val="nil"/>
                  </w:tcBorders>
                  <w:shd w:val="clear" w:color="auto" w:fill="auto"/>
                  <w:vAlign w:val="center"/>
                </w:tcPr>
                <w:p w14:paraId="0052B34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7~8（无量纲）</w:t>
                  </w:r>
                </w:p>
              </w:tc>
              <w:tc>
                <w:tcPr>
                  <w:tcW w:w="737" w:type="dxa"/>
                  <w:tcBorders>
                    <w:tl2br w:val="nil"/>
                    <w:tr2bl w:val="nil"/>
                  </w:tcBorders>
                  <w:shd w:val="clear" w:color="auto" w:fill="auto"/>
                  <w:vAlign w:val="center"/>
                </w:tcPr>
                <w:p w14:paraId="0706A62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t>
                  </w:r>
                </w:p>
              </w:tc>
              <w:tc>
                <w:tcPr>
                  <w:tcW w:w="546" w:type="dxa"/>
                  <w:vMerge w:val="restart"/>
                  <w:tcBorders>
                    <w:tl2br w:val="nil"/>
                    <w:tr2bl w:val="nil"/>
                  </w:tcBorders>
                  <w:vAlign w:val="center"/>
                </w:tcPr>
                <w:p w14:paraId="587152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回用</w:t>
                  </w:r>
                </w:p>
              </w:tc>
            </w:tr>
            <w:tr w14:paraId="313255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F6B9A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70" w:type="dxa"/>
                  <w:vMerge w:val="continue"/>
                  <w:tcBorders>
                    <w:tl2br w:val="nil"/>
                    <w:tr2bl w:val="nil"/>
                  </w:tcBorders>
                  <w:vAlign w:val="center"/>
                </w:tcPr>
                <w:p w14:paraId="0DC76E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4D9D0E2D">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1EA4F34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142.7 </w:t>
                  </w:r>
                </w:p>
              </w:tc>
              <w:tc>
                <w:tcPr>
                  <w:tcW w:w="758" w:type="dxa"/>
                  <w:tcBorders>
                    <w:tl2br w:val="nil"/>
                    <w:tr2bl w:val="nil"/>
                  </w:tcBorders>
                  <w:shd w:val="clear" w:color="auto" w:fill="auto"/>
                  <w:vAlign w:val="center"/>
                </w:tcPr>
                <w:p w14:paraId="1395E9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0.02768 </w:t>
                  </w:r>
                </w:p>
              </w:tc>
              <w:tc>
                <w:tcPr>
                  <w:tcW w:w="548" w:type="dxa"/>
                  <w:vMerge w:val="continue"/>
                  <w:tcBorders>
                    <w:tl2br w:val="nil"/>
                    <w:tr2bl w:val="nil"/>
                  </w:tcBorders>
                  <w:vAlign w:val="center"/>
                </w:tcPr>
                <w:p w14:paraId="073C40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0850E1B3">
                  <w:pPr>
                    <w:keepNext w:val="0"/>
                    <w:keepLines w:val="0"/>
                    <w:widowControl/>
                    <w:suppressLineNumbers w:val="0"/>
                    <w:jc w:val="center"/>
                    <w:textAlignment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1333" w:type="dxa"/>
                  <w:tcBorders>
                    <w:tl2br w:val="nil"/>
                    <w:tr2bl w:val="nil"/>
                  </w:tcBorders>
                  <w:shd w:val="clear" w:color="auto" w:fill="auto"/>
                  <w:vAlign w:val="center"/>
                </w:tcPr>
                <w:p w14:paraId="12D61B2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39.96 </w:t>
                  </w:r>
                </w:p>
              </w:tc>
              <w:tc>
                <w:tcPr>
                  <w:tcW w:w="737" w:type="dxa"/>
                  <w:tcBorders>
                    <w:tl2br w:val="nil"/>
                    <w:tr2bl w:val="nil"/>
                  </w:tcBorders>
                  <w:shd w:val="clear" w:color="auto" w:fill="auto"/>
                  <w:vAlign w:val="center"/>
                </w:tcPr>
                <w:p w14:paraId="5CF58B4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0.00775 </w:t>
                  </w:r>
                </w:p>
              </w:tc>
              <w:tc>
                <w:tcPr>
                  <w:tcW w:w="546" w:type="dxa"/>
                  <w:vMerge w:val="continue"/>
                  <w:tcBorders>
                    <w:tl2br w:val="nil"/>
                    <w:tr2bl w:val="nil"/>
                  </w:tcBorders>
                  <w:vAlign w:val="center"/>
                </w:tcPr>
                <w:p w14:paraId="2A8897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5469BD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6A0E9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2CE838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07225E07">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7832583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20.2 </w:t>
                  </w:r>
                </w:p>
              </w:tc>
              <w:tc>
                <w:tcPr>
                  <w:tcW w:w="758" w:type="dxa"/>
                  <w:tcBorders>
                    <w:tl2br w:val="nil"/>
                    <w:tr2bl w:val="nil"/>
                  </w:tcBorders>
                  <w:shd w:val="clear" w:color="auto" w:fill="auto"/>
                  <w:vAlign w:val="center"/>
                </w:tcPr>
                <w:p w14:paraId="4799D2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0.00392 </w:t>
                  </w:r>
                </w:p>
              </w:tc>
              <w:tc>
                <w:tcPr>
                  <w:tcW w:w="548" w:type="dxa"/>
                  <w:vMerge w:val="continue"/>
                  <w:tcBorders>
                    <w:tl2br w:val="nil"/>
                    <w:tr2bl w:val="nil"/>
                  </w:tcBorders>
                  <w:vAlign w:val="center"/>
                </w:tcPr>
                <w:p w14:paraId="2F7A1E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66F47549">
                  <w:pPr>
                    <w:keepNext w:val="0"/>
                    <w:keepLines w:val="0"/>
                    <w:widowControl/>
                    <w:suppressLineNumbers w:val="0"/>
                    <w:jc w:val="center"/>
                    <w:textAlignment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1333" w:type="dxa"/>
                  <w:tcBorders>
                    <w:tl2br w:val="nil"/>
                    <w:tr2bl w:val="nil"/>
                  </w:tcBorders>
                  <w:shd w:val="clear" w:color="auto" w:fill="auto"/>
                  <w:vAlign w:val="center"/>
                </w:tcPr>
                <w:p w14:paraId="6C54EC0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4.04 </w:t>
                  </w:r>
                </w:p>
              </w:tc>
              <w:tc>
                <w:tcPr>
                  <w:tcW w:w="737" w:type="dxa"/>
                  <w:tcBorders>
                    <w:tl2br w:val="nil"/>
                    <w:tr2bl w:val="nil"/>
                  </w:tcBorders>
                  <w:shd w:val="clear" w:color="auto" w:fill="auto"/>
                  <w:vAlign w:val="center"/>
                </w:tcPr>
                <w:p w14:paraId="467ABE5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0.00078 </w:t>
                  </w:r>
                </w:p>
              </w:tc>
              <w:tc>
                <w:tcPr>
                  <w:tcW w:w="546" w:type="dxa"/>
                  <w:vMerge w:val="continue"/>
                  <w:tcBorders>
                    <w:tl2br w:val="nil"/>
                    <w:tr2bl w:val="nil"/>
                  </w:tcBorders>
                  <w:vAlign w:val="center"/>
                </w:tcPr>
                <w:p w14:paraId="50D600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0DDE0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3856A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125F92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7EA9279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氨氮</w:t>
                  </w:r>
                </w:p>
              </w:tc>
              <w:tc>
                <w:tcPr>
                  <w:tcW w:w="1426" w:type="dxa"/>
                  <w:tcBorders>
                    <w:tl2br w:val="nil"/>
                    <w:tr2bl w:val="nil"/>
                  </w:tcBorders>
                  <w:shd w:val="clear" w:color="auto" w:fill="auto"/>
                  <w:vAlign w:val="center"/>
                </w:tcPr>
                <w:p w14:paraId="2C6B49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1.7 </w:t>
                  </w:r>
                </w:p>
              </w:tc>
              <w:tc>
                <w:tcPr>
                  <w:tcW w:w="758" w:type="dxa"/>
                  <w:tcBorders>
                    <w:tl2br w:val="nil"/>
                    <w:tr2bl w:val="nil"/>
                  </w:tcBorders>
                  <w:shd w:val="clear" w:color="auto" w:fill="auto"/>
                  <w:vAlign w:val="center"/>
                </w:tcPr>
                <w:p w14:paraId="46DD95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0.00034 </w:t>
                  </w:r>
                </w:p>
              </w:tc>
              <w:tc>
                <w:tcPr>
                  <w:tcW w:w="548" w:type="dxa"/>
                  <w:vMerge w:val="continue"/>
                  <w:tcBorders>
                    <w:tl2br w:val="nil"/>
                    <w:tr2bl w:val="nil"/>
                  </w:tcBorders>
                  <w:vAlign w:val="center"/>
                </w:tcPr>
                <w:p w14:paraId="3A03D7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343F47C0">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氨氮</w:t>
                  </w:r>
                </w:p>
              </w:tc>
              <w:tc>
                <w:tcPr>
                  <w:tcW w:w="1333" w:type="dxa"/>
                  <w:tcBorders>
                    <w:tl2br w:val="nil"/>
                    <w:tr2bl w:val="nil"/>
                  </w:tcBorders>
                  <w:shd w:val="clear" w:color="auto" w:fill="auto"/>
                  <w:vAlign w:val="center"/>
                </w:tcPr>
                <w:p w14:paraId="4F3001B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1.36 </w:t>
                  </w:r>
                </w:p>
              </w:tc>
              <w:tc>
                <w:tcPr>
                  <w:tcW w:w="737" w:type="dxa"/>
                  <w:tcBorders>
                    <w:tl2br w:val="nil"/>
                    <w:tr2bl w:val="nil"/>
                  </w:tcBorders>
                  <w:shd w:val="clear" w:color="auto" w:fill="auto"/>
                  <w:vAlign w:val="center"/>
                </w:tcPr>
                <w:p w14:paraId="6281409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0.00026 </w:t>
                  </w:r>
                </w:p>
              </w:tc>
              <w:tc>
                <w:tcPr>
                  <w:tcW w:w="546" w:type="dxa"/>
                  <w:vMerge w:val="continue"/>
                  <w:tcBorders>
                    <w:tl2br w:val="nil"/>
                    <w:tr2bl w:val="nil"/>
                  </w:tcBorders>
                  <w:vAlign w:val="center"/>
                </w:tcPr>
                <w:p w14:paraId="70A46B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7812B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3B6757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E7D9B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160DC7C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1426" w:type="dxa"/>
                  <w:tcBorders>
                    <w:tl2br w:val="nil"/>
                    <w:tr2bl w:val="nil"/>
                  </w:tcBorders>
                  <w:shd w:val="clear" w:color="auto" w:fill="auto"/>
                  <w:vAlign w:val="center"/>
                </w:tcPr>
                <w:p w14:paraId="7DDC766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5.2 </w:t>
                  </w:r>
                </w:p>
              </w:tc>
              <w:tc>
                <w:tcPr>
                  <w:tcW w:w="758" w:type="dxa"/>
                  <w:tcBorders>
                    <w:tl2br w:val="nil"/>
                    <w:tr2bl w:val="nil"/>
                  </w:tcBorders>
                  <w:shd w:val="clear" w:color="auto" w:fill="auto"/>
                  <w:vAlign w:val="center"/>
                </w:tcPr>
                <w:p w14:paraId="730806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0.00101 </w:t>
                  </w:r>
                </w:p>
              </w:tc>
              <w:tc>
                <w:tcPr>
                  <w:tcW w:w="548" w:type="dxa"/>
                  <w:vMerge w:val="continue"/>
                  <w:tcBorders>
                    <w:tl2br w:val="nil"/>
                    <w:tr2bl w:val="nil"/>
                  </w:tcBorders>
                  <w:vAlign w:val="center"/>
                </w:tcPr>
                <w:p w14:paraId="6B49D4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26DE8B91">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1333" w:type="dxa"/>
                  <w:tcBorders>
                    <w:tl2br w:val="nil"/>
                    <w:tr2bl w:val="nil"/>
                  </w:tcBorders>
                  <w:shd w:val="clear" w:color="auto" w:fill="auto"/>
                  <w:vAlign w:val="center"/>
                </w:tcPr>
                <w:p w14:paraId="6A3062A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0.26 </w:t>
                  </w:r>
                </w:p>
              </w:tc>
              <w:tc>
                <w:tcPr>
                  <w:tcW w:w="737" w:type="dxa"/>
                  <w:tcBorders>
                    <w:tl2br w:val="nil"/>
                    <w:tr2bl w:val="nil"/>
                  </w:tcBorders>
                  <w:shd w:val="clear" w:color="auto" w:fill="auto"/>
                  <w:vAlign w:val="center"/>
                </w:tcPr>
                <w:p w14:paraId="737512D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0.00005 </w:t>
                  </w:r>
                </w:p>
              </w:tc>
              <w:tc>
                <w:tcPr>
                  <w:tcW w:w="546" w:type="dxa"/>
                  <w:vMerge w:val="continue"/>
                  <w:tcBorders>
                    <w:tl2br w:val="nil"/>
                    <w:tr2bl w:val="nil"/>
                  </w:tcBorders>
                  <w:vAlign w:val="center"/>
                </w:tcPr>
                <w:p w14:paraId="284AE2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62A30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C2634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C1DB9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9A4AD0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1426" w:type="dxa"/>
                  <w:tcBorders>
                    <w:tl2br w:val="nil"/>
                    <w:tr2bl w:val="nil"/>
                  </w:tcBorders>
                  <w:shd w:val="clear" w:color="auto" w:fill="auto"/>
                  <w:vAlign w:val="center"/>
                </w:tcPr>
                <w:p w14:paraId="633F9A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2.6 </w:t>
                  </w:r>
                </w:p>
              </w:tc>
              <w:tc>
                <w:tcPr>
                  <w:tcW w:w="758" w:type="dxa"/>
                  <w:tcBorders>
                    <w:tl2br w:val="nil"/>
                    <w:tr2bl w:val="nil"/>
                  </w:tcBorders>
                  <w:shd w:val="clear" w:color="auto" w:fill="auto"/>
                  <w:vAlign w:val="center"/>
                </w:tcPr>
                <w:p w14:paraId="3BF5E4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0.00050 </w:t>
                  </w:r>
                </w:p>
              </w:tc>
              <w:tc>
                <w:tcPr>
                  <w:tcW w:w="548" w:type="dxa"/>
                  <w:vMerge w:val="continue"/>
                  <w:tcBorders>
                    <w:tl2br w:val="nil"/>
                    <w:tr2bl w:val="nil"/>
                  </w:tcBorders>
                  <w:vAlign w:val="center"/>
                </w:tcPr>
                <w:p w14:paraId="55CAF0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02F7D55D">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1333" w:type="dxa"/>
                  <w:tcBorders>
                    <w:tl2br w:val="nil"/>
                    <w:tr2bl w:val="nil"/>
                  </w:tcBorders>
                  <w:shd w:val="clear" w:color="auto" w:fill="auto"/>
                  <w:vAlign w:val="center"/>
                </w:tcPr>
                <w:p w14:paraId="65186AA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2.08 </w:t>
                  </w:r>
                </w:p>
              </w:tc>
              <w:tc>
                <w:tcPr>
                  <w:tcW w:w="737" w:type="dxa"/>
                  <w:tcBorders>
                    <w:tl2br w:val="nil"/>
                    <w:tr2bl w:val="nil"/>
                  </w:tcBorders>
                  <w:shd w:val="clear" w:color="auto" w:fill="auto"/>
                  <w:vAlign w:val="center"/>
                </w:tcPr>
                <w:p w14:paraId="743991A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0.00040 </w:t>
                  </w:r>
                </w:p>
              </w:tc>
              <w:tc>
                <w:tcPr>
                  <w:tcW w:w="546" w:type="dxa"/>
                  <w:vMerge w:val="continue"/>
                  <w:tcBorders>
                    <w:tl2br w:val="nil"/>
                    <w:tr2bl w:val="nil"/>
                  </w:tcBorders>
                  <w:vAlign w:val="center"/>
                </w:tcPr>
                <w:p w14:paraId="293C0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C023A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6A38C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1E6A50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40DC53EA">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37194D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2979.4 </w:t>
                  </w:r>
                </w:p>
              </w:tc>
              <w:tc>
                <w:tcPr>
                  <w:tcW w:w="758" w:type="dxa"/>
                  <w:tcBorders>
                    <w:tl2br w:val="nil"/>
                    <w:tr2bl w:val="nil"/>
                  </w:tcBorders>
                  <w:shd w:val="clear" w:color="auto" w:fill="auto"/>
                  <w:vAlign w:val="center"/>
                </w:tcPr>
                <w:p w14:paraId="13D648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0.57800 </w:t>
                  </w:r>
                </w:p>
              </w:tc>
              <w:tc>
                <w:tcPr>
                  <w:tcW w:w="548" w:type="dxa"/>
                  <w:vMerge w:val="continue"/>
                  <w:tcBorders>
                    <w:tl2br w:val="nil"/>
                    <w:tr2bl w:val="nil"/>
                  </w:tcBorders>
                  <w:vAlign w:val="center"/>
                </w:tcPr>
                <w:p w14:paraId="38832F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0A64B510">
                  <w:pPr>
                    <w:keepNext w:val="0"/>
                    <w:keepLines w:val="0"/>
                    <w:widowControl/>
                    <w:suppressLineNumbers w:val="0"/>
                    <w:jc w:val="center"/>
                    <w:textAlignment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溶解性总固体</w:t>
                  </w:r>
                </w:p>
              </w:tc>
              <w:tc>
                <w:tcPr>
                  <w:tcW w:w="1333" w:type="dxa"/>
                  <w:tcBorders>
                    <w:tl2br w:val="nil"/>
                    <w:tr2bl w:val="nil"/>
                  </w:tcBorders>
                  <w:shd w:val="clear" w:color="auto" w:fill="auto"/>
                  <w:vAlign w:val="center"/>
                </w:tcPr>
                <w:p w14:paraId="0995667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148.97 </w:t>
                  </w:r>
                </w:p>
              </w:tc>
              <w:tc>
                <w:tcPr>
                  <w:tcW w:w="737" w:type="dxa"/>
                  <w:tcBorders>
                    <w:tl2br w:val="nil"/>
                    <w:tr2bl w:val="nil"/>
                  </w:tcBorders>
                  <w:shd w:val="clear" w:color="auto" w:fill="auto"/>
                  <w:vAlign w:val="center"/>
                </w:tcPr>
                <w:p w14:paraId="4B651D3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0.02890 </w:t>
                  </w:r>
                </w:p>
              </w:tc>
              <w:tc>
                <w:tcPr>
                  <w:tcW w:w="546" w:type="dxa"/>
                  <w:vMerge w:val="continue"/>
                  <w:tcBorders>
                    <w:tl2br w:val="nil"/>
                    <w:tr2bl w:val="nil"/>
                  </w:tcBorders>
                  <w:vAlign w:val="center"/>
                </w:tcPr>
                <w:p w14:paraId="29E7E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63B83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0C78A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CC858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12855A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总铜</w:t>
                  </w:r>
                </w:p>
              </w:tc>
              <w:tc>
                <w:tcPr>
                  <w:tcW w:w="1426" w:type="dxa"/>
                  <w:tcBorders>
                    <w:tl2br w:val="nil"/>
                    <w:tr2bl w:val="nil"/>
                  </w:tcBorders>
                  <w:shd w:val="clear" w:color="auto" w:fill="auto"/>
                  <w:vAlign w:val="center"/>
                </w:tcPr>
                <w:p w14:paraId="615E63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9.3 </w:t>
                  </w:r>
                </w:p>
              </w:tc>
              <w:tc>
                <w:tcPr>
                  <w:tcW w:w="758" w:type="dxa"/>
                  <w:tcBorders>
                    <w:tl2br w:val="nil"/>
                    <w:tr2bl w:val="nil"/>
                  </w:tcBorders>
                  <w:shd w:val="clear" w:color="auto" w:fill="auto"/>
                  <w:vAlign w:val="center"/>
                </w:tcPr>
                <w:p w14:paraId="3F35FE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0.00180 </w:t>
                  </w:r>
                </w:p>
              </w:tc>
              <w:tc>
                <w:tcPr>
                  <w:tcW w:w="548" w:type="dxa"/>
                  <w:vMerge w:val="continue"/>
                  <w:tcBorders>
                    <w:tl2br w:val="nil"/>
                    <w:tr2bl w:val="nil"/>
                  </w:tcBorders>
                  <w:vAlign w:val="center"/>
                </w:tcPr>
                <w:p w14:paraId="035430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tcBorders>
                    <w:tl2br w:val="nil"/>
                    <w:tr2bl w:val="nil"/>
                  </w:tcBorders>
                  <w:shd w:val="clear" w:color="auto" w:fill="auto"/>
                  <w:vAlign w:val="center"/>
                </w:tcPr>
                <w:p w14:paraId="4CAE2358">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总铜</w:t>
                  </w:r>
                </w:p>
              </w:tc>
              <w:tc>
                <w:tcPr>
                  <w:tcW w:w="1333" w:type="dxa"/>
                  <w:tcBorders>
                    <w:tl2br w:val="nil"/>
                    <w:tr2bl w:val="nil"/>
                  </w:tcBorders>
                  <w:shd w:val="clear" w:color="auto" w:fill="auto"/>
                  <w:vAlign w:val="center"/>
                </w:tcPr>
                <w:p w14:paraId="561D64E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1.86 </w:t>
                  </w:r>
                </w:p>
              </w:tc>
              <w:tc>
                <w:tcPr>
                  <w:tcW w:w="737" w:type="dxa"/>
                  <w:tcBorders>
                    <w:tl2br w:val="nil"/>
                    <w:tr2bl w:val="nil"/>
                  </w:tcBorders>
                  <w:shd w:val="clear" w:color="auto" w:fill="auto"/>
                  <w:vAlign w:val="center"/>
                </w:tcPr>
                <w:p w14:paraId="1443EF6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0.00036 </w:t>
                  </w:r>
                </w:p>
              </w:tc>
              <w:tc>
                <w:tcPr>
                  <w:tcW w:w="546" w:type="dxa"/>
                  <w:vMerge w:val="continue"/>
                  <w:tcBorders>
                    <w:tl2br w:val="nil"/>
                    <w:tr2bl w:val="nil"/>
                  </w:tcBorders>
                  <w:vAlign w:val="center"/>
                </w:tcPr>
                <w:p w14:paraId="6490C7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51EAA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54C8B5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vAlign w:val="center"/>
                </w:tcPr>
                <w:p w14:paraId="0DCCE5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shd w:val="clear" w:color="auto" w:fill="auto"/>
                  <w:vAlign w:val="center"/>
                </w:tcPr>
                <w:p w14:paraId="4D8AA16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硫酸盐</w:t>
                  </w:r>
                </w:p>
              </w:tc>
              <w:tc>
                <w:tcPr>
                  <w:tcW w:w="1426" w:type="dxa"/>
                  <w:vAlign w:val="center"/>
                </w:tcPr>
                <w:p w14:paraId="149C91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4948.5 </w:t>
                  </w:r>
                </w:p>
              </w:tc>
              <w:tc>
                <w:tcPr>
                  <w:tcW w:w="758" w:type="dxa"/>
                  <w:vAlign w:val="center"/>
                </w:tcPr>
                <w:p w14:paraId="029361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0.96000 </w:t>
                  </w:r>
                </w:p>
              </w:tc>
              <w:tc>
                <w:tcPr>
                  <w:tcW w:w="548" w:type="dxa"/>
                  <w:vMerge w:val="continue"/>
                  <w:vAlign w:val="center"/>
                </w:tcPr>
                <w:p w14:paraId="45AD31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shd w:val="clear" w:color="auto" w:fill="auto"/>
                  <w:vAlign w:val="center"/>
                </w:tcPr>
                <w:p w14:paraId="25C44757">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硫酸盐</w:t>
                  </w:r>
                </w:p>
              </w:tc>
              <w:tc>
                <w:tcPr>
                  <w:tcW w:w="1333" w:type="dxa"/>
                  <w:shd w:val="clear" w:color="auto" w:fill="auto"/>
                  <w:vAlign w:val="center"/>
                </w:tcPr>
                <w:p w14:paraId="1BE9512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247.43 </w:t>
                  </w:r>
                </w:p>
              </w:tc>
              <w:tc>
                <w:tcPr>
                  <w:tcW w:w="737" w:type="dxa"/>
                  <w:shd w:val="clear" w:color="auto" w:fill="auto"/>
                  <w:vAlign w:val="center"/>
                </w:tcPr>
                <w:p w14:paraId="17FB406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0.04800 </w:t>
                  </w:r>
                </w:p>
              </w:tc>
              <w:tc>
                <w:tcPr>
                  <w:tcW w:w="546" w:type="dxa"/>
                  <w:vMerge w:val="continue"/>
                  <w:vAlign w:val="center"/>
                </w:tcPr>
                <w:p w14:paraId="12669C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97AA3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33B722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vAlign w:val="center"/>
                </w:tcPr>
                <w:p w14:paraId="2D95BC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shd w:val="clear" w:color="auto" w:fill="auto"/>
                  <w:vAlign w:val="center"/>
                </w:tcPr>
                <w:p w14:paraId="4DF3A0D4">
                  <w:pPr>
                    <w:keepNext w:val="0"/>
                    <w:keepLines w:val="0"/>
                    <w:widowControl/>
                    <w:suppressLineNumbers w:val="0"/>
                    <w:jc w:val="center"/>
                    <w:textAlignment w:val="center"/>
                    <w:rPr>
                      <w:rFonts w:hint="default" w:ascii="Times New Roman" w:hAnsi="Times New Roman" w:cs="Times New Roman"/>
                      <w:b w:val="0"/>
                      <w:bCs w:val="0"/>
                      <w:color w:val="000000" w:themeColor="text1"/>
                      <w:spacing w:val="6"/>
                      <w:sz w:val="21"/>
                      <w:szCs w:val="21"/>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石油类</w:t>
                  </w:r>
                </w:p>
              </w:tc>
              <w:tc>
                <w:tcPr>
                  <w:tcW w:w="1426" w:type="dxa"/>
                  <w:vAlign w:val="center"/>
                </w:tcPr>
                <w:p w14:paraId="42A8CB0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0.7 </w:t>
                  </w:r>
                </w:p>
              </w:tc>
              <w:tc>
                <w:tcPr>
                  <w:tcW w:w="758" w:type="dxa"/>
                  <w:vAlign w:val="center"/>
                </w:tcPr>
                <w:p w14:paraId="2744B37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0.00014 </w:t>
                  </w:r>
                </w:p>
              </w:tc>
              <w:tc>
                <w:tcPr>
                  <w:tcW w:w="548" w:type="dxa"/>
                  <w:vMerge w:val="continue"/>
                  <w:vAlign w:val="center"/>
                </w:tcPr>
                <w:p w14:paraId="30D3AC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shd w:val="clear" w:color="auto" w:fill="auto"/>
                  <w:vAlign w:val="center"/>
                </w:tcPr>
                <w:p w14:paraId="0175A5A9">
                  <w:pPr>
                    <w:keepNext w:val="0"/>
                    <w:keepLines w:val="0"/>
                    <w:widowControl/>
                    <w:suppressLineNumbers w:val="0"/>
                    <w:jc w:val="center"/>
                    <w:textAlignment w:val="center"/>
                    <w:rPr>
                      <w:rFonts w:hint="eastAsia" w:ascii="Times New Roman" w:hAnsi="Times New Roman" w:cs="Times New Roman" w:eastAsiaTheme="minorEastAsia"/>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石油类</w:t>
                  </w:r>
                </w:p>
              </w:tc>
              <w:tc>
                <w:tcPr>
                  <w:tcW w:w="1333" w:type="dxa"/>
                  <w:shd w:val="clear" w:color="auto" w:fill="auto"/>
                  <w:vAlign w:val="center"/>
                </w:tcPr>
                <w:p w14:paraId="53981BF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0.56 </w:t>
                  </w:r>
                </w:p>
              </w:tc>
              <w:tc>
                <w:tcPr>
                  <w:tcW w:w="737" w:type="dxa"/>
                  <w:shd w:val="clear" w:color="auto" w:fill="auto"/>
                  <w:vAlign w:val="center"/>
                </w:tcPr>
                <w:p w14:paraId="16D82E7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0.00011 </w:t>
                  </w:r>
                </w:p>
              </w:tc>
              <w:tc>
                <w:tcPr>
                  <w:tcW w:w="546" w:type="dxa"/>
                  <w:vMerge w:val="continue"/>
                  <w:vAlign w:val="center"/>
                </w:tcPr>
                <w:p w14:paraId="50F0CE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57A58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533333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vAlign w:val="center"/>
                </w:tcPr>
                <w:p w14:paraId="5B7A04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shd w:val="clear" w:color="auto" w:fill="auto"/>
                  <w:vAlign w:val="center"/>
                </w:tcPr>
                <w:p w14:paraId="28935C8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LAS</w:t>
                  </w:r>
                </w:p>
              </w:tc>
              <w:tc>
                <w:tcPr>
                  <w:tcW w:w="1426" w:type="dxa"/>
                  <w:vAlign w:val="center"/>
                </w:tcPr>
                <w:p w14:paraId="5D12B9CF">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0.1 </w:t>
                  </w:r>
                </w:p>
              </w:tc>
              <w:tc>
                <w:tcPr>
                  <w:tcW w:w="758" w:type="dxa"/>
                  <w:vAlign w:val="center"/>
                </w:tcPr>
                <w:p w14:paraId="60BB3D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0.00002 </w:t>
                  </w:r>
                </w:p>
              </w:tc>
              <w:tc>
                <w:tcPr>
                  <w:tcW w:w="548" w:type="dxa"/>
                  <w:vMerge w:val="continue"/>
                  <w:vAlign w:val="center"/>
                </w:tcPr>
                <w:p w14:paraId="0F25ED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50" w:type="dxa"/>
                  <w:shd w:val="clear" w:color="auto" w:fill="auto"/>
                  <w:vAlign w:val="center"/>
                </w:tcPr>
                <w:p w14:paraId="19C379D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LAS</w:t>
                  </w:r>
                </w:p>
              </w:tc>
              <w:tc>
                <w:tcPr>
                  <w:tcW w:w="1333" w:type="dxa"/>
                  <w:shd w:val="clear" w:color="auto" w:fill="auto"/>
                  <w:vAlign w:val="center"/>
                </w:tcPr>
                <w:p w14:paraId="0EDAAAB3">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0.08 </w:t>
                  </w:r>
                </w:p>
              </w:tc>
              <w:tc>
                <w:tcPr>
                  <w:tcW w:w="737" w:type="dxa"/>
                  <w:shd w:val="clear" w:color="auto" w:fill="auto"/>
                  <w:vAlign w:val="center"/>
                </w:tcPr>
                <w:p w14:paraId="7F80184E">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0.00002 </w:t>
                  </w:r>
                </w:p>
              </w:tc>
              <w:tc>
                <w:tcPr>
                  <w:tcW w:w="546" w:type="dxa"/>
                  <w:vMerge w:val="continue"/>
                  <w:vAlign w:val="center"/>
                </w:tcPr>
                <w:p w14:paraId="52B7EA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bl>
          <w:p w14:paraId="2E7B32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全厂</w:t>
            </w:r>
            <w:r>
              <w:rPr>
                <w:rFonts w:hint="default" w:ascii="Times New Roman" w:hAnsi="Times New Roman" w:eastAsia="宋体" w:cs="Times New Roman"/>
                <w:b/>
                <w:bCs/>
                <w:color w:val="000000" w:themeColor="text1"/>
                <w:sz w:val="24"/>
                <w:szCs w:val="24"/>
                <w14:textFill>
                  <w14:solidFill>
                    <w14:schemeClr w14:val="tx1"/>
                  </w14:solidFill>
                </w14:textFill>
              </w:rPr>
              <w:t>废水污染物排放情况表</w:t>
            </w:r>
          </w:p>
          <w:tbl>
            <w:tblPr>
              <w:tblStyle w:val="85"/>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91"/>
              <w:gridCol w:w="870"/>
              <w:gridCol w:w="795"/>
              <w:gridCol w:w="1426"/>
              <w:gridCol w:w="758"/>
              <w:gridCol w:w="548"/>
              <w:gridCol w:w="735"/>
              <w:gridCol w:w="1348"/>
              <w:gridCol w:w="737"/>
              <w:gridCol w:w="546"/>
            </w:tblGrid>
            <w:tr w14:paraId="14D4DB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339993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废水源</w:t>
                  </w:r>
                </w:p>
              </w:tc>
              <w:tc>
                <w:tcPr>
                  <w:tcW w:w="870" w:type="dxa"/>
                  <w:vMerge w:val="restart"/>
                  <w:tcBorders>
                    <w:tl2br w:val="nil"/>
                    <w:tr2bl w:val="nil"/>
                  </w:tcBorders>
                  <w:vAlign w:val="center"/>
                </w:tcPr>
                <w:p w14:paraId="34B0B4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废水量（m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/a）</w:t>
                  </w:r>
                </w:p>
              </w:tc>
              <w:tc>
                <w:tcPr>
                  <w:tcW w:w="2979" w:type="dxa"/>
                  <w:gridSpan w:val="3"/>
                  <w:tcBorders>
                    <w:tl2br w:val="nil"/>
                    <w:tr2bl w:val="nil"/>
                  </w:tcBorders>
                  <w:vAlign w:val="center"/>
                </w:tcPr>
                <w:p w14:paraId="3CA2D3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产生情况</w:t>
                  </w:r>
                </w:p>
              </w:tc>
              <w:tc>
                <w:tcPr>
                  <w:tcW w:w="3368" w:type="dxa"/>
                  <w:gridSpan w:val="4"/>
                  <w:tcBorders>
                    <w:tl2br w:val="nil"/>
                    <w:tr2bl w:val="nil"/>
                  </w:tcBorders>
                  <w:vAlign w:val="center"/>
                </w:tcPr>
                <w:p w14:paraId="2ABAB1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预处理后情况</w:t>
                  </w:r>
                </w:p>
              </w:tc>
              <w:tc>
                <w:tcPr>
                  <w:tcW w:w="546" w:type="dxa"/>
                  <w:vMerge w:val="restart"/>
                  <w:tcBorders>
                    <w:tl2br w:val="nil"/>
                    <w:tr2bl w:val="nil"/>
                  </w:tcBorders>
                  <w:vAlign w:val="center"/>
                </w:tcPr>
                <w:p w14:paraId="4D22E8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排放去向</w:t>
                  </w:r>
                </w:p>
              </w:tc>
            </w:tr>
            <w:tr w14:paraId="1C2E03D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15587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870" w:type="dxa"/>
                  <w:vMerge w:val="continue"/>
                  <w:tcBorders>
                    <w:tl2br w:val="nil"/>
                    <w:tr2bl w:val="nil"/>
                  </w:tcBorders>
                  <w:vAlign w:val="center"/>
                </w:tcPr>
                <w:p w14:paraId="064880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795" w:type="dxa"/>
                  <w:tcBorders>
                    <w:tl2br w:val="nil"/>
                    <w:tr2bl w:val="nil"/>
                  </w:tcBorders>
                  <w:vAlign w:val="center"/>
                </w:tcPr>
                <w:p w14:paraId="72FAEB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污染物名称</w:t>
                  </w:r>
                </w:p>
              </w:tc>
              <w:tc>
                <w:tcPr>
                  <w:tcW w:w="1426" w:type="dxa"/>
                  <w:tcBorders>
                    <w:tl2br w:val="nil"/>
                    <w:tr2bl w:val="nil"/>
                  </w:tcBorders>
                  <w:vAlign w:val="center"/>
                </w:tcPr>
                <w:p w14:paraId="3E6C41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产生浓度mg/L</w:t>
                  </w:r>
                </w:p>
              </w:tc>
              <w:tc>
                <w:tcPr>
                  <w:tcW w:w="758" w:type="dxa"/>
                  <w:tcBorders>
                    <w:tl2br w:val="nil"/>
                    <w:tr2bl w:val="nil"/>
                  </w:tcBorders>
                  <w:vAlign w:val="center"/>
                </w:tcPr>
                <w:p w14:paraId="5B7460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548" w:type="dxa"/>
                  <w:tcBorders>
                    <w:tl2br w:val="nil"/>
                    <w:tr2bl w:val="nil"/>
                  </w:tcBorders>
                  <w:vAlign w:val="center"/>
                </w:tcPr>
                <w:p w14:paraId="2DD491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处理措施</w:t>
                  </w:r>
                </w:p>
              </w:tc>
              <w:tc>
                <w:tcPr>
                  <w:tcW w:w="735" w:type="dxa"/>
                  <w:tcBorders>
                    <w:tl2br w:val="nil"/>
                    <w:tr2bl w:val="nil"/>
                  </w:tcBorders>
                  <w:vAlign w:val="center"/>
                </w:tcPr>
                <w:p w14:paraId="3D4AB9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污染物名称</w:t>
                  </w:r>
                </w:p>
              </w:tc>
              <w:tc>
                <w:tcPr>
                  <w:tcW w:w="1348" w:type="dxa"/>
                  <w:tcBorders>
                    <w:tl2br w:val="nil"/>
                    <w:tr2bl w:val="nil"/>
                  </w:tcBorders>
                  <w:vAlign w:val="center"/>
                </w:tcPr>
                <w:p w14:paraId="2BCA6E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接管浓度mg/L</w:t>
                  </w:r>
                </w:p>
              </w:tc>
              <w:tc>
                <w:tcPr>
                  <w:tcW w:w="737" w:type="dxa"/>
                  <w:tcBorders>
                    <w:tl2br w:val="nil"/>
                    <w:tr2bl w:val="nil"/>
                  </w:tcBorders>
                  <w:vAlign w:val="center"/>
                </w:tcPr>
                <w:p w14:paraId="19F571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接管量t/a</w:t>
                  </w:r>
                </w:p>
              </w:tc>
              <w:tc>
                <w:tcPr>
                  <w:tcW w:w="546" w:type="dxa"/>
                  <w:vMerge w:val="continue"/>
                  <w:tcBorders>
                    <w:tl2br w:val="nil"/>
                    <w:tr2bl w:val="nil"/>
                  </w:tcBorders>
                  <w:vAlign w:val="center"/>
                </w:tcPr>
                <w:p w14:paraId="380E3E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F2841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68FDE2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（含纯水制备浓水）</w:t>
                  </w:r>
                </w:p>
              </w:tc>
              <w:tc>
                <w:tcPr>
                  <w:tcW w:w="870" w:type="dxa"/>
                  <w:vMerge w:val="restart"/>
                  <w:tcBorders>
                    <w:tl2br w:val="nil"/>
                    <w:tr2bl w:val="nil"/>
                  </w:tcBorders>
                  <w:vAlign w:val="center"/>
                </w:tcPr>
                <w:p w14:paraId="05E3E7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360</w:t>
                  </w:r>
                </w:p>
              </w:tc>
              <w:tc>
                <w:tcPr>
                  <w:tcW w:w="795" w:type="dxa"/>
                  <w:tcBorders>
                    <w:tl2br w:val="nil"/>
                    <w:tr2bl w:val="nil"/>
                  </w:tcBorders>
                  <w:vAlign w:val="center"/>
                </w:tcPr>
                <w:p w14:paraId="4ADEEB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1426" w:type="dxa"/>
                  <w:tcBorders>
                    <w:tl2br w:val="nil"/>
                    <w:tr2bl w:val="nil"/>
                  </w:tcBorders>
                  <w:vAlign w:val="center"/>
                </w:tcPr>
                <w:p w14:paraId="493DC5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6~9（无量纲）</w:t>
                  </w:r>
                </w:p>
              </w:tc>
              <w:tc>
                <w:tcPr>
                  <w:tcW w:w="758" w:type="dxa"/>
                  <w:tcBorders>
                    <w:tl2br w:val="nil"/>
                    <w:tr2bl w:val="nil"/>
                  </w:tcBorders>
                  <w:vAlign w:val="center"/>
                </w:tcPr>
                <w:p w14:paraId="2FF6AC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dxa"/>
                  <w:vMerge w:val="restart"/>
                  <w:tcBorders>
                    <w:tl2br w:val="nil"/>
                    <w:tr2bl w:val="nil"/>
                  </w:tcBorders>
                  <w:vAlign w:val="center"/>
                </w:tcPr>
                <w:p w14:paraId="055140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化粪池</w:t>
                  </w:r>
                </w:p>
              </w:tc>
              <w:tc>
                <w:tcPr>
                  <w:tcW w:w="735" w:type="dxa"/>
                  <w:tcBorders>
                    <w:tl2br w:val="nil"/>
                    <w:tr2bl w:val="nil"/>
                  </w:tcBorders>
                  <w:shd w:val="clear" w:color="auto" w:fill="auto"/>
                  <w:vAlign w:val="center"/>
                </w:tcPr>
                <w:p w14:paraId="743E74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1348" w:type="dxa"/>
                  <w:tcBorders>
                    <w:tl2br w:val="nil"/>
                    <w:tr2bl w:val="nil"/>
                  </w:tcBorders>
                  <w:shd w:val="clear" w:color="auto" w:fill="auto"/>
                  <w:vAlign w:val="center"/>
                </w:tcPr>
                <w:p w14:paraId="62D547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6~9（无量纲）</w:t>
                  </w:r>
                </w:p>
              </w:tc>
              <w:tc>
                <w:tcPr>
                  <w:tcW w:w="737" w:type="dxa"/>
                  <w:tcBorders>
                    <w:tl2br w:val="nil"/>
                    <w:tr2bl w:val="nil"/>
                  </w:tcBorders>
                  <w:shd w:val="clear" w:color="auto" w:fill="auto"/>
                  <w:vAlign w:val="center"/>
                </w:tcPr>
                <w:p w14:paraId="425F50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6" w:type="dxa"/>
                  <w:vMerge w:val="restart"/>
                  <w:tcBorders>
                    <w:tl2br w:val="nil"/>
                    <w:tr2bl w:val="nil"/>
                  </w:tcBorders>
                  <w:vAlign w:val="center"/>
                </w:tcPr>
                <w:p w14:paraId="6B5E4F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接管至金坛第二污水处理厂</w:t>
                  </w:r>
                </w:p>
              </w:tc>
            </w:tr>
            <w:tr w14:paraId="778FBE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FAEDAFA">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870" w:type="dxa"/>
                  <w:vMerge w:val="continue"/>
                  <w:tcBorders>
                    <w:tl2br w:val="nil"/>
                    <w:tr2bl w:val="nil"/>
                  </w:tcBorders>
                  <w:vAlign w:val="center"/>
                </w:tcPr>
                <w:p w14:paraId="0C5FEE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dxa"/>
                  <w:tcBorders>
                    <w:tl2br w:val="nil"/>
                    <w:tr2bl w:val="nil"/>
                  </w:tcBorders>
                  <w:vAlign w:val="center"/>
                </w:tcPr>
                <w:p w14:paraId="1E5A12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COD</w:t>
                  </w:r>
                </w:p>
              </w:tc>
              <w:tc>
                <w:tcPr>
                  <w:tcW w:w="1426" w:type="dxa"/>
                  <w:tcBorders>
                    <w:tl2br w:val="nil"/>
                    <w:tr2bl w:val="nil"/>
                  </w:tcBorders>
                  <w:vAlign w:val="center"/>
                </w:tcPr>
                <w:p w14:paraId="3BEB84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758" w:type="dxa"/>
                  <w:tcBorders>
                    <w:tl2br w:val="nil"/>
                    <w:tr2bl w:val="nil"/>
                  </w:tcBorders>
                  <w:vAlign w:val="center"/>
                </w:tcPr>
                <w:p w14:paraId="42CF62F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0.144</w:t>
                  </w:r>
                </w:p>
              </w:tc>
              <w:tc>
                <w:tcPr>
                  <w:tcW w:w="548" w:type="dxa"/>
                  <w:vMerge w:val="continue"/>
                  <w:tcBorders>
                    <w:tl2br w:val="nil"/>
                    <w:tr2bl w:val="nil"/>
                  </w:tcBorders>
                  <w:vAlign w:val="center"/>
                </w:tcPr>
                <w:p w14:paraId="43783A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35" w:type="dxa"/>
                  <w:tcBorders>
                    <w:tl2br w:val="nil"/>
                    <w:tr2bl w:val="nil"/>
                  </w:tcBorders>
                  <w:vAlign w:val="center"/>
                </w:tcPr>
                <w:p w14:paraId="6BAC37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w:t>
                  </w:r>
                </w:p>
              </w:tc>
              <w:tc>
                <w:tcPr>
                  <w:tcW w:w="1348" w:type="dxa"/>
                  <w:tcBorders>
                    <w:tl2br w:val="nil"/>
                    <w:tr2bl w:val="nil"/>
                  </w:tcBorders>
                  <w:vAlign w:val="center"/>
                </w:tcPr>
                <w:p w14:paraId="02DF56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737" w:type="dxa"/>
                  <w:tcBorders>
                    <w:tl2br w:val="nil"/>
                    <w:tr2bl w:val="nil"/>
                  </w:tcBorders>
                  <w:shd w:val="clear" w:color="auto" w:fill="auto"/>
                  <w:vAlign w:val="center"/>
                </w:tcPr>
                <w:p w14:paraId="3FCFC4E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0.144</w:t>
                  </w:r>
                </w:p>
              </w:tc>
              <w:tc>
                <w:tcPr>
                  <w:tcW w:w="546" w:type="dxa"/>
                  <w:vMerge w:val="continue"/>
                  <w:tcBorders>
                    <w:tl2br w:val="nil"/>
                    <w:tr2bl w:val="nil"/>
                  </w:tcBorders>
                  <w:vAlign w:val="center"/>
                </w:tcPr>
                <w:p w14:paraId="5F3A0634">
                  <w:pPr>
                    <w:pStyle w:val="8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437B6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DE55A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14A6B3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023866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SS</w:t>
                  </w:r>
                </w:p>
              </w:tc>
              <w:tc>
                <w:tcPr>
                  <w:tcW w:w="1426" w:type="dxa"/>
                  <w:tcBorders>
                    <w:tl2br w:val="nil"/>
                    <w:tr2bl w:val="nil"/>
                  </w:tcBorders>
                  <w:vAlign w:val="center"/>
                </w:tcPr>
                <w:p w14:paraId="7548F3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58" w:type="dxa"/>
                  <w:tcBorders>
                    <w:tl2br w:val="nil"/>
                    <w:tr2bl w:val="nil"/>
                  </w:tcBorders>
                  <w:vAlign w:val="center"/>
                </w:tcPr>
                <w:p w14:paraId="5C6CC43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0.072</w:t>
                  </w:r>
                </w:p>
              </w:tc>
              <w:tc>
                <w:tcPr>
                  <w:tcW w:w="548" w:type="dxa"/>
                  <w:vMerge w:val="continue"/>
                  <w:tcBorders>
                    <w:tl2br w:val="nil"/>
                    <w:tr2bl w:val="nil"/>
                  </w:tcBorders>
                  <w:vAlign w:val="center"/>
                </w:tcPr>
                <w:p w14:paraId="26032D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35" w:type="dxa"/>
                  <w:tcBorders>
                    <w:tl2br w:val="nil"/>
                    <w:tr2bl w:val="nil"/>
                  </w:tcBorders>
                  <w:vAlign w:val="center"/>
                </w:tcPr>
                <w:p w14:paraId="6000C5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1348" w:type="dxa"/>
                  <w:tcBorders>
                    <w:tl2br w:val="nil"/>
                    <w:tr2bl w:val="nil"/>
                  </w:tcBorders>
                  <w:vAlign w:val="center"/>
                </w:tcPr>
                <w:p w14:paraId="798D54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37" w:type="dxa"/>
                  <w:tcBorders>
                    <w:tl2br w:val="nil"/>
                    <w:tr2bl w:val="nil"/>
                  </w:tcBorders>
                  <w:shd w:val="clear" w:color="auto" w:fill="auto"/>
                  <w:vAlign w:val="center"/>
                </w:tcPr>
                <w:p w14:paraId="4B44409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0.072</w:t>
                  </w:r>
                </w:p>
              </w:tc>
              <w:tc>
                <w:tcPr>
                  <w:tcW w:w="546" w:type="dxa"/>
                  <w:vMerge w:val="continue"/>
                  <w:tcBorders>
                    <w:tl2br w:val="nil"/>
                    <w:tr2bl w:val="nil"/>
                  </w:tcBorders>
                  <w:vAlign w:val="center"/>
                </w:tcPr>
                <w:p w14:paraId="638375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3F2A2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67F935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F43EF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7935BD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pacing w:val="9"/>
                      <w:position w:val="-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pacing w:val="9"/>
                      <w:sz w:val="21"/>
                      <w:szCs w:val="21"/>
                      <w14:textFill>
                        <w14:solidFill>
                          <w14:schemeClr w14:val="tx1"/>
                        </w14:solidFill>
                      </w14:textFill>
                    </w:rPr>
                    <w:t>-N</w:t>
                  </w:r>
                </w:p>
              </w:tc>
              <w:tc>
                <w:tcPr>
                  <w:tcW w:w="1426" w:type="dxa"/>
                  <w:tcBorders>
                    <w:tl2br w:val="nil"/>
                    <w:tr2bl w:val="nil"/>
                  </w:tcBorders>
                  <w:vAlign w:val="center"/>
                </w:tcPr>
                <w:p w14:paraId="08E88C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758" w:type="dxa"/>
                  <w:tcBorders>
                    <w:tl2br w:val="nil"/>
                    <w:tr2bl w:val="nil"/>
                  </w:tcBorders>
                  <w:vAlign w:val="center"/>
                </w:tcPr>
                <w:p w14:paraId="63D7474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0.0108</w:t>
                  </w:r>
                </w:p>
              </w:tc>
              <w:tc>
                <w:tcPr>
                  <w:tcW w:w="548" w:type="dxa"/>
                  <w:vMerge w:val="continue"/>
                  <w:tcBorders>
                    <w:tl2br w:val="nil"/>
                    <w:tr2bl w:val="nil"/>
                  </w:tcBorders>
                  <w:vAlign w:val="center"/>
                </w:tcPr>
                <w:p w14:paraId="73D717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35" w:type="dxa"/>
                  <w:tcBorders>
                    <w:tl2br w:val="nil"/>
                    <w:tr2bl w:val="nil"/>
                  </w:tcBorders>
                  <w:vAlign w:val="center"/>
                </w:tcPr>
                <w:p w14:paraId="298E45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w:t>
                  </w:r>
                </w:p>
              </w:tc>
              <w:tc>
                <w:tcPr>
                  <w:tcW w:w="1348" w:type="dxa"/>
                  <w:tcBorders>
                    <w:tl2br w:val="nil"/>
                    <w:tr2bl w:val="nil"/>
                  </w:tcBorders>
                  <w:shd w:val="clear" w:color="auto" w:fill="auto"/>
                  <w:vAlign w:val="center"/>
                </w:tcPr>
                <w:p w14:paraId="78A828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737" w:type="dxa"/>
                  <w:tcBorders>
                    <w:tl2br w:val="nil"/>
                    <w:tr2bl w:val="nil"/>
                  </w:tcBorders>
                  <w:shd w:val="clear" w:color="auto" w:fill="auto"/>
                  <w:vAlign w:val="center"/>
                </w:tcPr>
                <w:p w14:paraId="0C54D0E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0.0108</w:t>
                  </w:r>
                </w:p>
              </w:tc>
              <w:tc>
                <w:tcPr>
                  <w:tcW w:w="546" w:type="dxa"/>
                  <w:vMerge w:val="continue"/>
                  <w:tcBorders>
                    <w:tl2br w:val="nil"/>
                    <w:tr2bl w:val="nil"/>
                  </w:tcBorders>
                  <w:vAlign w:val="center"/>
                </w:tcPr>
                <w:p w14:paraId="71E520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6776A0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159911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3ADE8B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217557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TP</w:t>
                  </w:r>
                </w:p>
              </w:tc>
              <w:tc>
                <w:tcPr>
                  <w:tcW w:w="1426" w:type="dxa"/>
                  <w:tcBorders>
                    <w:tl2br w:val="nil"/>
                    <w:tr2bl w:val="nil"/>
                  </w:tcBorders>
                  <w:vAlign w:val="center"/>
                </w:tcPr>
                <w:p w14:paraId="6C12FE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58" w:type="dxa"/>
                  <w:tcBorders>
                    <w:tl2br w:val="nil"/>
                    <w:tr2bl w:val="nil"/>
                  </w:tcBorders>
                  <w:vAlign w:val="center"/>
                </w:tcPr>
                <w:p w14:paraId="2AAEDD5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0.00072</w:t>
                  </w:r>
                </w:p>
              </w:tc>
              <w:tc>
                <w:tcPr>
                  <w:tcW w:w="548" w:type="dxa"/>
                  <w:vMerge w:val="continue"/>
                  <w:tcBorders>
                    <w:tl2br w:val="nil"/>
                    <w:tr2bl w:val="nil"/>
                  </w:tcBorders>
                  <w:vAlign w:val="center"/>
                </w:tcPr>
                <w:p w14:paraId="111A50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35" w:type="dxa"/>
                  <w:tcBorders>
                    <w:tl2br w:val="nil"/>
                    <w:tr2bl w:val="nil"/>
                  </w:tcBorders>
                  <w:vAlign w:val="center"/>
                </w:tcPr>
                <w:p w14:paraId="1698DC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TP</w:t>
                  </w:r>
                </w:p>
              </w:tc>
              <w:tc>
                <w:tcPr>
                  <w:tcW w:w="1348" w:type="dxa"/>
                  <w:tcBorders>
                    <w:tl2br w:val="nil"/>
                    <w:tr2bl w:val="nil"/>
                  </w:tcBorders>
                  <w:shd w:val="clear" w:color="auto" w:fill="auto"/>
                  <w:vAlign w:val="center"/>
                </w:tcPr>
                <w:p w14:paraId="0719BD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37" w:type="dxa"/>
                  <w:tcBorders>
                    <w:tl2br w:val="nil"/>
                    <w:tr2bl w:val="nil"/>
                  </w:tcBorders>
                  <w:shd w:val="clear" w:color="auto" w:fill="auto"/>
                  <w:vAlign w:val="center"/>
                </w:tcPr>
                <w:p w14:paraId="309F66B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0.00072</w:t>
                  </w:r>
                </w:p>
              </w:tc>
              <w:tc>
                <w:tcPr>
                  <w:tcW w:w="546" w:type="dxa"/>
                  <w:vMerge w:val="continue"/>
                  <w:tcBorders>
                    <w:tl2br w:val="nil"/>
                    <w:tr2bl w:val="nil"/>
                  </w:tcBorders>
                  <w:vAlign w:val="center"/>
                </w:tcPr>
                <w:p w14:paraId="736E89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6D031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772664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1C0CE0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95" w:type="dxa"/>
                  <w:tcBorders>
                    <w:tl2br w:val="nil"/>
                    <w:tr2bl w:val="nil"/>
                  </w:tcBorders>
                  <w:vAlign w:val="center"/>
                </w:tcPr>
                <w:p w14:paraId="0636C5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TN</w:t>
                  </w:r>
                </w:p>
              </w:tc>
              <w:tc>
                <w:tcPr>
                  <w:tcW w:w="1426" w:type="dxa"/>
                  <w:tcBorders>
                    <w:tl2br w:val="nil"/>
                    <w:tr2bl w:val="nil"/>
                  </w:tcBorders>
                  <w:shd w:val="clear" w:color="auto" w:fill="auto"/>
                  <w:vAlign w:val="center"/>
                </w:tcPr>
                <w:p w14:paraId="5BEDC2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58" w:type="dxa"/>
                  <w:tcBorders>
                    <w:tl2br w:val="nil"/>
                    <w:tr2bl w:val="nil"/>
                  </w:tcBorders>
                  <w:shd w:val="clear" w:color="auto" w:fill="auto"/>
                  <w:vAlign w:val="center"/>
                </w:tcPr>
                <w:p w14:paraId="782F2C9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0.0144</w:t>
                  </w:r>
                </w:p>
              </w:tc>
              <w:tc>
                <w:tcPr>
                  <w:tcW w:w="548" w:type="dxa"/>
                  <w:vMerge w:val="continue"/>
                  <w:tcBorders>
                    <w:tl2br w:val="nil"/>
                    <w:tr2bl w:val="nil"/>
                  </w:tcBorders>
                  <w:vAlign w:val="center"/>
                </w:tcPr>
                <w:p w14:paraId="493E81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35" w:type="dxa"/>
                  <w:tcBorders>
                    <w:tl2br w:val="nil"/>
                    <w:tr2bl w:val="nil"/>
                  </w:tcBorders>
                  <w:vAlign w:val="center"/>
                </w:tcPr>
                <w:p w14:paraId="18C8E2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TN</w:t>
                  </w:r>
                </w:p>
              </w:tc>
              <w:tc>
                <w:tcPr>
                  <w:tcW w:w="1348" w:type="dxa"/>
                  <w:tcBorders>
                    <w:tl2br w:val="nil"/>
                    <w:tr2bl w:val="nil"/>
                  </w:tcBorders>
                  <w:shd w:val="clear" w:color="auto" w:fill="auto"/>
                  <w:vAlign w:val="center"/>
                </w:tcPr>
                <w:p w14:paraId="2D4F86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37" w:type="dxa"/>
                  <w:tcBorders>
                    <w:tl2br w:val="nil"/>
                    <w:tr2bl w:val="nil"/>
                  </w:tcBorders>
                  <w:shd w:val="clear" w:color="auto" w:fill="auto"/>
                  <w:vAlign w:val="center"/>
                </w:tcPr>
                <w:p w14:paraId="73F2588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i w:val="0"/>
                      <w:iCs w:val="0"/>
                      <w:color w:val="000000" w:themeColor="text1"/>
                      <w:kern w:val="0"/>
                      <w:sz w:val="20"/>
                      <w:szCs w:val="20"/>
                      <w:u w:val="none"/>
                      <w:lang w:val="en-US" w:eastAsia="zh-CN" w:bidi="ar"/>
                      <w14:textFill>
                        <w14:solidFill>
                          <w14:schemeClr w14:val="tx1"/>
                        </w14:solidFill>
                      </w14:textFill>
                    </w:rPr>
                    <w:t>0.0144</w:t>
                  </w:r>
                </w:p>
              </w:tc>
              <w:tc>
                <w:tcPr>
                  <w:tcW w:w="546" w:type="dxa"/>
                  <w:vMerge w:val="continue"/>
                  <w:tcBorders>
                    <w:tl2br w:val="nil"/>
                    <w:tr2bl w:val="nil"/>
                  </w:tcBorders>
                  <w:vAlign w:val="center"/>
                </w:tcPr>
                <w:p w14:paraId="132D3E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75D9E3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restart"/>
                  <w:tcBorders>
                    <w:tl2br w:val="nil"/>
                    <w:tr2bl w:val="nil"/>
                  </w:tcBorders>
                  <w:vAlign w:val="center"/>
                </w:tcPr>
                <w:p w14:paraId="33CCCE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综合生产废水</w:t>
                  </w:r>
                </w:p>
              </w:tc>
              <w:tc>
                <w:tcPr>
                  <w:tcW w:w="870" w:type="dxa"/>
                  <w:vMerge w:val="restart"/>
                  <w:tcBorders>
                    <w:tl2br w:val="nil"/>
                    <w:tr2bl w:val="nil"/>
                  </w:tcBorders>
                  <w:vAlign w:val="center"/>
                </w:tcPr>
                <w:p w14:paraId="120849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194</w:t>
                  </w:r>
                </w:p>
              </w:tc>
              <w:tc>
                <w:tcPr>
                  <w:tcW w:w="795" w:type="dxa"/>
                  <w:tcBorders>
                    <w:tl2br w:val="nil"/>
                    <w:tr2bl w:val="nil"/>
                  </w:tcBorders>
                  <w:shd w:val="clear" w:color="auto" w:fill="auto"/>
                  <w:vAlign w:val="center"/>
                </w:tcPr>
                <w:p w14:paraId="1ED508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t>pH</w:t>
                  </w:r>
                </w:p>
              </w:tc>
              <w:tc>
                <w:tcPr>
                  <w:tcW w:w="1426" w:type="dxa"/>
                  <w:tcBorders>
                    <w:tl2br w:val="nil"/>
                    <w:tr2bl w:val="nil"/>
                  </w:tcBorders>
                  <w:shd w:val="clear" w:color="auto" w:fill="auto"/>
                  <w:vAlign w:val="center"/>
                </w:tcPr>
                <w:p w14:paraId="5514236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 w:cs="Times New Roman"/>
                      <w:b w:val="0"/>
                      <w:bCs w:val="0"/>
                      <w:color w:val="000000" w:themeColor="text1"/>
                      <w:sz w:val="21"/>
                      <w:szCs w:val="21"/>
                      <w:lang w:val="en-US" w:eastAsia="zh-CN"/>
                      <w14:textFill>
                        <w14:solidFill>
                          <w14:schemeClr w14:val="tx1"/>
                        </w14:solidFill>
                      </w14:textFill>
                    </w:rPr>
                    <w:t>4</w:t>
                  </w:r>
                  <w:r>
                    <w:rPr>
                      <w:rFonts w:ascii="Times New Roman" w:hAnsi="Times New Roman" w:eastAsia="仿宋" w:cs="Times New Roman"/>
                      <w:b w:val="0"/>
                      <w:bCs w:val="0"/>
                      <w:color w:val="000000" w:themeColor="text1"/>
                      <w:sz w:val="21"/>
                      <w:szCs w:val="21"/>
                      <w14:textFill>
                        <w14:solidFill>
                          <w14:schemeClr w14:val="tx1"/>
                        </w14:solidFill>
                      </w14:textFill>
                    </w:rPr>
                    <w:t>~</w:t>
                  </w:r>
                  <w:r>
                    <w:rPr>
                      <w:rFonts w:hint="eastAsia" w:ascii="Times New Roman" w:hAnsi="Times New Roman" w:eastAsia="仿宋" w:cs="Times New Roman"/>
                      <w:b w:val="0"/>
                      <w:bCs w:val="0"/>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（无量纲）</w:t>
                  </w:r>
                </w:p>
              </w:tc>
              <w:tc>
                <w:tcPr>
                  <w:tcW w:w="758" w:type="dxa"/>
                  <w:tcBorders>
                    <w:tl2br w:val="nil"/>
                    <w:tr2bl w:val="nil"/>
                  </w:tcBorders>
                  <w:shd w:val="clear" w:color="auto" w:fill="auto"/>
                  <w:vAlign w:val="center"/>
                </w:tcPr>
                <w:p w14:paraId="77F85DA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t>
                  </w:r>
                </w:p>
              </w:tc>
              <w:tc>
                <w:tcPr>
                  <w:tcW w:w="548" w:type="dxa"/>
                  <w:vMerge w:val="restart"/>
                  <w:tcBorders>
                    <w:tl2br w:val="nil"/>
                    <w:tr2bl w:val="nil"/>
                  </w:tcBorders>
                  <w:vAlign w:val="center"/>
                </w:tcPr>
                <w:p w14:paraId="010024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污水处理设施</w:t>
                  </w:r>
                </w:p>
              </w:tc>
              <w:tc>
                <w:tcPr>
                  <w:tcW w:w="735" w:type="dxa"/>
                  <w:tcBorders>
                    <w:tl2br w:val="nil"/>
                    <w:tr2bl w:val="nil"/>
                  </w:tcBorders>
                  <w:shd w:val="clear" w:color="auto" w:fill="auto"/>
                  <w:vAlign w:val="center"/>
                </w:tcPr>
                <w:p w14:paraId="403CCC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3"/>
                      <w:sz w:val="21"/>
                      <w:szCs w:val="21"/>
                      <w:lang w:val="en-US" w:eastAsia="zh-CN"/>
                      <w14:textFill>
                        <w14:solidFill>
                          <w14:schemeClr w14:val="tx1"/>
                        </w14:solidFill>
                      </w14:textFill>
                    </w:rPr>
                    <w:t>pH</w:t>
                  </w:r>
                </w:p>
              </w:tc>
              <w:tc>
                <w:tcPr>
                  <w:tcW w:w="1348" w:type="dxa"/>
                  <w:tcBorders>
                    <w:tl2br w:val="nil"/>
                    <w:tr2bl w:val="nil"/>
                  </w:tcBorders>
                  <w:shd w:val="clear" w:color="auto" w:fill="auto"/>
                  <w:vAlign w:val="center"/>
                </w:tcPr>
                <w:p w14:paraId="4321374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7~8（无量纲）</w:t>
                  </w:r>
                </w:p>
              </w:tc>
              <w:tc>
                <w:tcPr>
                  <w:tcW w:w="737" w:type="dxa"/>
                  <w:tcBorders>
                    <w:tl2br w:val="nil"/>
                    <w:tr2bl w:val="nil"/>
                  </w:tcBorders>
                  <w:shd w:val="clear" w:color="auto" w:fill="auto"/>
                  <w:vAlign w:val="center"/>
                </w:tcPr>
                <w:p w14:paraId="10B1BAC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t>
                  </w:r>
                </w:p>
              </w:tc>
              <w:tc>
                <w:tcPr>
                  <w:tcW w:w="546" w:type="dxa"/>
                  <w:vMerge w:val="restart"/>
                  <w:tcBorders>
                    <w:tl2br w:val="nil"/>
                    <w:tr2bl w:val="nil"/>
                  </w:tcBorders>
                  <w:vAlign w:val="center"/>
                </w:tcPr>
                <w:p w14:paraId="75D581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回用</w:t>
                  </w:r>
                </w:p>
              </w:tc>
            </w:tr>
            <w:tr w14:paraId="6315C1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53080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70" w:type="dxa"/>
                  <w:vMerge w:val="continue"/>
                  <w:tcBorders>
                    <w:tl2br w:val="nil"/>
                    <w:tr2bl w:val="nil"/>
                  </w:tcBorders>
                  <w:vAlign w:val="center"/>
                </w:tcPr>
                <w:p w14:paraId="5470D6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95" w:type="dxa"/>
                  <w:tcBorders>
                    <w:tl2br w:val="nil"/>
                    <w:tr2bl w:val="nil"/>
                  </w:tcBorders>
                  <w:shd w:val="clear" w:color="auto" w:fill="auto"/>
                  <w:vAlign w:val="center"/>
                </w:tcPr>
                <w:p w14:paraId="134E43A7">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1426" w:type="dxa"/>
                  <w:tcBorders>
                    <w:tl2br w:val="nil"/>
                    <w:tr2bl w:val="nil"/>
                  </w:tcBorders>
                  <w:shd w:val="clear" w:color="auto" w:fill="auto"/>
                  <w:vAlign w:val="center"/>
                </w:tcPr>
                <w:p w14:paraId="0C4A3A4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142.7 </w:t>
                  </w:r>
                </w:p>
              </w:tc>
              <w:tc>
                <w:tcPr>
                  <w:tcW w:w="758" w:type="dxa"/>
                  <w:tcBorders>
                    <w:tl2br w:val="nil"/>
                    <w:tr2bl w:val="nil"/>
                  </w:tcBorders>
                  <w:shd w:val="clear" w:color="auto" w:fill="auto"/>
                  <w:vAlign w:val="center"/>
                </w:tcPr>
                <w:p w14:paraId="7521FA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0.02768 </w:t>
                  </w:r>
                </w:p>
              </w:tc>
              <w:tc>
                <w:tcPr>
                  <w:tcW w:w="548" w:type="dxa"/>
                  <w:vMerge w:val="continue"/>
                  <w:tcBorders>
                    <w:tl2br w:val="nil"/>
                    <w:tr2bl w:val="nil"/>
                  </w:tcBorders>
                  <w:vAlign w:val="center"/>
                </w:tcPr>
                <w:p w14:paraId="458575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1DF80CC5">
                  <w:pPr>
                    <w:keepNext w:val="0"/>
                    <w:keepLines w:val="0"/>
                    <w:widowControl/>
                    <w:suppressLineNumbers w:val="0"/>
                    <w:jc w:val="center"/>
                    <w:textAlignment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1348" w:type="dxa"/>
                  <w:tcBorders>
                    <w:tl2br w:val="nil"/>
                    <w:tr2bl w:val="nil"/>
                  </w:tcBorders>
                  <w:shd w:val="clear" w:color="auto" w:fill="auto"/>
                  <w:vAlign w:val="center"/>
                </w:tcPr>
                <w:p w14:paraId="4A94D20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39.96 </w:t>
                  </w:r>
                </w:p>
              </w:tc>
              <w:tc>
                <w:tcPr>
                  <w:tcW w:w="737" w:type="dxa"/>
                  <w:tcBorders>
                    <w:tl2br w:val="nil"/>
                    <w:tr2bl w:val="nil"/>
                  </w:tcBorders>
                  <w:shd w:val="clear" w:color="auto" w:fill="auto"/>
                  <w:vAlign w:val="center"/>
                </w:tcPr>
                <w:p w14:paraId="05C7B6A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0.00775 </w:t>
                  </w:r>
                </w:p>
              </w:tc>
              <w:tc>
                <w:tcPr>
                  <w:tcW w:w="546" w:type="dxa"/>
                  <w:vMerge w:val="continue"/>
                  <w:tcBorders>
                    <w:tl2br w:val="nil"/>
                    <w:tr2bl w:val="nil"/>
                  </w:tcBorders>
                  <w:vAlign w:val="center"/>
                </w:tcPr>
                <w:p w14:paraId="401B0C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4AFD8E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04800A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070CB3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3925BF71">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1426" w:type="dxa"/>
                  <w:tcBorders>
                    <w:tl2br w:val="nil"/>
                    <w:tr2bl w:val="nil"/>
                  </w:tcBorders>
                  <w:shd w:val="clear" w:color="auto" w:fill="auto"/>
                  <w:vAlign w:val="center"/>
                </w:tcPr>
                <w:p w14:paraId="6064A40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20.2 </w:t>
                  </w:r>
                </w:p>
              </w:tc>
              <w:tc>
                <w:tcPr>
                  <w:tcW w:w="758" w:type="dxa"/>
                  <w:tcBorders>
                    <w:tl2br w:val="nil"/>
                    <w:tr2bl w:val="nil"/>
                  </w:tcBorders>
                  <w:shd w:val="clear" w:color="auto" w:fill="auto"/>
                  <w:vAlign w:val="center"/>
                </w:tcPr>
                <w:p w14:paraId="7C7729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0.00392 </w:t>
                  </w:r>
                </w:p>
              </w:tc>
              <w:tc>
                <w:tcPr>
                  <w:tcW w:w="548" w:type="dxa"/>
                  <w:vMerge w:val="continue"/>
                  <w:tcBorders>
                    <w:tl2br w:val="nil"/>
                    <w:tr2bl w:val="nil"/>
                  </w:tcBorders>
                  <w:vAlign w:val="center"/>
                </w:tcPr>
                <w:p w14:paraId="074C84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79368FE8">
                  <w:pPr>
                    <w:keepNext w:val="0"/>
                    <w:keepLines w:val="0"/>
                    <w:widowControl/>
                    <w:suppressLineNumbers w:val="0"/>
                    <w:jc w:val="center"/>
                    <w:textAlignment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1348" w:type="dxa"/>
                  <w:tcBorders>
                    <w:tl2br w:val="nil"/>
                    <w:tr2bl w:val="nil"/>
                  </w:tcBorders>
                  <w:shd w:val="clear" w:color="auto" w:fill="auto"/>
                  <w:vAlign w:val="center"/>
                </w:tcPr>
                <w:p w14:paraId="50DE212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4.04 </w:t>
                  </w:r>
                </w:p>
              </w:tc>
              <w:tc>
                <w:tcPr>
                  <w:tcW w:w="737" w:type="dxa"/>
                  <w:tcBorders>
                    <w:tl2br w:val="nil"/>
                    <w:tr2bl w:val="nil"/>
                  </w:tcBorders>
                  <w:shd w:val="clear" w:color="auto" w:fill="auto"/>
                  <w:vAlign w:val="center"/>
                </w:tcPr>
                <w:p w14:paraId="08FDF05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0.00078 </w:t>
                  </w:r>
                </w:p>
              </w:tc>
              <w:tc>
                <w:tcPr>
                  <w:tcW w:w="546" w:type="dxa"/>
                  <w:vMerge w:val="continue"/>
                  <w:tcBorders>
                    <w:tl2br w:val="nil"/>
                    <w:tr2bl w:val="nil"/>
                  </w:tcBorders>
                  <w:vAlign w:val="center"/>
                </w:tcPr>
                <w:p w14:paraId="69ADAD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42B5C68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EBF21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F0249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2A4267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氨氮</w:t>
                  </w:r>
                </w:p>
              </w:tc>
              <w:tc>
                <w:tcPr>
                  <w:tcW w:w="1426" w:type="dxa"/>
                  <w:tcBorders>
                    <w:tl2br w:val="nil"/>
                    <w:tr2bl w:val="nil"/>
                  </w:tcBorders>
                  <w:shd w:val="clear" w:color="auto" w:fill="auto"/>
                  <w:vAlign w:val="center"/>
                </w:tcPr>
                <w:p w14:paraId="60AD8E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1.7 </w:t>
                  </w:r>
                </w:p>
              </w:tc>
              <w:tc>
                <w:tcPr>
                  <w:tcW w:w="758" w:type="dxa"/>
                  <w:tcBorders>
                    <w:tl2br w:val="nil"/>
                    <w:tr2bl w:val="nil"/>
                  </w:tcBorders>
                  <w:shd w:val="clear" w:color="auto" w:fill="auto"/>
                  <w:vAlign w:val="center"/>
                </w:tcPr>
                <w:p w14:paraId="0CDF39E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0.00034 </w:t>
                  </w:r>
                </w:p>
              </w:tc>
              <w:tc>
                <w:tcPr>
                  <w:tcW w:w="548" w:type="dxa"/>
                  <w:vMerge w:val="continue"/>
                  <w:tcBorders>
                    <w:tl2br w:val="nil"/>
                    <w:tr2bl w:val="nil"/>
                  </w:tcBorders>
                  <w:vAlign w:val="center"/>
                </w:tcPr>
                <w:p w14:paraId="22EDD0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616CAB3C">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氨氮</w:t>
                  </w:r>
                </w:p>
              </w:tc>
              <w:tc>
                <w:tcPr>
                  <w:tcW w:w="1348" w:type="dxa"/>
                  <w:tcBorders>
                    <w:tl2br w:val="nil"/>
                    <w:tr2bl w:val="nil"/>
                  </w:tcBorders>
                  <w:shd w:val="clear" w:color="auto" w:fill="auto"/>
                  <w:vAlign w:val="center"/>
                </w:tcPr>
                <w:p w14:paraId="33BDC82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1.36 </w:t>
                  </w:r>
                </w:p>
              </w:tc>
              <w:tc>
                <w:tcPr>
                  <w:tcW w:w="737" w:type="dxa"/>
                  <w:tcBorders>
                    <w:tl2br w:val="nil"/>
                    <w:tr2bl w:val="nil"/>
                  </w:tcBorders>
                  <w:shd w:val="clear" w:color="auto" w:fill="auto"/>
                  <w:vAlign w:val="center"/>
                </w:tcPr>
                <w:p w14:paraId="7C985FC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0.00026 </w:t>
                  </w:r>
                </w:p>
              </w:tc>
              <w:tc>
                <w:tcPr>
                  <w:tcW w:w="546" w:type="dxa"/>
                  <w:vMerge w:val="continue"/>
                  <w:tcBorders>
                    <w:tl2br w:val="nil"/>
                    <w:tr2bl w:val="nil"/>
                  </w:tcBorders>
                  <w:vAlign w:val="center"/>
                </w:tcPr>
                <w:p w14:paraId="698AA4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596010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B6D1C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8E214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87CA3D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1426" w:type="dxa"/>
                  <w:tcBorders>
                    <w:tl2br w:val="nil"/>
                    <w:tr2bl w:val="nil"/>
                  </w:tcBorders>
                  <w:shd w:val="clear" w:color="auto" w:fill="auto"/>
                  <w:vAlign w:val="center"/>
                </w:tcPr>
                <w:p w14:paraId="5F8BF05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5.2 </w:t>
                  </w:r>
                </w:p>
              </w:tc>
              <w:tc>
                <w:tcPr>
                  <w:tcW w:w="758" w:type="dxa"/>
                  <w:tcBorders>
                    <w:tl2br w:val="nil"/>
                    <w:tr2bl w:val="nil"/>
                  </w:tcBorders>
                  <w:shd w:val="clear" w:color="auto" w:fill="auto"/>
                  <w:vAlign w:val="center"/>
                </w:tcPr>
                <w:p w14:paraId="68D3A98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0.00101 </w:t>
                  </w:r>
                </w:p>
              </w:tc>
              <w:tc>
                <w:tcPr>
                  <w:tcW w:w="548" w:type="dxa"/>
                  <w:vMerge w:val="continue"/>
                  <w:tcBorders>
                    <w:tl2br w:val="nil"/>
                    <w:tr2bl w:val="nil"/>
                  </w:tcBorders>
                  <w:vAlign w:val="center"/>
                </w:tcPr>
                <w:p w14:paraId="762D3B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55709FB3">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1348" w:type="dxa"/>
                  <w:tcBorders>
                    <w:tl2br w:val="nil"/>
                    <w:tr2bl w:val="nil"/>
                  </w:tcBorders>
                  <w:shd w:val="clear" w:color="auto" w:fill="auto"/>
                  <w:vAlign w:val="center"/>
                </w:tcPr>
                <w:p w14:paraId="3EB5853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0.26 </w:t>
                  </w:r>
                </w:p>
              </w:tc>
              <w:tc>
                <w:tcPr>
                  <w:tcW w:w="737" w:type="dxa"/>
                  <w:tcBorders>
                    <w:tl2br w:val="nil"/>
                    <w:tr2bl w:val="nil"/>
                  </w:tcBorders>
                  <w:shd w:val="clear" w:color="auto" w:fill="auto"/>
                  <w:vAlign w:val="center"/>
                </w:tcPr>
                <w:p w14:paraId="55CA492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0.00005 </w:t>
                  </w:r>
                </w:p>
              </w:tc>
              <w:tc>
                <w:tcPr>
                  <w:tcW w:w="546" w:type="dxa"/>
                  <w:vMerge w:val="continue"/>
                  <w:tcBorders>
                    <w:tl2br w:val="nil"/>
                    <w:tr2bl w:val="nil"/>
                  </w:tcBorders>
                  <w:vAlign w:val="center"/>
                </w:tcPr>
                <w:p w14:paraId="7B04E4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AFA5B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4E4FC3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680869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57161CB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1426" w:type="dxa"/>
                  <w:tcBorders>
                    <w:tl2br w:val="nil"/>
                    <w:tr2bl w:val="nil"/>
                  </w:tcBorders>
                  <w:shd w:val="clear" w:color="auto" w:fill="auto"/>
                  <w:vAlign w:val="center"/>
                </w:tcPr>
                <w:p w14:paraId="15C837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2.6 </w:t>
                  </w:r>
                </w:p>
              </w:tc>
              <w:tc>
                <w:tcPr>
                  <w:tcW w:w="758" w:type="dxa"/>
                  <w:tcBorders>
                    <w:tl2br w:val="nil"/>
                    <w:tr2bl w:val="nil"/>
                  </w:tcBorders>
                  <w:shd w:val="clear" w:color="auto" w:fill="auto"/>
                  <w:vAlign w:val="center"/>
                </w:tcPr>
                <w:p w14:paraId="6D9CFF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0.00050 </w:t>
                  </w:r>
                </w:p>
              </w:tc>
              <w:tc>
                <w:tcPr>
                  <w:tcW w:w="548" w:type="dxa"/>
                  <w:vMerge w:val="continue"/>
                  <w:tcBorders>
                    <w:tl2br w:val="nil"/>
                    <w:tr2bl w:val="nil"/>
                  </w:tcBorders>
                  <w:vAlign w:val="center"/>
                </w:tcPr>
                <w:p w14:paraId="51A5C8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24950EB0">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1348" w:type="dxa"/>
                  <w:tcBorders>
                    <w:tl2br w:val="nil"/>
                    <w:tr2bl w:val="nil"/>
                  </w:tcBorders>
                  <w:shd w:val="clear" w:color="auto" w:fill="auto"/>
                  <w:vAlign w:val="center"/>
                </w:tcPr>
                <w:p w14:paraId="77D67A4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2.08 </w:t>
                  </w:r>
                </w:p>
              </w:tc>
              <w:tc>
                <w:tcPr>
                  <w:tcW w:w="737" w:type="dxa"/>
                  <w:tcBorders>
                    <w:tl2br w:val="nil"/>
                    <w:tr2bl w:val="nil"/>
                  </w:tcBorders>
                  <w:shd w:val="clear" w:color="auto" w:fill="auto"/>
                  <w:vAlign w:val="center"/>
                </w:tcPr>
                <w:p w14:paraId="0FABBE4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0.00040 </w:t>
                  </w:r>
                </w:p>
              </w:tc>
              <w:tc>
                <w:tcPr>
                  <w:tcW w:w="546" w:type="dxa"/>
                  <w:vMerge w:val="continue"/>
                  <w:tcBorders>
                    <w:tl2br w:val="nil"/>
                    <w:tr2bl w:val="nil"/>
                  </w:tcBorders>
                  <w:vAlign w:val="center"/>
                </w:tcPr>
                <w:p w14:paraId="0CFB5B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23D5B0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2CF61D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7C7B34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04589C42">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溶解性总固体</w:t>
                  </w:r>
                </w:p>
              </w:tc>
              <w:tc>
                <w:tcPr>
                  <w:tcW w:w="1426" w:type="dxa"/>
                  <w:tcBorders>
                    <w:tl2br w:val="nil"/>
                    <w:tr2bl w:val="nil"/>
                  </w:tcBorders>
                  <w:shd w:val="clear" w:color="auto" w:fill="auto"/>
                  <w:vAlign w:val="center"/>
                </w:tcPr>
                <w:p w14:paraId="5837A2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2979.4 </w:t>
                  </w:r>
                </w:p>
              </w:tc>
              <w:tc>
                <w:tcPr>
                  <w:tcW w:w="758" w:type="dxa"/>
                  <w:tcBorders>
                    <w:tl2br w:val="nil"/>
                    <w:tr2bl w:val="nil"/>
                  </w:tcBorders>
                  <w:shd w:val="clear" w:color="auto" w:fill="auto"/>
                  <w:vAlign w:val="center"/>
                </w:tcPr>
                <w:p w14:paraId="454279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0.57800 </w:t>
                  </w:r>
                </w:p>
              </w:tc>
              <w:tc>
                <w:tcPr>
                  <w:tcW w:w="548" w:type="dxa"/>
                  <w:vMerge w:val="continue"/>
                  <w:tcBorders>
                    <w:tl2br w:val="nil"/>
                    <w:tr2bl w:val="nil"/>
                  </w:tcBorders>
                  <w:vAlign w:val="center"/>
                </w:tcPr>
                <w:p w14:paraId="22B8EB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57EFD4C9">
                  <w:pPr>
                    <w:keepNext w:val="0"/>
                    <w:keepLines w:val="0"/>
                    <w:widowControl/>
                    <w:suppressLineNumbers w:val="0"/>
                    <w:jc w:val="center"/>
                    <w:textAlignment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溶解性总固体</w:t>
                  </w:r>
                </w:p>
              </w:tc>
              <w:tc>
                <w:tcPr>
                  <w:tcW w:w="1348" w:type="dxa"/>
                  <w:tcBorders>
                    <w:tl2br w:val="nil"/>
                    <w:tr2bl w:val="nil"/>
                  </w:tcBorders>
                  <w:shd w:val="clear" w:color="auto" w:fill="auto"/>
                  <w:vAlign w:val="center"/>
                </w:tcPr>
                <w:p w14:paraId="0A565A8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148.97 </w:t>
                  </w:r>
                </w:p>
              </w:tc>
              <w:tc>
                <w:tcPr>
                  <w:tcW w:w="737" w:type="dxa"/>
                  <w:tcBorders>
                    <w:tl2br w:val="nil"/>
                    <w:tr2bl w:val="nil"/>
                  </w:tcBorders>
                  <w:shd w:val="clear" w:color="auto" w:fill="auto"/>
                  <w:vAlign w:val="center"/>
                </w:tcPr>
                <w:p w14:paraId="0AFC14F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0.02890 </w:t>
                  </w:r>
                </w:p>
              </w:tc>
              <w:tc>
                <w:tcPr>
                  <w:tcW w:w="546" w:type="dxa"/>
                  <w:vMerge w:val="continue"/>
                  <w:tcBorders>
                    <w:tl2br w:val="nil"/>
                    <w:tr2bl w:val="nil"/>
                  </w:tcBorders>
                  <w:vAlign w:val="center"/>
                </w:tcPr>
                <w:p w14:paraId="0F24AC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40FA2D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tcBorders>
                    <w:tl2br w:val="nil"/>
                    <w:tr2bl w:val="nil"/>
                  </w:tcBorders>
                  <w:vAlign w:val="center"/>
                </w:tcPr>
                <w:p w14:paraId="59D966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tcBorders>
                    <w:tl2br w:val="nil"/>
                    <w:tr2bl w:val="nil"/>
                  </w:tcBorders>
                  <w:vAlign w:val="center"/>
                </w:tcPr>
                <w:p w14:paraId="45C4F0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tcBorders>
                    <w:tl2br w:val="nil"/>
                    <w:tr2bl w:val="nil"/>
                  </w:tcBorders>
                  <w:shd w:val="clear" w:color="auto" w:fill="auto"/>
                  <w:vAlign w:val="center"/>
                </w:tcPr>
                <w:p w14:paraId="2BF6994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总铜</w:t>
                  </w:r>
                </w:p>
              </w:tc>
              <w:tc>
                <w:tcPr>
                  <w:tcW w:w="1426" w:type="dxa"/>
                  <w:tcBorders>
                    <w:tl2br w:val="nil"/>
                    <w:tr2bl w:val="nil"/>
                  </w:tcBorders>
                  <w:shd w:val="clear" w:color="auto" w:fill="auto"/>
                  <w:vAlign w:val="center"/>
                </w:tcPr>
                <w:p w14:paraId="6BB407D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9.3 </w:t>
                  </w:r>
                </w:p>
              </w:tc>
              <w:tc>
                <w:tcPr>
                  <w:tcW w:w="758" w:type="dxa"/>
                  <w:tcBorders>
                    <w:tl2br w:val="nil"/>
                    <w:tr2bl w:val="nil"/>
                  </w:tcBorders>
                  <w:shd w:val="clear" w:color="auto" w:fill="auto"/>
                  <w:vAlign w:val="center"/>
                </w:tcPr>
                <w:p w14:paraId="636A5F6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0.00180 </w:t>
                  </w:r>
                </w:p>
              </w:tc>
              <w:tc>
                <w:tcPr>
                  <w:tcW w:w="548" w:type="dxa"/>
                  <w:vMerge w:val="continue"/>
                  <w:tcBorders>
                    <w:tl2br w:val="nil"/>
                    <w:tr2bl w:val="nil"/>
                  </w:tcBorders>
                  <w:vAlign w:val="center"/>
                </w:tcPr>
                <w:p w14:paraId="057B38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tcBorders>
                    <w:tl2br w:val="nil"/>
                    <w:tr2bl w:val="nil"/>
                  </w:tcBorders>
                  <w:shd w:val="clear" w:color="auto" w:fill="auto"/>
                  <w:vAlign w:val="center"/>
                </w:tcPr>
                <w:p w14:paraId="7B7D92A4">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总铜</w:t>
                  </w:r>
                </w:p>
              </w:tc>
              <w:tc>
                <w:tcPr>
                  <w:tcW w:w="1348" w:type="dxa"/>
                  <w:tcBorders>
                    <w:tl2br w:val="nil"/>
                    <w:tr2bl w:val="nil"/>
                  </w:tcBorders>
                  <w:shd w:val="clear" w:color="auto" w:fill="auto"/>
                  <w:vAlign w:val="center"/>
                </w:tcPr>
                <w:p w14:paraId="503226A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1.86 </w:t>
                  </w:r>
                </w:p>
              </w:tc>
              <w:tc>
                <w:tcPr>
                  <w:tcW w:w="737" w:type="dxa"/>
                  <w:tcBorders>
                    <w:tl2br w:val="nil"/>
                    <w:tr2bl w:val="nil"/>
                  </w:tcBorders>
                  <w:shd w:val="clear" w:color="auto" w:fill="auto"/>
                  <w:vAlign w:val="center"/>
                </w:tcPr>
                <w:p w14:paraId="1E0F969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0.00036 </w:t>
                  </w:r>
                </w:p>
              </w:tc>
              <w:tc>
                <w:tcPr>
                  <w:tcW w:w="546" w:type="dxa"/>
                  <w:vMerge w:val="continue"/>
                  <w:tcBorders>
                    <w:tl2br w:val="nil"/>
                    <w:tr2bl w:val="nil"/>
                  </w:tcBorders>
                  <w:vAlign w:val="center"/>
                </w:tcPr>
                <w:p w14:paraId="7D86FB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52EF7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1B187E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vAlign w:val="center"/>
                </w:tcPr>
                <w:p w14:paraId="7E9A8B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shd w:val="clear" w:color="auto" w:fill="auto"/>
                  <w:vAlign w:val="center"/>
                </w:tcPr>
                <w:p w14:paraId="480BFD8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硫酸盐</w:t>
                  </w:r>
                </w:p>
              </w:tc>
              <w:tc>
                <w:tcPr>
                  <w:tcW w:w="1426" w:type="dxa"/>
                  <w:vAlign w:val="center"/>
                </w:tcPr>
                <w:p w14:paraId="791C68B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4948.5 </w:t>
                  </w:r>
                </w:p>
              </w:tc>
              <w:tc>
                <w:tcPr>
                  <w:tcW w:w="758" w:type="dxa"/>
                  <w:vAlign w:val="center"/>
                </w:tcPr>
                <w:p w14:paraId="01C1402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0.96000 </w:t>
                  </w:r>
                </w:p>
              </w:tc>
              <w:tc>
                <w:tcPr>
                  <w:tcW w:w="548" w:type="dxa"/>
                  <w:vMerge w:val="continue"/>
                  <w:vAlign w:val="center"/>
                </w:tcPr>
                <w:p w14:paraId="05ED20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shd w:val="clear" w:color="auto" w:fill="auto"/>
                  <w:vAlign w:val="center"/>
                </w:tcPr>
                <w:p w14:paraId="7CA21F8C">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硫酸盐</w:t>
                  </w:r>
                </w:p>
              </w:tc>
              <w:tc>
                <w:tcPr>
                  <w:tcW w:w="1348" w:type="dxa"/>
                  <w:shd w:val="clear" w:color="auto" w:fill="auto"/>
                  <w:vAlign w:val="center"/>
                </w:tcPr>
                <w:p w14:paraId="562717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247.43 </w:t>
                  </w:r>
                </w:p>
              </w:tc>
              <w:tc>
                <w:tcPr>
                  <w:tcW w:w="737" w:type="dxa"/>
                  <w:shd w:val="clear" w:color="auto" w:fill="auto"/>
                  <w:vAlign w:val="center"/>
                </w:tcPr>
                <w:p w14:paraId="4B59D14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0.04800 </w:t>
                  </w:r>
                </w:p>
              </w:tc>
              <w:tc>
                <w:tcPr>
                  <w:tcW w:w="546" w:type="dxa"/>
                  <w:vMerge w:val="continue"/>
                  <w:vAlign w:val="center"/>
                </w:tcPr>
                <w:p w14:paraId="6D3BD7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0D5821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0B4C45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vAlign w:val="center"/>
                </w:tcPr>
                <w:p w14:paraId="37EBD1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shd w:val="clear" w:color="auto" w:fill="auto"/>
                  <w:vAlign w:val="center"/>
                </w:tcPr>
                <w:p w14:paraId="66BBC867">
                  <w:pPr>
                    <w:keepNext w:val="0"/>
                    <w:keepLines w:val="0"/>
                    <w:widowControl/>
                    <w:suppressLineNumbers w:val="0"/>
                    <w:jc w:val="center"/>
                    <w:textAlignment w:val="center"/>
                    <w:rPr>
                      <w:rFonts w:hint="default" w:ascii="Times New Roman" w:hAnsi="Times New Roman" w:cs="Times New Roman"/>
                      <w:b w:val="0"/>
                      <w:bCs w:val="0"/>
                      <w:color w:val="000000" w:themeColor="text1"/>
                      <w:spacing w:val="6"/>
                      <w:sz w:val="21"/>
                      <w:szCs w:val="21"/>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石油类</w:t>
                  </w:r>
                </w:p>
              </w:tc>
              <w:tc>
                <w:tcPr>
                  <w:tcW w:w="1426" w:type="dxa"/>
                  <w:vAlign w:val="center"/>
                </w:tcPr>
                <w:p w14:paraId="16E550C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0.7 </w:t>
                  </w:r>
                </w:p>
              </w:tc>
              <w:tc>
                <w:tcPr>
                  <w:tcW w:w="758" w:type="dxa"/>
                  <w:vAlign w:val="center"/>
                </w:tcPr>
                <w:p w14:paraId="7DD075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0.00014 </w:t>
                  </w:r>
                </w:p>
              </w:tc>
              <w:tc>
                <w:tcPr>
                  <w:tcW w:w="548" w:type="dxa"/>
                  <w:vMerge w:val="continue"/>
                  <w:vAlign w:val="center"/>
                </w:tcPr>
                <w:p w14:paraId="214C99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shd w:val="clear" w:color="auto" w:fill="auto"/>
                  <w:vAlign w:val="center"/>
                </w:tcPr>
                <w:p w14:paraId="19526CB9">
                  <w:pPr>
                    <w:keepNext w:val="0"/>
                    <w:keepLines w:val="0"/>
                    <w:widowControl/>
                    <w:suppressLineNumbers w:val="0"/>
                    <w:jc w:val="center"/>
                    <w:textAlignment w:val="center"/>
                    <w:rPr>
                      <w:rFonts w:hint="eastAsia" w:ascii="Times New Roman" w:hAnsi="Times New Roman" w:cs="Times New Roman" w:eastAsiaTheme="minorEastAsia"/>
                      <w:b w:val="0"/>
                      <w:bCs w:val="0"/>
                      <w:color w:val="000000" w:themeColor="text1"/>
                      <w:spacing w:val="6"/>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石油类</w:t>
                  </w:r>
                </w:p>
              </w:tc>
              <w:tc>
                <w:tcPr>
                  <w:tcW w:w="1348" w:type="dxa"/>
                  <w:shd w:val="clear" w:color="auto" w:fill="auto"/>
                  <w:vAlign w:val="center"/>
                </w:tcPr>
                <w:p w14:paraId="46113B7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0.56 </w:t>
                  </w:r>
                </w:p>
              </w:tc>
              <w:tc>
                <w:tcPr>
                  <w:tcW w:w="737" w:type="dxa"/>
                  <w:shd w:val="clear" w:color="auto" w:fill="auto"/>
                  <w:vAlign w:val="center"/>
                </w:tcPr>
                <w:p w14:paraId="32205FC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0.00011 </w:t>
                  </w:r>
                </w:p>
              </w:tc>
              <w:tc>
                <w:tcPr>
                  <w:tcW w:w="546" w:type="dxa"/>
                  <w:vMerge w:val="continue"/>
                  <w:vAlign w:val="center"/>
                </w:tcPr>
                <w:p w14:paraId="5260B5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00C70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1" w:type="dxa"/>
                  <w:vMerge w:val="continue"/>
                  <w:vAlign w:val="center"/>
                </w:tcPr>
                <w:p w14:paraId="12E058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70" w:type="dxa"/>
                  <w:vMerge w:val="continue"/>
                  <w:vAlign w:val="center"/>
                </w:tcPr>
                <w:p w14:paraId="73FC8B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95" w:type="dxa"/>
                  <w:shd w:val="clear" w:color="auto" w:fill="auto"/>
                  <w:vAlign w:val="center"/>
                </w:tcPr>
                <w:p w14:paraId="01CEF42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LAS</w:t>
                  </w:r>
                </w:p>
              </w:tc>
              <w:tc>
                <w:tcPr>
                  <w:tcW w:w="1426" w:type="dxa"/>
                  <w:vAlign w:val="center"/>
                </w:tcPr>
                <w:p w14:paraId="2A68440D">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0.1 </w:t>
                  </w:r>
                </w:p>
              </w:tc>
              <w:tc>
                <w:tcPr>
                  <w:tcW w:w="758" w:type="dxa"/>
                  <w:vAlign w:val="center"/>
                </w:tcPr>
                <w:p w14:paraId="6929BB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0.00002 </w:t>
                  </w:r>
                </w:p>
              </w:tc>
              <w:tc>
                <w:tcPr>
                  <w:tcW w:w="548" w:type="dxa"/>
                  <w:vMerge w:val="continue"/>
                  <w:vAlign w:val="center"/>
                </w:tcPr>
                <w:p w14:paraId="39A25E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5" w:type="dxa"/>
                  <w:shd w:val="clear" w:color="auto" w:fill="auto"/>
                  <w:vAlign w:val="center"/>
                </w:tcPr>
                <w:p w14:paraId="5629BFB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6"/>
                      <w:kern w:val="2"/>
                      <w:sz w:val="21"/>
                      <w:szCs w:val="21"/>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LAS</w:t>
                  </w:r>
                </w:p>
              </w:tc>
              <w:tc>
                <w:tcPr>
                  <w:tcW w:w="1348" w:type="dxa"/>
                  <w:shd w:val="clear" w:color="auto" w:fill="auto"/>
                  <w:vAlign w:val="center"/>
                </w:tcPr>
                <w:p w14:paraId="09FD448F">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0.08 </w:t>
                  </w:r>
                </w:p>
              </w:tc>
              <w:tc>
                <w:tcPr>
                  <w:tcW w:w="737" w:type="dxa"/>
                  <w:shd w:val="clear" w:color="auto" w:fill="auto"/>
                  <w:vAlign w:val="center"/>
                </w:tcPr>
                <w:p w14:paraId="504F2AB8">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等线"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0.00002 </w:t>
                  </w:r>
                </w:p>
              </w:tc>
              <w:tc>
                <w:tcPr>
                  <w:tcW w:w="546" w:type="dxa"/>
                  <w:vMerge w:val="continue"/>
                  <w:vAlign w:val="center"/>
                </w:tcPr>
                <w:p w14:paraId="06278B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bl>
          <w:p w14:paraId="601A9BCA">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（2）排放口基本信息</w:t>
            </w:r>
          </w:p>
          <w:p w14:paraId="524CAC1E">
            <w:pPr>
              <w:keepNext w:val="0"/>
              <w:keepLines w:val="0"/>
              <w:pageBreakBefore w:val="0"/>
              <w:widowControl w:val="0"/>
              <w:tabs>
                <w:tab w:val="left" w:pos="213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排放口</w:t>
            </w:r>
            <w:r>
              <w:rPr>
                <w:rFonts w:hint="default" w:ascii="Times New Roman" w:hAnsi="Times New Roman" w:eastAsia="宋体" w:cs="Times New Roman"/>
                <w:color w:val="000000" w:themeColor="text1"/>
                <w:sz w:val="24"/>
                <w:szCs w:val="24"/>
                <w14:textFill>
                  <w14:solidFill>
                    <w14:schemeClr w14:val="tx1"/>
                  </w14:solidFill>
                </w14:textFill>
              </w:rPr>
              <w:t>具体信息见下表。</w:t>
            </w:r>
          </w:p>
          <w:p w14:paraId="0CC7811C">
            <w:pPr>
              <w:pStyle w:val="8"/>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表4-26  </w:t>
            </w:r>
            <w:r>
              <w:rPr>
                <w:rFonts w:hint="default" w:ascii="Times New Roman" w:hAnsi="Times New Roman" w:eastAsia="宋体" w:cs="Times New Roman"/>
                <w:b/>
                <w:color w:val="000000" w:themeColor="text1"/>
                <w:sz w:val="24"/>
                <w:szCs w:val="24"/>
                <w14:textFill>
                  <w14:solidFill>
                    <w14:schemeClr w14:val="tx1"/>
                  </w14:solidFill>
                </w14:textFill>
              </w:rPr>
              <w:t>本项目废水类别、污染物及污染治理设施信息表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019"/>
              <w:gridCol w:w="427"/>
              <w:gridCol w:w="985"/>
              <w:gridCol w:w="701"/>
              <w:gridCol w:w="701"/>
              <w:gridCol w:w="706"/>
              <w:gridCol w:w="882"/>
              <w:gridCol w:w="895"/>
              <w:gridCol w:w="1855"/>
            </w:tblGrid>
            <w:tr w14:paraId="3AE02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restart"/>
                  <w:tcBorders>
                    <w:tl2br w:val="nil"/>
                    <w:tr2bl w:val="nil"/>
                  </w:tcBorders>
                  <w:vAlign w:val="center"/>
                </w:tcPr>
                <w:p w14:paraId="0428CFAC">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废水类型</w:t>
                  </w:r>
                </w:p>
              </w:tc>
              <w:tc>
                <w:tcPr>
                  <w:tcW w:w="592" w:type="pct"/>
                  <w:vMerge w:val="restart"/>
                  <w:tcBorders>
                    <w:tl2br w:val="nil"/>
                    <w:tr2bl w:val="nil"/>
                  </w:tcBorders>
                  <w:vAlign w:val="center"/>
                </w:tcPr>
                <w:p w14:paraId="0FA30C5F">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248" w:type="pct"/>
                  <w:vMerge w:val="restart"/>
                  <w:tcBorders>
                    <w:tl2br w:val="nil"/>
                    <w:tr2bl w:val="nil"/>
                  </w:tcBorders>
                  <w:vAlign w:val="center"/>
                </w:tcPr>
                <w:p w14:paraId="0EF41249">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14:paraId="4242560A">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去向</w:t>
                  </w:r>
                </w:p>
              </w:tc>
              <w:tc>
                <w:tcPr>
                  <w:tcW w:w="572" w:type="pct"/>
                  <w:vMerge w:val="restart"/>
                  <w:tcBorders>
                    <w:tl2br w:val="nil"/>
                    <w:tr2bl w:val="nil"/>
                  </w:tcBorders>
                  <w:vAlign w:val="center"/>
                </w:tcPr>
                <w:p w14:paraId="3B1787E0">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14:paraId="7A4DDAFD">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规律</w:t>
                  </w:r>
                </w:p>
              </w:tc>
              <w:tc>
                <w:tcPr>
                  <w:tcW w:w="1224" w:type="pct"/>
                  <w:gridSpan w:val="3"/>
                  <w:tcBorders>
                    <w:tl2br w:val="nil"/>
                    <w:tr2bl w:val="nil"/>
                  </w:tcBorders>
                  <w:vAlign w:val="center"/>
                </w:tcPr>
                <w:p w14:paraId="29F7F5D0">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污染治理设施</w:t>
                  </w:r>
                </w:p>
              </w:tc>
              <w:tc>
                <w:tcPr>
                  <w:tcW w:w="512" w:type="pct"/>
                  <w:vMerge w:val="restart"/>
                  <w:tcBorders>
                    <w:tl2br w:val="nil"/>
                    <w:tr2bl w:val="nil"/>
                  </w:tcBorders>
                  <w:vAlign w:val="center"/>
                </w:tcPr>
                <w:p w14:paraId="38599D51">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排放口编号</w:t>
                  </w:r>
                </w:p>
              </w:tc>
              <w:tc>
                <w:tcPr>
                  <w:tcW w:w="520" w:type="pct"/>
                  <w:vMerge w:val="restart"/>
                  <w:tcBorders>
                    <w:tl2br w:val="nil"/>
                    <w:tr2bl w:val="nil"/>
                  </w:tcBorders>
                  <w:vAlign w:val="center"/>
                </w:tcPr>
                <w:p w14:paraId="652AD1F2">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排放口设置是否符合要求</w:t>
                  </w:r>
                </w:p>
              </w:tc>
              <w:tc>
                <w:tcPr>
                  <w:tcW w:w="1077" w:type="pct"/>
                  <w:vMerge w:val="restart"/>
                  <w:tcBorders>
                    <w:tl2br w:val="nil"/>
                    <w:tr2bl w:val="nil"/>
                  </w:tcBorders>
                  <w:vAlign w:val="center"/>
                </w:tcPr>
                <w:p w14:paraId="0852D78E">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排放口类型</w:t>
                  </w:r>
                </w:p>
              </w:tc>
            </w:tr>
            <w:tr w14:paraId="1138F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tcBorders>
                    <w:tl2br w:val="nil"/>
                    <w:tr2bl w:val="nil"/>
                  </w:tcBorders>
                  <w:vAlign w:val="center"/>
                </w:tcPr>
                <w:p w14:paraId="1E720F97">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2" w:type="pct"/>
                  <w:vMerge w:val="continue"/>
                  <w:tcBorders>
                    <w:tl2br w:val="nil"/>
                    <w:tr2bl w:val="nil"/>
                  </w:tcBorders>
                  <w:vAlign w:val="center"/>
                </w:tcPr>
                <w:p w14:paraId="73DED2A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48" w:type="pct"/>
                  <w:vMerge w:val="continue"/>
                  <w:tcBorders>
                    <w:tl2br w:val="nil"/>
                    <w:tr2bl w:val="nil"/>
                  </w:tcBorders>
                  <w:vAlign w:val="center"/>
                </w:tcPr>
                <w:p w14:paraId="60C0085E">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72" w:type="pct"/>
                  <w:vMerge w:val="continue"/>
                  <w:tcBorders>
                    <w:tl2br w:val="nil"/>
                    <w:tr2bl w:val="nil"/>
                  </w:tcBorders>
                  <w:vAlign w:val="center"/>
                </w:tcPr>
                <w:p w14:paraId="0D6BC65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07" w:type="pct"/>
                  <w:tcBorders>
                    <w:tl2br w:val="nil"/>
                    <w:tr2bl w:val="nil"/>
                  </w:tcBorders>
                  <w:vAlign w:val="center"/>
                </w:tcPr>
                <w:p w14:paraId="04BA0596">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污染治理设施编号</w:t>
                  </w:r>
                </w:p>
              </w:tc>
              <w:tc>
                <w:tcPr>
                  <w:tcW w:w="407" w:type="pct"/>
                  <w:tcBorders>
                    <w:tl2br w:val="nil"/>
                    <w:tr2bl w:val="nil"/>
                  </w:tcBorders>
                  <w:vAlign w:val="center"/>
                </w:tcPr>
                <w:p w14:paraId="439D67C7">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污染治理设施名称</w:t>
                  </w:r>
                </w:p>
              </w:tc>
              <w:tc>
                <w:tcPr>
                  <w:tcW w:w="409" w:type="pct"/>
                  <w:tcBorders>
                    <w:tl2br w:val="nil"/>
                    <w:tr2bl w:val="nil"/>
                  </w:tcBorders>
                  <w:vAlign w:val="center"/>
                </w:tcPr>
                <w:p w14:paraId="6BCABD3F">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污染治理设施工艺</w:t>
                  </w:r>
                </w:p>
              </w:tc>
              <w:tc>
                <w:tcPr>
                  <w:tcW w:w="512" w:type="pct"/>
                  <w:vMerge w:val="continue"/>
                  <w:tcBorders>
                    <w:tl2br w:val="nil"/>
                    <w:tr2bl w:val="nil"/>
                  </w:tcBorders>
                  <w:vAlign w:val="center"/>
                </w:tcPr>
                <w:p w14:paraId="31EAFBE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0" w:type="pct"/>
                  <w:vMerge w:val="continue"/>
                  <w:tcBorders>
                    <w:tl2br w:val="nil"/>
                    <w:tr2bl w:val="nil"/>
                  </w:tcBorders>
                  <w:vAlign w:val="center"/>
                </w:tcPr>
                <w:p w14:paraId="174B672C">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7" w:type="pct"/>
                  <w:vMerge w:val="continue"/>
                  <w:tcBorders>
                    <w:tl2br w:val="nil"/>
                    <w:tr2bl w:val="nil"/>
                  </w:tcBorders>
                  <w:vAlign w:val="center"/>
                </w:tcPr>
                <w:p w14:paraId="00D6441E">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5367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tcBorders>
                    <w:tl2br w:val="nil"/>
                    <w:tr2bl w:val="nil"/>
                  </w:tcBorders>
                  <w:vAlign w:val="center"/>
                </w:tcPr>
                <w:p w14:paraId="3AD8BFE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592" w:type="pct"/>
                  <w:tcBorders>
                    <w:tl2br w:val="nil"/>
                    <w:tr2bl w:val="nil"/>
                  </w:tcBorders>
                  <w:vAlign w:val="center"/>
                </w:tcPr>
                <w:p w14:paraId="725F434E">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COD、SS、NH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-N、TP、TN</w:t>
                  </w:r>
                </w:p>
              </w:tc>
              <w:tc>
                <w:tcPr>
                  <w:tcW w:w="248" w:type="pct"/>
                  <w:tcBorders>
                    <w:tl2br w:val="nil"/>
                    <w:tr2bl w:val="nil"/>
                  </w:tcBorders>
                  <w:vAlign w:val="center"/>
                </w:tcPr>
                <w:p w14:paraId="5883FE9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城市污水处理厂</w:t>
                  </w:r>
                </w:p>
              </w:tc>
              <w:tc>
                <w:tcPr>
                  <w:tcW w:w="572" w:type="pct"/>
                  <w:tcBorders>
                    <w:tl2br w:val="nil"/>
                    <w:tr2bl w:val="nil"/>
                  </w:tcBorders>
                  <w:vAlign w:val="center"/>
                </w:tcPr>
                <w:p w14:paraId="4AB8D0E3">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间断排放，排放期间流量不稳定且无规律，但不属于冲击型排放</w:t>
                  </w:r>
                </w:p>
              </w:tc>
              <w:tc>
                <w:tcPr>
                  <w:tcW w:w="407" w:type="pct"/>
                  <w:tcBorders>
                    <w:tl2br w:val="nil"/>
                    <w:tr2bl w:val="nil"/>
                  </w:tcBorders>
                  <w:vAlign w:val="center"/>
                </w:tcPr>
                <w:p w14:paraId="0024CF6C">
                  <w:pPr>
                    <w:autoSpaceDE w:val="0"/>
                    <w:autoSpaceDN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7" w:type="pct"/>
                  <w:tcBorders>
                    <w:tl2br w:val="nil"/>
                    <w:tr2bl w:val="nil"/>
                  </w:tcBorders>
                  <w:vAlign w:val="center"/>
                </w:tcPr>
                <w:p w14:paraId="4D3A53B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9" w:type="pct"/>
                  <w:tcBorders>
                    <w:tl2br w:val="nil"/>
                    <w:tr2bl w:val="nil"/>
                  </w:tcBorders>
                  <w:vAlign w:val="center"/>
                </w:tcPr>
                <w:p w14:paraId="75A1854D">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12" w:type="pct"/>
                  <w:tcBorders>
                    <w:tl2br w:val="nil"/>
                    <w:tr2bl w:val="nil"/>
                  </w:tcBorders>
                  <w:vAlign w:val="center"/>
                </w:tcPr>
                <w:p w14:paraId="5B221505">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520" w:type="pct"/>
                  <w:tcBorders>
                    <w:tl2br w:val="nil"/>
                    <w:tr2bl w:val="nil"/>
                  </w:tcBorders>
                  <w:vAlign w:val="center"/>
                </w:tcPr>
                <w:p w14:paraId="20C27D5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p w14:paraId="0AE2320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c>
                <w:tcPr>
                  <w:tcW w:w="1077" w:type="pct"/>
                  <w:tcBorders>
                    <w:tl2br w:val="nil"/>
                    <w:tr2bl w:val="nil"/>
                  </w:tcBorders>
                  <w:vAlign w:val="center"/>
                </w:tcPr>
                <w:p w14:paraId="450E1DFF">
                  <w:pPr>
                    <w:autoSpaceDE w:val="0"/>
                    <w:autoSpaceDN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√企业总排口</w:t>
                  </w:r>
                </w:p>
                <w:p w14:paraId="47F33415">
                  <w:pPr>
                    <w:autoSpaceDE w:val="0"/>
                    <w:autoSpaceDN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□雨水排放口</w:t>
                  </w:r>
                </w:p>
                <w:p w14:paraId="6C14D146">
                  <w:pPr>
                    <w:autoSpaceDE w:val="0"/>
                    <w:autoSpaceDN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□清净下水排放口</w:t>
                  </w:r>
                </w:p>
                <w:p w14:paraId="14D6C8AC">
                  <w:pPr>
                    <w:autoSpaceDE w:val="0"/>
                    <w:autoSpaceDN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□温排水排放口</w:t>
                  </w:r>
                </w:p>
                <w:p w14:paraId="74D25E6E">
                  <w:pPr>
                    <w:autoSpaceDE w:val="0"/>
                    <w:autoSpaceDN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□车间或车间处理设施排放口</w:t>
                  </w:r>
                </w:p>
              </w:tc>
            </w:tr>
          </w:tbl>
          <w:p w14:paraId="324C47CC">
            <w:pPr>
              <w:keepNext/>
              <w:spacing w:line="500" w:lineRule="exact"/>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表4-27  </w:t>
            </w:r>
            <w:r>
              <w:rPr>
                <w:rFonts w:hint="default" w:ascii="Times New Roman" w:hAnsi="Times New Roman" w:eastAsia="宋体" w:cs="Times New Roman"/>
                <w:b/>
                <w:color w:val="000000" w:themeColor="text1"/>
                <w:sz w:val="24"/>
                <w:szCs w:val="24"/>
                <w14:textFill>
                  <w14:solidFill>
                    <w14:schemeClr w14:val="tx1"/>
                  </w14:solidFill>
                </w14:textFill>
              </w:rPr>
              <w:t>本项目废水间接排放口基本情况表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297"/>
              <w:gridCol w:w="1201"/>
              <w:gridCol w:w="683"/>
              <w:gridCol w:w="424"/>
              <w:gridCol w:w="631"/>
              <w:gridCol w:w="424"/>
              <w:gridCol w:w="424"/>
              <w:gridCol w:w="1009"/>
              <w:gridCol w:w="801"/>
              <w:gridCol w:w="839"/>
            </w:tblGrid>
            <w:tr w14:paraId="13D7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restart"/>
                  <w:tcBorders>
                    <w:top w:val="single" w:color="auto" w:sz="12" w:space="0"/>
                  </w:tcBorders>
                  <w:vAlign w:val="center"/>
                </w:tcPr>
                <w:p w14:paraId="304F3DA6">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排放口编号</w:t>
                  </w:r>
                </w:p>
              </w:tc>
              <w:tc>
                <w:tcPr>
                  <w:tcW w:w="2232" w:type="dxa"/>
                  <w:gridSpan w:val="2"/>
                  <w:tcBorders>
                    <w:top w:val="single" w:color="auto" w:sz="12" w:space="0"/>
                  </w:tcBorders>
                  <w:vAlign w:val="center"/>
                </w:tcPr>
                <w:p w14:paraId="0078196C">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排放口地理坐标（°）</w:t>
                  </w:r>
                </w:p>
              </w:tc>
              <w:tc>
                <w:tcPr>
                  <w:tcW w:w="799" w:type="dxa"/>
                  <w:vMerge w:val="restart"/>
                  <w:tcBorders>
                    <w:top w:val="single" w:color="auto" w:sz="12" w:space="0"/>
                  </w:tcBorders>
                  <w:vAlign w:val="center"/>
                </w:tcPr>
                <w:p w14:paraId="0BE3B6F3">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废水排放量（万t/a）</w:t>
                  </w:r>
                </w:p>
              </w:tc>
              <w:tc>
                <w:tcPr>
                  <w:tcW w:w="479" w:type="dxa"/>
                  <w:vMerge w:val="restart"/>
                  <w:tcBorders>
                    <w:top w:val="single" w:color="auto" w:sz="12" w:space="0"/>
                  </w:tcBorders>
                  <w:vAlign w:val="center"/>
                </w:tcPr>
                <w:p w14:paraId="26D6B119">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排放去向</w:t>
                  </w:r>
                </w:p>
              </w:tc>
              <w:tc>
                <w:tcPr>
                  <w:tcW w:w="686" w:type="dxa"/>
                  <w:vMerge w:val="restart"/>
                  <w:tcBorders>
                    <w:top w:val="single" w:color="auto" w:sz="12" w:space="0"/>
                  </w:tcBorders>
                  <w:vAlign w:val="center"/>
                </w:tcPr>
                <w:p w14:paraId="547471DD">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排放规律</w:t>
                  </w:r>
                </w:p>
              </w:tc>
              <w:tc>
                <w:tcPr>
                  <w:tcW w:w="466" w:type="dxa"/>
                  <w:vMerge w:val="restart"/>
                  <w:tcBorders>
                    <w:top w:val="single" w:color="auto" w:sz="12" w:space="0"/>
                  </w:tcBorders>
                  <w:vAlign w:val="center"/>
                </w:tcPr>
                <w:p w14:paraId="0D328314">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间歇排放时段</w:t>
                  </w:r>
                </w:p>
              </w:tc>
              <w:tc>
                <w:tcPr>
                  <w:tcW w:w="3099" w:type="dxa"/>
                  <w:gridSpan w:val="4"/>
                  <w:tcBorders>
                    <w:top w:val="single" w:color="auto" w:sz="12" w:space="0"/>
                    <w:right w:val="nil"/>
                  </w:tcBorders>
                  <w:vAlign w:val="center"/>
                </w:tcPr>
                <w:p w14:paraId="10722E38">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受纳污水厂信息</w:t>
                  </w:r>
                </w:p>
              </w:tc>
            </w:tr>
            <w:tr w14:paraId="0EAF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continue"/>
                  <w:tcBorders>
                    <w:left w:val="nil"/>
                  </w:tcBorders>
                  <w:vAlign w:val="center"/>
                </w:tcPr>
                <w:p w14:paraId="2F6FA983">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158" w:type="dxa"/>
                  <w:vAlign w:val="center"/>
                </w:tcPr>
                <w:p w14:paraId="6E177B8F">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经度</w:t>
                  </w:r>
                </w:p>
              </w:tc>
              <w:tc>
                <w:tcPr>
                  <w:tcW w:w="1074" w:type="dxa"/>
                  <w:vAlign w:val="center"/>
                </w:tcPr>
                <w:p w14:paraId="76C3F14A">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纬度</w:t>
                  </w:r>
                </w:p>
              </w:tc>
              <w:tc>
                <w:tcPr>
                  <w:tcW w:w="799" w:type="dxa"/>
                  <w:vMerge w:val="continue"/>
                  <w:vAlign w:val="center"/>
                </w:tcPr>
                <w:p w14:paraId="6A8A60B2">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79" w:type="dxa"/>
                  <w:vMerge w:val="continue"/>
                  <w:vAlign w:val="center"/>
                </w:tcPr>
                <w:p w14:paraId="2BDBF7D9">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86" w:type="dxa"/>
                  <w:vMerge w:val="continue"/>
                  <w:vAlign w:val="center"/>
                </w:tcPr>
                <w:p w14:paraId="7E926DC5">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66" w:type="dxa"/>
                  <w:vMerge w:val="continue"/>
                  <w:vAlign w:val="center"/>
                </w:tcPr>
                <w:p w14:paraId="6B60F7D8">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37" w:type="dxa"/>
                  <w:vAlign w:val="center"/>
                </w:tcPr>
                <w:p w14:paraId="6788259D">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905" w:type="dxa"/>
                  <w:vAlign w:val="center"/>
                </w:tcPr>
                <w:p w14:paraId="2240475D">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1557" w:type="dxa"/>
                  <w:gridSpan w:val="2"/>
                  <w:tcBorders>
                    <w:right w:val="nil"/>
                  </w:tcBorders>
                  <w:vAlign w:val="center"/>
                </w:tcPr>
                <w:p w14:paraId="2DE11F6E">
                  <w:pPr>
                    <w:autoSpaceDE w:val="0"/>
                    <w:autoSpaceDN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排放标准浓度限值（mg/L）</w:t>
                  </w:r>
                </w:p>
              </w:tc>
            </w:tr>
            <w:tr w14:paraId="22A9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restart"/>
                  <w:tcBorders>
                    <w:left w:val="nil"/>
                  </w:tcBorders>
                  <w:vAlign w:val="center"/>
                </w:tcPr>
                <w:p w14:paraId="770B21EC">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58" w:type="dxa"/>
                  <w:vMerge w:val="restart"/>
                  <w:vAlign w:val="center"/>
                </w:tcPr>
                <w:p w14:paraId="0B3BCB5F">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119.6437760</w:t>
                  </w:r>
                </w:p>
              </w:tc>
              <w:tc>
                <w:tcPr>
                  <w:tcW w:w="1074" w:type="dxa"/>
                  <w:vMerge w:val="restart"/>
                  <w:vAlign w:val="center"/>
                </w:tcPr>
                <w:p w14:paraId="094D560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31.7626219</w:t>
                  </w:r>
                </w:p>
              </w:tc>
              <w:tc>
                <w:tcPr>
                  <w:tcW w:w="799" w:type="dxa"/>
                  <w:vMerge w:val="restart"/>
                  <w:vAlign w:val="center"/>
                </w:tcPr>
                <w:p w14:paraId="7CB8CD0C">
                  <w:pPr>
                    <w:autoSpaceDE w:val="0"/>
                    <w:autoSpaceDN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024</w:t>
                  </w:r>
                </w:p>
              </w:tc>
              <w:tc>
                <w:tcPr>
                  <w:tcW w:w="479" w:type="dxa"/>
                  <w:vMerge w:val="restart"/>
                  <w:vAlign w:val="center"/>
                </w:tcPr>
                <w:p w14:paraId="29B2C537">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城市污水处理厂</w:t>
                  </w:r>
                </w:p>
              </w:tc>
              <w:tc>
                <w:tcPr>
                  <w:tcW w:w="686" w:type="dxa"/>
                  <w:vMerge w:val="restart"/>
                  <w:vAlign w:val="center"/>
                </w:tcPr>
                <w:p w14:paraId="658D9881">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一年300天，每天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小时</w:t>
                  </w:r>
                </w:p>
              </w:tc>
              <w:tc>
                <w:tcPr>
                  <w:tcW w:w="466" w:type="dxa"/>
                  <w:vMerge w:val="restart"/>
                  <w:vAlign w:val="center"/>
                </w:tcPr>
                <w:p w14:paraId="079739C5">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7" w:type="dxa"/>
                  <w:vMerge w:val="restart"/>
                  <w:vAlign w:val="center"/>
                </w:tcPr>
                <w:p w14:paraId="0B4E071A">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金坛区第二污水处理厂</w:t>
                  </w:r>
                </w:p>
              </w:tc>
              <w:tc>
                <w:tcPr>
                  <w:tcW w:w="905" w:type="dxa"/>
                  <w:vMerge w:val="restart"/>
                  <w:vAlign w:val="center"/>
                </w:tcPr>
                <w:p w14:paraId="1E8929E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COD、SS、NH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-N、TP、TN</w:t>
                  </w:r>
                </w:p>
              </w:tc>
              <w:tc>
                <w:tcPr>
                  <w:tcW w:w="748" w:type="dxa"/>
                  <w:shd w:val="clear" w:color="auto" w:fill="auto"/>
                  <w:vAlign w:val="center"/>
                </w:tcPr>
                <w:p w14:paraId="011070A0">
                  <w:pPr>
                    <w:autoSpaceDE w:val="0"/>
                    <w:autoSpaceDN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809" w:type="dxa"/>
                  <w:tcBorders>
                    <w:right w:val="nil"/>
                  </w:tcBorders>
                  <w:shd w:val="clear" w:color="auto" w:fill="auto"/>
                  <w:vAlign w:val="center"/>
                </w:tcPr>
                <w:p w14:paraId="4DBCBC56">
                  <w:pPr>
                    <w:autoSpaceDE w:val="0"/>
                    <w:autoSpaceDN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w:t>
                  </w:r>
                </w:p>
              </w:tc>
            </w:tr>
            <w:tr w14:paraId="42F5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continue"/>
                  <w:tcBorders>
                    <w:left w:val="nil"/>
                  </w:tcBorders>
                  <w:vAlign w:val="center"/>
                </w:tcPr>
                <w:p w14:paraId="37F948E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8" w:type="dxa"/>
                  <w:vMerge w:val="continue"/>
                  <w:vAlign w:val="center"/>
                </w:tcPr>
                <w:p w14:paraId="7F7C33E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4" w:type="dxa"/>
                  <w:vMerge w:val="continue"/>
                  <w:vAlign w:val="center"/>
                </w:tcPr>
                <w:p w14:paraId="17D86CE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dxa"/>
                  <w:vMerge w:val="continue"/>
                  <w:vAlign w:val="center"/>
                </w:tcPr>
                <w:p w14:paraId="5CB87AC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dxa"/>
                  <w:vMerge w:val="continue"/>
                  <w:vAlign w:val="center"/>
                </w:tcPr>
                <w:p w14:paraId="11776C2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6" w:type="dxa"/>
                  <w:vMerge w:val="continue"/>
                  <w:vAlign w:val="center"/>
                </w:tcPr>
                <w:p w14:paraId="0C99BE6A">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6" w:type="dxa"/>
                  <w:vMerge w:val="continue"/>
                  <w:vAlign w:val="center"/>
                </w:tcPr>
                <w:p w14:paraId="13B82C23">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dxa"/>
                  <w:vMerge w:val="continue"/>
                  <w:vAlign w:val="center"/>
                </w:tcPr>
                <w:p w14:paraId="210359E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5" w:type="dxa"/>
                  <w:vMerge w:val="continue"/>
                  <w:vAlign w:val="center"/>
                </w:tcPr>
                <w:p w14:paraId="049CCB9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8" w:type="dxa"/>
                  <w:shd w:val="clear" w:color="auto" w:fill="auto"/>
                  <w:vAlign w:val="center"/>
                </w:tcPr>
                <w:p w14:paraId="5EABFF4B">
                  <w:pPr>
                    <w:autoSpaceDE w:val="0"/>
                    <w:autoSpaceDN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809" w:type="dxa"/>
                  <w:tcBorders>
                    <w:right w:val="nil"/>
                  </w:tcBorders>
                  <w:shd w:val="clear" w:color="auto" w:fill="auto"/>
                  <w:vAlign w:val="center"/>
                </w:tcPr>
                <w:p w14:paraId="3E0049E2">
                  <w:pPr>
                    <w:autoSpaceDE w:val="0"/>
                    <w:autoSpaceDN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2A8D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continue"/>
                  <w:tcBorders>
                    <w:left w:val="nil"/>
                  </w:tcBorders>
                  <w:vAlign w:val="center"/>
                </w:tcPr>
                <w:p w14:paraId="132030E9">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8" w:type="dxa"/>
                  <w:vMerge w:val="continue"/>
                  <w:vAlign w:val="center"/>
                </w:tcPr>
                <w:p w14:paraId="6A63DF61">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4" w:type="dxa"/>
                  <w:vMerge w:val="continue"/>
                  <w:vAlign w:val="center"/>
                </w:tcPr>
                <w:p w14:paraId="2B01288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dxa"/>
                  <w:vMerge w:val="continue"/>
                  <w:vAlign w:val="center"/>
                </w:tcPr>
                <w:p w14:paraId="1CA11DC4">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dxa"/>
                  <w:vMerge w:val="continue"/>
                  <w:vAlign w:val="center"/>
                </w:tcPr>
                <w:p w14:paraId="030AE244">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6" w:type="dxa"/>
                  <w:vMerge w:val="continue"/>
                  <w:vAlign w:val="center"/>
                </w:tcPr>
                <w:p w14:paraId="4EFE23E4">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6" w:type="dxa"/>
                  <w:vMerge w:val="continue"/>
                  <w:vAlign w:val="center"/>
                </w:tcPr>
                <w:p w14:paraId="4995D705">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dxa"/>
                  <w:vMerge w:val="continue"/>
                  <w:vAlign w:val="center"/>
                </w:tcPr>
                <w:p w14:paraId="69DC55F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5" w:type="dxa"/>
                  <w:vMerge w:val="continue"/>
                  <w:vAlign w:val="center"/>
                </w:tcPr>
                <w:p w14:paraId="5B22B62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8" w:type="dxa"/>
                  <w:vAlign w:val="center"/>
                </w:tcPr>
                <w:p w14:paraId="33396967">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809" w:type="dxa"/>
                  <w:tcBorders>
                    <w:right w:val="nil"/>
                  </w:tcBorders>
                  <w:vAlign w:val="center"/>
                </w:tcPr>
                <w:p w14:paraId="4E207443">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23FC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continue"/>
                  <w:tcBorders>
                    <w:left w:val="nil"/>
                  </w:tcBorders>
                  <w:vAlign w:val="center"/>
                </w:tcPr>
                <w:p w14:paraId="2CD50427">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8" w:type="dxa"/>
                  <w:vMerge w:val="continue"/>
                  <w:vAlign w:val="center"/>
                </w:tcPr>
                <w:p w14:paraId="7E27092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4" w:type="dxa"/>
                  <w:vMerge w:val="continue"/>
                  <w:vAlign w:val="center"/>
                </w:tcPr>
                <w:p w14:paraId="1E3CEF97">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dxa"/>
                  <w:vMerge w:val="continue"/>
                  <w:vAlign w:val="center"/>
                </w:tcPr>
                <w:p w14:paraId="7DF3E9D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dxa"/>
                  <w:vMerge w:val="continue"/>
                  <w:vAlign w:val="center"/>
                </w:tcPr>
                <w:p w14:paraId="7ADCFE10">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6" w:type="dxa"/>
                  <w:vMerge w:val="continue"/>
                  <w:vAlign w:val="center"/>
                </w:tcPr>
                <w:p w14:paraId="11137A17">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6" w:type="dxa"/>
                  <w:vMerge w:val="continue"/>
                  <w:vAlign w:val="center"/>
                </w:tcPr>
                <w:p w14:paraId="717498D9">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dxa"/>
                  <w:vMerge w:val="continue"/>
                  <w:vAlign w:val="center"/>
                </w:tcPr>
                <w:p w14:paraId="33EC0901">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5" w:type="dxa"/>
                  <w:vMerge w:val="continue"/>
                  <w:vAlign w:val="center"/>
                </w:tcPr>
                <w:p w14:paraId="276D422C">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8" w:type="dxa"/>
                  <w:vAlign w:val="center"/>
                </w:tcPr>
                <w:p w14:paraId="162274E5">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809" w:type="dxa"/>
                  <w:tcBorders>
                    <w:right w:val="nil"/>
                  </w:tcBorders>
                  <w:vAlign w:val="center"/>
                </w:tcPr>
                <w:p w14:paraId="0E3F79D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r>
            <w:tr w14:paraId="36D8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continue"/>
                  <w:tcBorders>
                    <w:left w:val="nil"/>
                  </w:tcBorders>
                  <w:vAlign w:val="center"/>
                </w:tcPr>
                <w:p w14:paraId="1F8D2785">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8" w:type="dxa"/>
                  <w:vMerge w:val="continue"/>
                  <w:vAlign w:val="center"/>
                </w:tcPr>
                <w:p w14:paraId="2ADA659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4" w:type="dxa"/>
                  <w:vMerge w:val="continue"/>
                  <w:vAlign w:val="center"/>
                </w:tcPr>
                <w:p w14:paraId="6EE53139">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dxa"/>
                  <w:vMerge w:val="continue"/>
                  <w:vAlign w:val="center"/>
                </w:tcPr>
                <w:p w14:paraId="22DE35C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dxa"/>
                  <w:vMerge w:val="continue"/>
                  <w:vAlign w:val="center"/>
                </w:tcPr>
                <w:p w14:paraId="0A818B1E">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6" w:type="dxa"/>
                  <w:vMerge w:val="continue"/>
                  <w:vAlign w:val="center"/>
                </w:tcPr>
                <w:p w14:paraId="3DF0030E">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6" w:type="dxa"/>
                  <w:vMerge w:val="continue"/>
                  <w:vAlign w:val="center"/>
                </w:tcPr>
                <w:p w14:paraId="1EBFB213">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dxa"/>
                  <w:vMerge w:val="continue"/>
                  <w:vAlign w:val="center"/>
                </w:tcPr>
                <w:p w14:paraId="58CD60E8">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5" w:type="dxa"/>
                  <w:vMerge w:val="continue"/>
                  <w:vAlign w:val="center"/>
                </w:tcPr>
                <w:p w14:paraId="12DCEC4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8" w:type="dxa"/>
                  <w:vAlign w:val="center"/>
                </w:tcPr>
                <w:p w14:paraId="315D7B81">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809" w:type="dxa"/>
                  <w:tcBorders>
                    <w:right w:val="nil"/>
                  </w:tcBorders>
                  <w:vAlign w:val="center"/>
                </w:tcPr>
                <w:p w14:paraId="43C095FF">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44D7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Merge w:val="continue"/>
                  <w:tcBorders>
                    <w:left w:val="nil"/>
                    <w:bottom w:val="single" w:color="auto" w:sz="12" w:space="0"/>
                  </w:tcBorders>
                  <w:vAlign w:val="center"/>
                </w:tcPr>
                <w:p w14:paraId="084CF96F">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8" w:type="dxa"/>
                  <w:vMerge w:val="continue"/>
                  <w:tcBorders>
                    <w:bottom w:val="single" w:color="auto" w:sz="12" w:space="0"/>
                  </w:tcBorders>
                  <w:vAlign w:val="center"/>
                </w:tcPr>
                <w:p w14:paraId="4BC890E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4" w:type="dxa"/>
                  <w:vMerge w:val="continue"/>
                  <w:tcBorders>
                    <w:bottom w:val="single" w:color="auto" w:sz="12" w:space="0"/>
                  </w:tcBorders>
                  <w:vAlign w:val="center"/>
                </w:tcPr>
                <w:p w14:paraId="0874C693">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9" w:type="dxa"/>
                  <w:vMerge w:val="continue"/>
                  <w:tcBorders>
                    <w:bottom w:val="single" w:color="auto" w:sz="12" w:space="0"/>
                  </w:tcBorders>
                  <w:vAlign w:val="center"/>
                </w:tcPr>
                <w:p w14:paraId="213536EA">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dxa"/>
                  <w:vMerge w:val="continue"/>
                  <w:tcBorders>
                    <w:bottom w:val="single" w:color="auto" w:sz="12" w:space="0"/>
                  </w:tcBorders>
                  <w:vAlign w:val="center"/>
                </w:tcPr>
                <w:p w14:paraId="16CF953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6" w:type="dxa"/>
                  <w:vMerge w:val="continue"/>
                  <w:tcBorders>
                    <w:bottom w:val="single" w:color="auto" w:sz="12" w:space="0"/>
                  </w:tcBorders>
                  <w:vAlign w:val="center"/>
                </w:tcPr>
                <w:p w14:paraId="76DD99D2">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6" w:type="dxa"/>
                  <w:vMerge w:val="continue"/>
                  <w:tcBorders>
                    <w:bottom w:val="single" w:color="auto" w:sz="12" w:space="0"/>
                  </w:tcBorders>
                  <w:vAlign w:val="center"/>
                </w:tcPr>
                <w:p w14:paraId="66FBB035">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dxa"/>
                  <w:vMerge w:val="continue"/>
                  <w:tcBorders>
                    <w:bottom w:val="single" w:color="auto" w:sz="12" w:space="0"/>
                  </w:tcBorders>
                  <w:vAlign w:val="center"/>
                </w:tcPr>
                <w:p w14:paraId="4B43D4CB">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5" w:type="dxa"/>
                  <w:vMerge w:val="continue"/>
                  <w:tcBorders>
                    <w:bottom w:val="single" w:color="auto" w:sz="12" w:space="0"/>
                  </w:tcBorders>
                  <w:vAlign w:val="center"/>
                </w:tcPr>
                <w:p w14:paraId="3C232B46">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8" w:type="dxa"/>
                  <w:tcBorders>
                    <w:bottom w:val="single" w:color="auto" w:sz="12" w:space="0"/>
                  </w:tcBorders>
                  <w:vAlign w:val="center"/>
                </w:tcPr>
                <w:p w14:paraId="7AC5F46A">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TN</w:t>
                  </w:r>
                </w:p>
              </w:tc>
              <w:tc>
                <w:tcPr>
                  <w:tcW w:w="809" w:type="dxa"/>
                  <w:tcBorders>
                    <w:bottom w:val="single" w:color="auto" w:sz="12" w:space="0"/>
                    <w:right w:val="nil"/>
                  </w:tcBorders>
                  <w:vAlign w:val="center"/>
                </w:tcPr>
                <w:p w14:paraId="6EE8FF63">
                  <w:pPr>
                    <w:autoSpaceDE w:val="0"/>
                    <w:autoSpaceDN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12（15）*</w:t>
                  </w:r>
                </w:p>
              </w:tc>
            </w:tr>
          </w:tbl>
          <w:p w14:paraId="5DB96AA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注*：2026年3月28日起，每年11月1日至次年3月31日执行括号内排放限值。</w:t>
            </w:r>
          </w:p>
          <w:p w14:paraId="73FB9E45">
            <w:pPr>
              <w:keepNext/>
              <w:spacing w:line="500" w:lineRule="exact"/>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表4-28  </w:t>
            </w:r>
            <w:r>
              <w:rPr>
                <w:rFonts w:hint="default" w:ascii="Times New Roman" w:hAnsi="Times New Roman" w:eastAsia="宋体" w:cs="Times New Roman"/>
                <w:b/>
                <w:color w:val="000000" w:themeColor="text1"/>
                <w:sz w:val="24"/>
                <w:szCs w:val="24"/>
                <w14:textFill>
                  <w14:solidFill>
                    <w14:schemeClr w14:val="tx1"/>
                  </w14:solidFill>
                </w14:textFill>
              </w:rPr>
              <w:t>废水污染物排放执行标准表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859"/>
              <w:gridCol w:w="2286"/>
              <w:gridCol w:w="1699"/>
              <w:gridCol w:w="1485"/>
            </w:tblGrid>
            <w:tr w14:paraId="15B05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45" w:type="pct"/>
                  <w:vMerge w:val="restart"/>
                  <w:tcBorders>
                    <w:tl2br w:val="nil"/>
                    <w:tr2bl w:val="nil"/>
                  </w:tcBorders>
                  <w:vAlign w:val="center"/>
                </w:tcPr>
                <w:p w14:paraId="74B7FA1D">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排放口编号</w:t>
                  </w:r>
                </w:p>
              </w:tc>
              <w:tc>
                <w:tcPr>
                  <w:tcW w:w="1079" w:type="pct"/>
                  <w:vMerge w:val="restart"/>
                  <w:tcBorders>
                    <w:tl2br w:val="nil"/>
                    <w:tr2bl w:val="nil"/>
                  </w:tcBorders>
                  <w:vAlign w:val="center"/>
                </w:tcPr>
                <w:p w14:paraId="39770F52">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污染物种类</w:t>
                  </w:r>
                </w:p>
              </w:tc>
              <w:tc>
                <w:tcPr>
                  <w:tcW w:w="3175" w:type="pct"/>
                  <w:gridSpan w:val="3"/>
                  <w:tcBorders>
                    <w:tl2br w:val="nil"/>
                    <w:tr2bl w:val="nil"/>
                  </w:tcBorders>
                  <w:vAlign w:val="center"/>
                </w:tcPr>
                <w:p w14:paraId="20594407">
                  <w:pPr>
                    <w:widowControl/>
                    <w:jc w:val="center"/>
                    <w:rPr>
                      <w:rFonts w:hint="eastAsia"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接管标准</w:t>
                  </w:r>
                </w:p>
              </w:tc>
            </w:tr>
            <w:tr w14:paraId="229BF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pct"/>
                  <w:vMerge w:val="continue"/>
                  <w:tcBorders>
                    <w:tl2br w:val="nil"/>
                    <w:tr2bl w:val="nil"/>
                  </w:tcBorders>
                  <w:vAlign w:val="center"/>
                </w:tcPr>
                <w:p w14:paraId="7EF432A4">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1079" w:type="pct"/>
                  <w:vMerge w:val="continue"/>
                  <w:tcBorders>
                    <w:tl2br w:val="nil"/>
                    <w:tr2bl w:val="nil"/>
                  </w:tcBorders>
                  <w:vAlign w:val="center"/>
                </w:tcPr>
                <w:p w14:paraId="6CFDA45D">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1327" w:type="pct"/>
                  <w:tcBorders>
                    <w:tl2br w:val="nil"/>
                    <w:tr2bl w:val="nil"/>
                  </w:tcBorders>
                  <w:vAlign w:val="center"/>
                </w:tcPr>
                <w:p w14:paraId="72C8823B">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名称</w:t>
                  </w:r>
                </w:p>
              </w:tc>
              <w:tc>
                <w:tcPr>
                  <w:tcW w:w="1848" w:type="pct"/>
                  <w:gridSpan w:val="2"/>
                  <w:tcBorders>
                    <w:tl2br w:val="nil"/>
                    <w:tr2bl w:val="nil"/>
                  </w:tcBorders>
                  <w:vAlign w:val="center"/>
                </w:tcPr>
                <w:p w14:paraId="45A356C4">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浓度限值（mg/L）</w:t>
                  </w:r>
                </w:p>
              </w:tc>
            </w:tr>
            <w:tr w14:paraId="636C8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45" w:type="pct"/>
                  <w:vMerge w:val="restart"/>
                  <w:tcBorders>
                    <w:tl2br w:val="nil"/>
                    <w:tr2bl w:val="nil"/>
                  </w:tcBorders>
                  <w:vAlign w:val="center"/>
                </w:tcPr>
                <w:p w14:paraId="43C9179F">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DW0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079" w:type="pct"/>
                  <w:vMerge w:val="restart"/>
                  <w:tcBorders>
                    <w:tl2br w:val="nil"/>
                    <w:tr2bl w:val="nil"/>
                  </w:tcBorders>
                  <w:vAlign w:val="center"/>
                </w:tcPr>
                <w:p w14:paraId="151DED6D">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r>
                    <w:rPr>
                      <w:rFonts w:hint="default" w:ascii="Times New Roman" w:hAnsi="Times New Roman" w:eastAsia="宋体" w:cs="Times New Roman"/>
                      <w:color w:val="000000" w:themeColor="text1"/>
                      <w:kern w:val="0"/>
                      <w:sz w:val="21"/>
                      <w:szCs w:val="21"/>
                      <w14:textFill>
                        <w14:solidFill>
                          <w14:schemeClr w14:val="tx1"/>
                        </w14:solidFill>
                      </w14:textFill>
                    </w:rPr>
                    <w:t>COD、SS、NH</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-N、TN、TP</w:t>
                  </w:r>
                </w:p>
              </w:tc>
              <w:tc>
                <w:tcPr>
                  <w:tcW w:w="1327" w:type="pct"/>
                  <w:vMerge w:val="restart"/>
                  <w:tcBorders>
                    <w:tl2br w:val="nil"/>
                    <w:tr2bl w:val="nil"/>
                  </w:tcBorders>
                  <w:vAlign w:val="center"/>
                </w:tcPr>
                <w:p w14:paraId="4910654A">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金坛第二污水处理厂接管标准</w:t>
                  </w:r>
                </w:p>
              </w:tc>
              <w:tc>
                <w:tcPr>
                  <w:tcW w:w="986" w:type="pct"/>
                  <w:tcBorders>
                    <w:tl2br w:val="nil"/>
                    <w:tr2bl w:val="nil"/>
                  </w:tcBorders>
                  <w:vAlign w:val="center"/>
                </w:tcPr>
                <w:p w14:paraId="2C16C304">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pH</w:t>
                  </w:r>
                </w:p>
              </w:tc>
              <w:tc>
                <w:tcPr>
                  <w:tcW w:w="861" w:type="pct"/>
                  <w:tcBorders>
                    <w:tl2br w:val="nil"/>
                    <w:tr2bl w:val="nil"/>
                  </w:tcBorders>
                  <w:vAlign w:val="center"/>
                </w:tcPr>
                <w:p w14:paraId="1B0DC637">
                  <w:pPr>
                    <w:pStyle w:val="8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6~9（无量纲）</w:t>
                  </w:r>
                </w:p>
              </w:tc>
            </w:tr>
            <w:tr w14:paraId="40E58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45" w:type="pct"/>
                  <w:vMerge w:val="continue"/>
                  <w:tcBorders>
                    <w:tl2br w:val="nil"/>
                    <w:tr2bl w:val="nil"/>
                  </w:tcBorders>
                  <w:vAlign w:val="center"/>
                </w:tcPr>
                <w:p w14:paraId="606DE537">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79" w:type="pct"/>
                  <w:vMerge w:val="continue"/>
                  <w:tcBorders>
                    <w:tl2br w:val="nil"/>
                    <w:tr2bl w:val="nil"/>
                  </w:tcBorders>
                  <w:vAlign w:val="center"/>
                </w:tcPr>
                <w:p w14:paraId="399BA1CE">
                  <w:pPr>
                    <w:widowControl/>
                    <w:jc w:val="center"/>
                    <w:rPr>
                      <w:rFonts w:hint="default" w:ascii="Times New Roman" w:hAnsi="Times New Roman" w:cs="Times New Roman"/>
                      <w:color w:val="000000" w:themeColor="text1"/>
                      <w:lang w:val="en-US" w:eastAsia="zh-CN"/>
                      <w14:textFill>
                        <w14:solidFill>
                          <w14:schemeClr w14:val="tx1"/>
                        </w14:solidFill>
                      </w14:textFill>
                    </w:rPr>
                  </w:pPr>
                </w:p>
              </w:tc>
              <w:tc>
                <w:tcPr>
                  <w:tcW w:w="1327" w:type="pct"/>
                  <w:vMerge w:val="continue"/>
                  <w:tcBorders>
                    <w:tl2br w:val="nil"/>
                    <w:tr2bl w:val="nil"/>
                  </w:tcBorders>
                  <w:vAlign w:val="center"/>
                </w:tcPr>
                <w:p w14:paraId="14A80F06">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86" w:type="pct"/>
                  <w:tcBorders>
                    <w:tl2br w:val="nil"/>
                    <w:tr2bl w:val="nil"/>
                  </w:tcBorders>
                  <w:shd w:val="clear" w:color="auto" w:fill="auto"/>
                  <w:vAlign w:val="center"/>
                </w:tcPr>
                <w:p w14:paraId="2E4B9B83">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COD</w:t>
                  </w:r>
                </w:p>
              </w:tc>
              <w:tc>
                <w:tcPr>
                  <w:tcW w:w="861" w:type="pct"/>
                  <w:tcBorders>
                    <w:tl2br w:val="nil"/>
                    <w:tr2bl w:val="nil"/>
                  </w:tcBorders>
                  <w:shd w:val="clear" w:color="auto" w:fill="auto"/>
                  <w:vAlign w:val="center"/>
                </w:tcPr>
                <w:p w14:paraId="39A1D53A">
                  <w:pPr>
                    <w:pStyle w:val="86"/>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r>
            <w:tr w14:paraId="74CF3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45" w:type="pct"/>
                  <w:vMerge w:val="continue"/>
                  <w:tcBorders>
                    <w:tl2br w:val="nil"/>
                    <w:tr2bl w:val="nil"/>
                  </w:tcBorders>
                  <w:vAlign w:val="center"/>
                </w:tcPr>
                <w:p w14:paraId="5B24955D">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79" w:type="pct"/>
                  <w:vMerge w:val="continue"/>
                  <w:tcBorders>
                    <w:tl2br w:val="nil"/>
                    <w:tr2bl w:val="nil"/>
                  </w:tcBorders>
                  <w:vAlign w:val="center"/>
                </w:tcPr>
                <w:p w14:paraId="42F338FE">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7" w:type="pct"/>
                  <w:vMerge w:val="continue"/>
                  <w:tcBorders>
                    <w:tl2br w:val="nil"/>
                    <w:tr2bl w:val="nil"/>
                  </w:tcBorders>
                  <w:vAlign w:val="center"/>
                </w:tcPr>
                <w:p w14:paraId="23F28BF9">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86" w:type="pct"/>
                  <w:tcBorders>
                    <w:tl2br w:val="nil"/>
                    <w:tr2bl w:val="nil"/>
                  </w:tcBorders>
                  <w:vAlign w:val="center"/>
                </w:tcPr>
                <w:p w14:paraId="2551DA11">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SS</w:t>
                  </w:r>
                </w:p>
              </w:tc>
              <w:tc>
                <w:tcPr>
                  <w:tcW w:w="861" w:type="pct"/>
                  <w:tcBorders>
                    <w:tl2br w:val="nil"/>
                    <w:tr2bl w:val="nil"/>
                  </w:tcBorders>
                  <w:vAlign w:val="center"/>
                </w:tcPr>
                <w:p w14:paraId="2DCE52EE">
                  <w:pPr>
                    <w:pStyle w:val="8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14:paraId="4CD2A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5" w:type="pct"/>
                  <w:vMerge w:val="continue"/>
                  <w:tcBorders>
                    <w:tl2br w:val="nil"/>
                    <w:tr2bl w:val="nil"/>
                  </w:tcBorders>
                  <w:vAlign w:val="center"/>
                </w:tcPr>
                <w:p w14:paraId="39FEDF8A">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79" w:type="pct"/>
                  <w:vMerge w:val="continue"/>
                  <w:tcBorders>
                    <w:tl2br w:val="nil"/>
                    <w:tr2bl w:val="nil"/>
                  </w:tcBorders>
                  <w:vAlign w:val="center"/>
                </w:tcPr>
                <w:p w14:paraId="022D458F">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7" w:type="pct"/>
                  <w:vMerge w:val="continue"/>
                  <w:tcBorders>
                    <w:tl2br w:val="nil"/>
                    <w:tr2bl w:val="nil"/>
                  </w:tcBorders>
                  <w:vAlign w:val="center"/>
                </w:tcPr>
                <w:p w14:paraId="75BAA417">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86" w:type="pct"/>
                  <w:tcBorders>
                    <w:tl2br w:val="nil"/>
                    <w:tr2bl w:val="nil"/>
                  </w:tcBorders>
                  <w:vAlign w:val="center"/>
                </w:tcPr>
                <w:p w14:paraId="2A84225F">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NH</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-N</w:t>
                  </w:r>
                </w:p>
              </w:tc>
              <w:tc>
                <w:tcPr>
                  <w:tcW w:w="861" w:type="pct"/>
                  <w:tcBorders>
                    <w:tl2br w:val="nil"/>
                    <w:tr2bl w:val="nil"/>
                  </w:tcBorders>
                  <w:vAlign w:val="center"/>
                </w:tcPr>
                <w:p w14:paraId="2283FD12">
                  <w:pPr>
                    <w:pStyle w:val="8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r>
            <w:tr w14:paraId="28A2F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45" w:type="pct"/>
                  <w:vMerge w:val="continue"/>
                  <w:tcBorders>
                    <w:tl2br w:val="nil"/>
                    <w:tr2bl w:val="nil"/>
                  </w:tcBorders>
                  <w:vAlign w:val="center"/>
                </w:tcPr>
                <w:p w14:paraId="3B681F17">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79" w:type="pct"/>
                  <w:vMerge w:val="continue"/>
                  <w:tcBorders>
                    <w:tl2br w:val="nil"/>
                    <w:tr2bl w:val="nil"/>
                  </w:tcBorders>
                  <w:vAlign w:val="center"/>
                </w:tcPr>
                <w:p w14:paraId="5EA454BC">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7" w:type="pct"/>
                  <w:vMerge w:val="continue"/>
                  <w:tcBorders>
                    <w:tl2br w:val="nil"/>
                    <w:tr2bl w:val="nil"/>
                  </w:tcBorders>
                  <w:vAlign w:val="center"/>
                </w:tcPr>
                <w:p w14:paraId="0CCDE10E">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86" w:type="pct"/>
                  <w:tcBorders>
                    <w:tl2br w:val="nil"/>
                    <w:tr2bl w:val="nil"/>
                  </w:tcBorders>
                  <w:vAlign w:val="center"/>
                </w:tcPr>
                <w:p w14:paraId="6C21AE68">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TP</w:t>
                  </w:r>
                </w:p>
              </w:tc>
              <w:tc>
                <w:tcPr>
                  <w:tcW w:w="861" w:type="pct"/>
                  <w:tcBorders>
                    <w:tl2br w:val="nil"/>
                    <w:tr2bl w:val="nil"/>
                  </w:tcBorders>
                  <w:vAlign w:val="center"/>
                </w:tcPr>
                <w:p w14:paraId="5B18B26F">
                  <w:pPr>
                    <w:pStyle w:val="8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0A6D4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pct"/>
                  <w:vMerge w:val="continue"/>
                  <w:tcBorders>
                    <w:tl2br w:val="nil"/>
                    <w:tr2bl w:val="nil"/>
                  </w:tcBorders>
                  <w:vAlign w:val="center"/>
                </w:tcPr>
                <w:p w14:paraId="115559BF">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79" w:type="pct"/>
                  <w:vMerge w:val="continue"/>
                  <w:tcBorders>
                    <w:tl2br w:val="nil"/>
                    <w:tr2bl w:val="nil"/>
                  </w:tcBorders>
                  <w:vAlign w:val="center"/>
                </w:tcPr>
                <w:p w14:paraId="0696FC70">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7" w:type="pct"/>
                  <w:vMerge w:val="continue"/>
                  <w:tcBorders>
                    <w:tl2br w:val="nil"/>
                    <w:tr2bl w:val="nil"/>
                  </w:tcBorders>
                  <w:vAlign w:val="center"/>
                </w:tcPr>
                <w:p w14:paraId="427CA349">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86" w:type="pct"/>
                  <w:tcBorders>
                    <w:tl2br w:val="nil"/>
                    <w:tr2bl w:val="nil"/>
                  </w:tcBorders>
                  <w:vAlign w:val="center"/>
                </w:tcPr>
                <w:p w14:paraId="23148E7E">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TN</w:t>
                  </w:r>
                </w:p>
              </w:tc>
              <w:tc>
                <w:tcPr>
                  <w:tcW w:w="861" w:type="pct"/>
                  <w:tcBorders>
                    <w:tl2br w:val="nil"/>
                    <w:tr2bl w:val="nil"/>
                  </w:tcBorders>
                  <w:vAlign w:val="center"/>
                </w:tcPr>
                <w:p w14:paraId="1729039A">
                  <w:pPr>
                    <w:pStyle w:val="8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bl>
          <w:p w14:paraId="41BBDD13">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14:textFill>
                  <w14:solidFill>
                    <w14:schemeClr w14:val="tx1"/>
                  </w14:solidFill>
                </w14:textFill>
              </w:rPr>
              <w:t>监测要求</w:t>
            </w:r>
          </w:p>
          <w:p w14:paraId="41DD86BA">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根据《排污许可证申请与核发技术规范 总则》（HJ819-2018）和《排污单位自行监测技术指南 总则》（HJ819-2017）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、《排污许可证申请与核发技术规范 电子工业》（HJ1031—2019）</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，本项目生活污水间接排放口不需监测，则项目不需监测污水排放口。</w:t>
            </w:r>
          </w:p>
          <w:p w14:paraId="2DB567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6.排污口规范化设置</w:t>
            </w:r>
          </w:p>
          <w:p w14:paraId="5E2F2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本项目依托</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园区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现有雨水和污水排放口，不改变现有排水系统。目前项目所在地地块内已实施</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雨污分流</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，并设置规范化雨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污</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水排放口。</w:t>
            </w:r>
          </w:p>
          <w:p w14:paraId="35C145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7.环境影响分析小结</w:t>
            </w:r>
          </w:p>
          <w:p w14:paraId="25BC66A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本项目生活污水经化粪池预处理后接管至</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金坛第二污水处理厂</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集中处理，尾水排入尧塘河。故本项目废水排放对地表水环境影响很小，是可以接受的。</w:t>
            </w:r>
          </w:p>
          <w:p w14:paraId="484FAD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三、噪声</w:t>
            </w:r>
          </w:p>
          <w:p w14:paraId="1E20992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1、噪声源强分析</w:t>
            </w:r>
          </w:p>
          <w:p w14:paraId="2F7D0F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本项目高噪声源主要为冲床</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、磨床、分切机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等设备，项目噪声源距离1米处声压级在70~85dB（A）之间。</w:t>
            </w:r>
          </w:p>
          <w:p w14:paraId="6F979A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tc>
      </w:tr>
    </w:tbl>
    <w:p w14:paraId="3C53CFEF">
      <w:p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2079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18E4D572">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运营期环境影响和保护措施</w:t>
            </w:r>
          </w:p>
        </w:tc>
        <w:tc>
          <w:tcPr>
            <w:tcW w:w="4742" w:type="pct"/>
            <w:vAlign w:val="center"/>
          </w:tcPr>
          <w:p w14:paraId="7C8238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29  </w:t>
            </w:r>
            <w:r>
              <w:rPr>
                <w:rFonts w:hint="default" w:ascii="Times New Roman" w:hAnsi="Times New Roman" w:eastAsia="宋体" w:cs="Times New Roman"/>
                <w:b/>
                <w:bCs/>
                <w:color w:val="000000" w:themeColor="text1"/>
                <w:sz w:val="24"/>
                <w:szCs w:val="24"/>
                <w14:textFill>
                  <w14:solidFill>
                    <w14:schemeClr w14:val="tx1"/>
                  </w14:solidFill>
                </w14:textFill>
              </w:rPr>
              <w:t>本项目主要噪声污染源一览表</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室内声源</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525"/>
              <w:gridCol w:w="1218"/>
              <w:gridCol w:w="1335"/>
              <w:gridCol w:w="866"/>
              <w:gridCol w:w="1433"/>
              <w:gridCol w:w="1030"/>
              <w:gridCol w:w="522"/>
              <w:gridCol w:w="522"/>
              <w:gridCol w:w="588"/>
              <w:gridCol w:w="660"/>
              <w:gridCol w:w="689"/>
              <w:gridCol w:w="531"/>
              <w:gridCol w:w="924"/>
              <w:gridCol w:w="924"/>
              <w:gridCol w:w="1001"/>
            </w:tblGrid>
            <w:tr w14:paraId="0C63EC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Merge w:val="restart"/>
                  <w:noWrap w:val="0"/>
                  <w:vAlign w:val="center"/>
                </w:tcPr>
                <w:p w14:paraId="07106774">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序号</w:t>
                  </w:r>
                </w:p>
              </w:tc>
              <w:tc>
                <w:tcPr>
                  <w:tcW w:w="199" w:type="pct"/>
                  <w:vMerge w:val="restart"/>
                  <w:noWrap w:val="0"/>
                  <w:vAlign w:val="center"/>
                </w:tcPr>
                <w:p w14:paraId="68AC7563">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建筑物名称</w:t>
                  </w:r>
                </w:p>
              </w:tc>
              <w:tc>
                <w:tcPr>
                  <w:tcW w:w="461" w:type="pct"/>
                  <w:vMerge w:val="restart"/>
                  <w:noWrap w:val="0"/>
                  <w:vAlign w:val="center"/>
                </w:tcPr>
                <w:p w14:paraId="304B3C6A">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声源名称</w:t>
                  </w:r>
                </w:p>
              </w:tc>
              <w:tc>
                <w:tcPr>
                  <w:tcW w:w="505" w:type="pct"/>
                  <w:vMerge w:val="restart"/>
                  <w:noWrap w:val="0"/>
                  <w:vAlign w:val="center"/>
                </w:tcPr>
                <w:p w14:paraId="00EBA060">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型号</w:t>
                  </w:r>
                </w:p>
              </w:tc>
              <w:tc>
                <w:tcPr>
                  <w:tcW w:w="328" w:type="pct"/>
                  <w:vMerge w:val="restart"/>
                  <w:noWrap w:val="0"/>
                  <w:vAlign w:val="center"/>
                </w:tcPr>
                <w:p w14:paraId="26A43E25">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数量</w:t>
                  </w:r>
                </w:p>
              </w:tc>
              <w:tc>
                <w:tcPr>
                  <w:tcW w:w="542" w:type="pct"/>
                  <w:noWrap w:val="0"/>
                  <w:vAlign w:val="center"/>
                </w:tcPr>
                <w:p w14:paraId="33927CF0">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声源源强</w:t>
                  </w:r>
                </w:p>
              </w:tc>
              <w:tc>
                <w:tcPr>
                  <w:tcW w:w="390" w:type="pct"/>
                  <w:vMerge w:val="restart"/>
                  <w:noWrap w:val="0"/>
                  <w:vAlign w:val="center"/>
                </w:tcPr>
                <w:p w14:paraId="6293328A">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声源控制措施</w:t>
                  </w:r>
                </w:p>
              </w:tc>
              <w:tc>
                <w:tcPr>
                  <w:tcW w:w="619" w:type="pct"/>
                  <w:gridSpan w:val="3"/>
                  <w:noWrap w:val="0"/>
                  <w:vAlign w:val="center"/>
                </w:tcPr>
                <w:p w14:paraId="5A3ACBCA">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空间相对位置/m</w:t>
                  </w:r>
                </w:p>
              </w:tc>
              <w:tc>
                <w:tcPr>
                  <w:tcW w:w="250" w:type="pct"/>
                  <w:vMerge w:val="restart"/>
                  <w:noWrap w:val="0"/>
                  <w:vAlign w:val="center"/>
                </w:tcPr>
                <w:p w14:paraId="7FA62CFF">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距室内边界</w:t>
                  </w:r>
                  <w:r>
                    <w:rPr>
                      <w:rFonts w:hint="default" w:ascii="Times New Roman" w:hAnsi="Times New Roman" w:eastAsia="宋体" w:cs="Times New Roman"/>
                      <w:b/>
                      <w:color w:val="000000" w:themeColor="text1"/>
                      <w:lang w:eastAsia="zh-CN"/>
                      <w14:textFill>
                        <w14:solidFill>
                          <w14:schemeClr w14:val="tx1"/>
                        </w14:solidFill>
                      </w14:textFill>
                    </w:rPr>
                    <w:t>最近</w:t>
                  </w:r>
                  <w:r>
                    <w:rPr>
                      <w:rFonts w:hint="default" w:ascii="Times New Roman" w:hAnsi="Times New Roman" w:eastAsia="宋体" w:cs="Times New Roman"/>
                      <w:b/>
                      <w:color w:val="000000" w:themeColor="text1"/>
                      <w14:textFill>
                        <w14:solidFill>
                          <w14:schemeClr w14:val="tx1"/>
                        </w14:solidFill>
                      </w14:textFill>
                    </w:rPr>
                    <w:t>距离/m</w:t>
                  </w:r>
                </w:p>
              </w:tc>
              <w:tc>
                <w:tcPr>
                  <w:tcW w:w="260" w:type="pct"/>
                  <w:vMerge w:val="restart"/>
                  <w:noWrap w:val="0"/>
                  <w:vAlign w:val="center"/>
                </w:tcPr>
                <w:p w14:paraId="0FCA4C55">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室内边界声级</w:t>
                  </w:r>
                </w:p>
              </w:tc>
              <w:tc>
                <w:tcPr>
                  <w:tcW w:w="190" w:type="pct"/>
                  <w:vMerge w:val="restart"/>
                  <w:noWrap w:val="0"/>
                  <w:vAlign w:val="center"/>
                </w:tcPr>
                <w:p w14:paraId="3A7E8BD6">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运行时段</w:t>
                  </w:r>
                </w:p>
              </w:tc>
              <w:tc>
                <w:tcPr>
                  <w:tcW w:w="350" w:type="pct"/>
                  <w:vMerge w:val="restart"/>
                  <w:noWrap w:val="0"/>
                  <w:vAlign w:val="center"/>
                </w:tcPr>
                <w:p w14:paraId="31E437CC">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建筑物插入损失/dB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c>
                <w:tcPr>
                  <w:tcW w:w="729" w:type="pct"/>
                  <w:gridSpan w:val="2"/>
                  <w:noWrap w:val="0"/>
                  <w:vAlign w:val="center"/>
                </w:tcPr>
                <w:p w14:paraId="0C9C28BE">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建筑物外噪声</w:t>
                  </w:r>
                </w:p>
              </w:tc>
            </w:tr>
            <w:tr w14:paraId="30DEC7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Merge w:val="continue"/>
                  <w:noWrap w:val="0"/>
                  <w:vAlign w:val="center"/>
                </w:tcPr>
                <w:p w14:paraId="592D00BA">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199" w:type="pct"/>
                  <w:vMerge w:val="continue"/>
                  <w:noWrap w:val="0"/>
                  <w:vAlign w:val="center"/>
                </w:tcPr>
                <w:p w14:paraId="3AEA7469">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461" w:type="pct"/>
                  <w:vMerge w:val="continue"/>
                  <w:noWrap w:val="0"/>
                  <w:vAlign w:val="center"/>
                </w:tcPr>
                <w:p w14:paraId="6C1438B6">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505" w:type="pct"/>
                  <w:vMerge w:val="continue"/>
                  <w:noWrap w:val="0"/>
                  <w:vAlign w:val="center"/>
                </w:tcPr>
                <w:p w14:paraId="0CBFEAE0">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328" w:type="pct"/>
                  <w:vMerge w:val="continue"/>
                  <w:noWrap w:val="0"/>
                  <w:vAlign w:val="center"/>
                </w:tcPr>
                <w:p w14:paraId="770677C7">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542" w:type="pct"/>
                  <w:noWrap w:val="0"/>
                  <w:vAlign w:val="center"/>
                </w:tcPr>
                <w:p w14:paraId="3B4EACB6">
                  <w:pPr>
                    <w:adjustRightInd w:val="0"/>
                    <w:snapToGrid w:val="0"/>
                    <w:ind w:left="-105" w:leftChars="-50" w:right="-105" w:rightChars="-50"/>
                    <w:jc w:val="center"/>
                    <w:rPr>
                      <w:rFonts w:hint="default"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声</w:t>
                  </w:r>
                  <w:r>
                    <w:rPr>
                      <w:rFonts w:hint="default" w:ascii="Times New Roman" w:hAnsi="Times New Roman" w:eastAsia="宋体" w:cs="Times New Roman"/>
                      <w:b/>
                      <w:color w:val="000000" w:themeColor="text1"/>
                      <w:lang w:eastAsia="zh-CN"/>
                      <w14:textFill>
                        <w14:solidFill>
                          <w14:schemeClr w14:val="tx1"/>
                        </w14:solidFill>
                      </w14:textFill>
                    </w:rPr>
                    <w:t>功率</w:t>
                  </w:r>
                  <w:r>
                    <w:rPr>
                      <w:rFonts w:hint="default" w:ascii="Times New Roman" w:hAnsi="Times New Roman" w:eastAsia="宋体" w:cs="Times New Roman"/>
                      <w:b/>
                      <w:color w:val="000000" w:themeColor="text1"/>
                      <w14:textFill>
                        <w14:solidFill>
                          <w14:schemeClr w14:val="tx1"/>
                        </w14:solidFill>
                      </w14:textFill>
                    </w:rPr>
                    <w:t>级/dB</w:t>
                  </w:r>
                  <w:r>
                    <w:rPr>
                      <w:rFonts w:hint="default"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A</w:t>
                  </w:r>
                  <w:r>
                    <w:rPr>
                      <w:rFonts w:hint="default" w:ascii="Times New Roman" w:hAnsi="Times New Roman" w:eastAsia="宋体" w:cs="Times New Roman"/>
                      <w:b/>
                      <w:color w:val="000000" w:themeColor="text1"/>
                      <w:lang w:eastAsia="zh-CN"/>
                      <w14:textFill>
                        <w14:solidFill>
                          <w14:schemeClr w14:val="tx1"/>
                        </w14:solidFill>
                      </w14:textFill>
                    </w:rPr>
                    <w:t>）</w:t>
                  </w:r>
                </w:p>
              </w:tc>
              <w:tc>
                <w:tcPr>
                  <w:tcW w:w="390" w:type="pct"/>
                  <w:vMerge w:val="continue"/>
                  <w:noWrap w:val="0"/>
                  <w:vAlign w:val="center"/>
                </w:tcPr>
                <w:p w14:paraId="3AB11675">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198" w:type="pct"/>
                  <w:noWrap w:val="0"/>
                  <w:vAlign w:val="center"/>
                </w:tcPr>
                <w:p w14:paraId="2A680CDB">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X</w:t>
                  </w:r>
                </w:p>
              </w:tc>
              <w:tc>
                <w:tcPr>
                  <w:tcW w:w="198" w:type="pct"/>
                  <w:noWrap w:val="0"/>
                  <w:vAlign w:val="center"/>
                </w:tcPr>
                <w:p w14:paraId="1E757635">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Y</w:t>
                  </w:r>
                </w:p>
              </w:tc>
              <w:tc>
                <w:tcPr>
                  <w:tcW w:w="223" w:type="pct"/>
                  <w:noWrap w:val="0"/>
                  <w:vAlign w:val="center"/>
                </w:tcPr>
                <w:p w14:paraId="70BA4C9B">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Z</w:t>
                  </w:r>
                </w:p>
              </w:tc>
              <w:tc>
                <w:tcPr>
                  <w:tcW w:w="250" w:type="pct"/>
                  <w:vMerge w:val="continue"/>
                  <w:noWrap w:val="0"/>
                  <w:vAlign w:val="center"/>
                </w:tcPr>
                <w:p w14:paraId="4C83DEA9">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p>
              </w:tc>
              <w:tc>
                <w:tcPr>
                  <w:tcW w:w="260" w:type="pct"/>
                  <w:vMerge w:val="continue"/>
                  <w:noWrap w:val="0"/>
                  <w:vAlign w:val="center"/>
                </w:tcPr>
                <w:p w14:paraId="5723234F">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90" w:type="pct"/>
                  <w:vMerge w:val="continue"/>
                  <w:noWrap w:val="0"/>
                  <w:vAlign w:val="center"/>
                </w:tcPr>
                <w:p w14:paraId="3AE5D7D7">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350" w:type="pct"/>
                  <w:vMerge w:val="continue"/>
                  <w:noWrap w:val="0"/>
                  <w:vAlign w:val="center"/>
                </w:tcPr>
                <w:p w14:paraId="61663A8D">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350" w:type="pct"/>
                  <w:noWrap w:val="0"/>
                  <w:vAlign w:val="center"/>
                </w:tcPr>
                <w:p w14:paraId="46477139">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声压级/dB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c>
                <w:tcPr>
                  <w:tcW w:w="379" w:type="pct"/>
                  <w:noWrap w:val="0"/>
                  <w:vAlign w:val="center"/>
                </w:tcPr>
                <w:p w14:paraId="2AFC98EB">
                  <w:pPr>
                    <w:adjustRightInd w:val="0"/>
                    <w:snapToGrid w:val="0"/>
                    <w:ind w:left="-105" w:leftChars="-50" w:right="-105" w:rightChars="-5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建筑物外距离</w:t>
                  </w:r>
                </w:p>
              </w:tc>
            </w:tr>
            <w:tr w14:paraId="533B5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noWrap w:val="0"/>
                  <w:vAlign w:val="center"/>
                </w:tcPr>
                <w:p w14:paraId="6228F26A">
                  <w:pPr>
                    <w:adjustRightInd w:val="0"/>
                    <w:snapToGrid w:val="0"/>
                    <w:ind w:left="-105" w:leftChars="-50" w:right="-105" w:rightChars="-5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99" w:type="pct"/>
                  <w:vMerge w:val="restart"/>
                  <w:noWrap w:val="0"/>
                  <w:vAlign w:val="center"/>
                </w:tcPr>
                <w:p w14:paraId="3B459E6E">
                  <w:pPr>
                    <w:adjustRightInd w:val="0"/>
                    <w:snapToGrid w:val="0"/>
                    <w:ind w:left="-105" w:leftChars="-50" w:right="-105" w:rightChars="-5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生产厂房</w:t>
                  </w:r>
                </w:p>
              </w:tc>
              <w:tc>
                <w:tcPr>
                  <w:tcW w:w="461" w:type="pct"/>
                  <w:shd w:val="clear" w:color="auto" w:fill="auto"/>
                  <w:noWrap w:val="0"/>
                  <w:vAlign w:val="center"/>
                </w:tcPr>
                <w:p w14:paraId="4497D07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冲床</w:t>
                  </w:r>
                </w:p>
              </w:tc>
              <w:tc>
                <w:tcPr>
                  <w:tcW w:w="505" w:type="pct"/>
                  <w:shd w:val="clear" w:color="auto" w:fill="auto"/>
                  <w:noWrap w:val="0"/>
                  <w:vAlign w:val="center"/>
                </w:tcPr>
                <w:p w14:paraId="4F773F4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TJS-45</w:t>
                  </w:r>
                </w:p>
              </w:tc>
              <w:tc>
                <w:tcPr>
                  <w:tcW w:w="328" w:type="pct"/>
                  <w:noWrap w:val="0"/>
                  <w:vAlign w:val="center"/>
                </w:tcPr>
                <w:p w14:paraId="6CA6CBCA">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42" w:type="pct"/>
                  <w:noWrap w:val="0"/>
                  <w:vAlign w:val="center"/>
                </w:tcPr>
                <w:p w14:paraId="4941ADA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80</w:t>
                  </w:r>
                </w:p>
              </w:tc>
              <w:tc>
                <w:tcPr>
                  <w:tcW w:w="390" w:type="pct"/>
                  <w:vMerge w:val="restart"/>
                  <w:noWrap w:val="0"/>
                  <w:vAlign w:val="center"/>
                </w:tcPr>
                <w:p w14:paraId="76145980">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减振、厂房隔音</w:t>
                  </w:r>
                </w:p>
              </w:tc>
              <w:tc>
                <w:tcPr>
                  <w:tcW w:w="198" w:type="pct"/>
                  <w:noWrap w:val="0"/>
                  <w:vAlign w:val="center"/>
                </w:tcPr>
                <w:p w14:paraId="40BC1D08">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98" w:type="pct"/>
                  <w:noWrap w:val="0"/>
                  <w:vAlign w:val="center"/>
                </w:tcPr>
                <w:p w14:paraId="12B16E43">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223" w:type="pct"/>
                  <w:noWrap w:val="0"/>
                  <w:vAlign w:val="center"/>
                </w:tcPr>
                <w:p w14:paraId="1A3B945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50" w:type="pct"/>
                  <w:noWrap w:val="0"/>
                  <w:vAlign w:val="center"/>
                </w:tcPr>
                <w:p w14:paraId="0913DE5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260" w:type="pct"/>
                  <w:noWrap w:val="0"/>
                  <w:vAlign w:val="bottom"/>
                </w:tcPr>
                <w:p w14:paraId="76271543">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78.06</w:t>
                  </w:r>
                </w:p>
              </w:tc>
              <w:tc>
                <w:tcPr>
                  <w:tcW w:w="190" w:type="pct"/>
                  <w:noWrap w:val="0"/>
                  <w:vAlign w:val="center"/>
                </w:tcPr>
                <w:p w14:paraId="2725D3D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350" w:type="pct"/>
                  <w:noWrap w:val="0"/>
                  <w:vAlign w:val="center"/>
                </w:tcPr>
                <w:p w14:paraId="24105EF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350" w:type="pct"/>
                  <w:noWrap w:val="0"/>
                  <w:vAlign w:val="bottom"/>
                </w:tcPr>
                <w:p w14:paraId="6770AF1F">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53.06</w:t>
                  </w:r>
                </w:p>
              </w:tc>
              <w:tc>
                <w:tcPr>
                  <w:tcW w:w="379" w:type="pct"/>
                  <w:noWrap w:val="0"/>
                  <w:vAlign w:val="center"/>
                </w:tcPr>
                <w:p w14:paraId="5F5B0ED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r>
            <w:tr w14:paraId="39936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noWrap w:val="0"/>
                  <w:vAlign w:val="center"/>
                </w:tcPr>
                <w:p w14:paraId="583A7663">
                  <w:pPr>
                    <w:adjustRightInd w:val="0"/>
                    <w:snapToGrid w:val="0"/>
                    <w:ind w:left="-105" w:leftChars="-50" w:right="-105" w:rightChars="-5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199" w:type="pct"/>
                  <w:vMerge w:val="continue"/>
                  <w:noWrap w:val="0"/>
                  <w:vAlign w:val="center"/>
                </w:tcPr>
                <w:p w14:paraId="0C7EEA48">
                  <w:pPr>
                    <w:adjustRightInd w:val="0"/>
                    <w:snapToGrid w:val="0"/>
                    <w:ind w:left="-105" w:leftChars="-50" w:right="-105" w:rightChars="-5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61" w:type="pct"/>
                  <w:shd w:val="clear" w:color="auto" w:fill="auto"/>
                  <w:noWrap w:val="0"/>
                  <w:vAlign w:val="center"/>
                </w:tcPr>
                <w:p w14:paraId="1D4FCFC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磨床</w:t>
                  </w:r>
                </w:p>
              </w:tc>
              <w:tc>
                <w:tcPr>
                  <w:tcW w:w="505" w:type="pct"/>
                  <w:shd w:val="clear" w:color="auto" w:fill="auto"/>
                  <w:noWrap w:val="0"/>
                  <w:vAlign w:val="center"/>
                </w:tcPr>
                <w:p w14:paraId="1211B7FD">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GY-618S</w:t>
                  </w:r>
                </w:p>
              </w:tc>
              <w:tc>
                <w:tcPr>
                  <w:tcW w:w="328" w:type="pct"/>
                  <w:noWrap w:val="0"/>
                  <w:vAlign w:val="center"/>
                </w:tcPr>
                <w:p w14:paraId="16BA582E">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42" w:type="pct"/>
                  <w:noWrap w:val="0"/>
                  <w:vAlign w:val="center"/>
                </w:tcPr>
                <w:p w14:paraId="21CD87F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80</w:t>
                  </w:r>
                </w:p>
              </w:tc>
              <w:tc>
                <w:tcPr>
                  <w:tcW w:w="390" w:type="pct"/>
                  <w:vMerge w:val="continue"/>
                  <w:noWrap w:val="0"/>
                  <w:vAlign w:val="center"/>
                </w:tcPr>
                <w:p w14:paraId="4CD37A37">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98" w:type="pct"/>
                  <w:noWrap w:val="0"/>
                  <w:vAlign w:val="center"/>
                </w:tcPr>
                <w:p w14:paraId="08FAE71F">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98" w:type="pct"/>
                  <w:noWrap w:val="0"/>
                  <w:vAlign w:val="center"/>
                </w:tcPr>
                <w:p w14:paraId="075ACD9C">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223" w:type="pct"/>
                  <w:noWrap w:val="0"/>
                  <w:vAlign w:val="center"/>
                </w:tcPr>
                <w:p w14:paraId="31DA7B9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50" w:type="pct"/>
                  <w:noWrap w:val="0"/>
                  <w:vAlign w:val="center"/>
                </w:tcPr>
                <w:p w14:paraId="12102D0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260" w:type="pct"/>
                  <w:noWrap w:val="0"/>
                  <w:vAlign w:val="bottom"/>
                </w:tcPr>
                <w:p w14:paraId="0B47EEE2">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70.79</w:t>
                  </w:r>
                </w:p>
              </w:tc>
              <w:tc>
                <w:tcPr>
                  <w:tcW w:w="190" w:type="pct"/>
                  <w:noWrap w:val="0"/>
                  <w:vAlign w:val="center"/>
                </w:tcPr>
                <w:p w14:paraId="38BFDA9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350" w:type="pct"/>
                  <w:noWrap w:val="0"/>
                  <w:vAlign w:val="center"/>
                </w:tcPr>
                <w:p w14:paraId="04545B3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350" w:type="pct"/>
                  <w:noWrap w:val="0"/>
                  <w:vAlign w:val="bottom"/>
                </w:tcPr>
                <w:p w14:paraId="6665C20C">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45.79</w:t>
                  </w:r>
                </w:p>
              </w:tc>
              <w:tc>
                <w:tcPr>
                  <w:tcW w:w="379" w:type="pct"/>
                  <w:noWrap w:val="0"/>
                  <w:vAlign w:val="center"/>
                </w:tcPr>
                <w:p w14:paraId="37AE127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r>
            <w:tr w14:paraId="5BC2D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noWrap w:val="0"/>
                  <w:vAlign w:val="center"/>
                </w:tcPr>
                <w:p w14:paraId="24C69C54">
                  <w:pPr>
                    <w:adjustRightInd w:val="0"/>
                    <w:snapToGrid w:val="0"/>
                    <w:ind w:left="-105" w:leftChars="-50" w:right="-105" w:rightChars="-5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199" w:type="pct"/>
                  <w:vMerge w:val="continue"/>
                  <w:noWrap w:val="0"/>
                  <w:vAlign w:val="center"/>
                </w:tcPr>
                <w:p w14:paraId="47C2A35B">
                  <w:pPr>
                    <w:adjustRightInd w:val="0"/>
                    <w:snapToGrid w:val="0"/>
                    <w:ind w:left="-105" w:leftChars="-50" w:right="-105" w:rightChars="-5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61" w:type="pct"/>
                  <w:shd w:val="clear" w:color="auto" w:fill="auto"/>
                  <w:noWrap w:val="0"/>
                  <w:vAlign w:val="center"/>
                </w:tcPr>
                <w:p w14:paraId="4A9FDD24">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分切机</w:t>
                  </w:r>
                </w:p>
              </w:tc>
              <w:tc>
                <w:tcPr>
                  <w:tcW w:w="505" w:type="pct"/>
                  <w:shd w:val="clear" w:color="auto" w:fill="auto"/>
                  <w:noWrap w:val="0"/>
                  <w:vAlign w:val="center"/>
                </w:tcPr>
                <w:p w14:paraId="4DB71017">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TO-220</w:t>
                  </w:r>
                </w:p>
              </w:tc>
              <w:tc>
                <w:tcPr>
                  <w:tcW w:w="328" w:type="pct"/>
                  <w:noWrap w:val="0"/>
                  <w:vAlign w:val="center"/>
                </w:tcPr>
                <w:p w14:paraId="20E44541">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42" w:type="pct"/>
                  <w:noWrap w:val="0"/>
                  <w:vAlign w:val="center"/>
                </w:tcPr>
                <w:p w14:paraId="3E6F663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80</w:t>
                  </w:r>
                </w:p>
              </w:tc>
              <w:tc>
                <w:tcPr>
                  <w:tcW w:w="390" w:type="pct"/>
                  <w:vMerge w:val="continue"/>
                  <w:noWrap w:val="0"/>
                  <w:vAlign w:val="center"/>
                </w:tcPr>
                <w:p w14:paraId="36F05DD8">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98" w:type="pct"/>
                  <w:noWrap w:val="0"/>
                  <w:vAlign w:val="center"/>
                </w:tcPr>
                <w:p w14:paraId="000CB612">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98" w:type="pct"/>
                  <w:noWrap w:val="0"/>
                  <w:vAlign w:val="center"/>
                </w:tcPr>
                <w:p w14:paraId="2C5F775B">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223" w:type="pct"/>
                  <w:noWrap w:val="0"/>
                  <w:vAlign w:val="center"/>
                </w:tcPr>
                <w:p w14:paraId="5C68F19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50" w:type="pct"/>
                  <w:noWrap w:val="0"/>
                  <w:vAlign w:val="center"/>
                </w:tcPr>
                <w:p w14:paraId="3B6F3EC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260" w:type="pct"/>
                  <w:noWrap w:val="0"/>
                  <w:vAlign w:val="bottom"/>
                </w:tcPr>
                <w:p w14:paraId="6CAF5031">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69.03</w:t>
                  </w:r>
                </w:p>
              </w:tc>
              <w:tc>
                <w:tcPr>
                  <w:tcW w:w="190" w:type="pct"/>
                  <w:noWrap w:val="0"/>
                  <w:vAlign w:val="center"/>
                </w:tcPr>
                <w:p w14:paraId="569E37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350" w:type="pct"/>
                  <w:noWrap w:val="0"/>
                  <w:vAlign w:val="center"/>
                </w:tcPr>
                <w:p w14:paraId="704EB4A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350" w:type="pct"/>
                  <w:noWrap w:val="0"/>
                  <w:vAlign w:val="bottom"/>
                </w:tcPr>
                <w:p w14:paraId="7C6F7040">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44.03</w:t>
                  </w:r>
                </w:p>
              </w:tc>
              <w:tc>
                <w:tcPr>
                  <w:tcW w:w="379" w:type="pct"/>
                  <w:noWrap w:val="0"/>
                  <w:vAlign w:val="center"/>
                </w:tcPr>
                <w:p w14:paraId="50706EF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r>
            <w:tr w14:paraId="3C1F8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noWrap w:val="0"/>
                  <w:vAlign w:val="center"/>
                </w:tcPr>
                <w:p w14:paraId="065EC927">
                  <w:pPr>
                    <w:adjustRightInd w:val="0"/>
                    <w:snapToGrid w:val="0"/>
                    <w:ind w:left="-105" w:leftChars="-50" w:right="-105" w:rightChars="-5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199" w:type="pct"/>
                  <w:vMerge w:val="continue"/>
                  <w:noWrap w:val="0"/>
                  <w:vAlign w:val="center"/>
                </w:tcPr>
                <w:p w14:paraId="6A1147C5">
                  <w:pPr>
                    <w:adjustRightInd w:val="0"/>
                    <w:snapToGrid w:val="0"/>
                    <w:ind w:left="-105" w:leftChars="-50" w:right="-105" w:rightChars="-5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61" w:type="pct"/>
                  <w:shd w:val="clear" w:color="auto" w:fill="auto"/>
                  <w:noWrap w:val="0"/>
                  <w:vAlign w:val="center"/>
                </w:tcPr>
                <w:p w14:paraId="4940B409">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清洗线</w:t>
                  </w:r>
                </w:p>
              </w:tc>
              <w:tc>
                <w:tcPr>
                  <w:tcW w:w="505" w:type="pct"/>
                  <w:shd w:val="clear" w:color="auto" w:fill="auto"/>
                  <w:noWrap w:val="0"/>
                  <w:vAlign w:val="center"/>
                </w:tcPr>
                <w:p w14:paraId="16CE6650">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28" w:type="pct"/>
                  <w:noWrap w:val="0"/>
                  <w:vAlign w:val="center"/>
                </w:tcPr>
                <w:p w14:paraId="0C5A99B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42" w:type="pct"/>
                  <w:noWrap w:val="0"/>
                  <w:vAlign w:val="center"/>
                </w:tcPr>
                <w:p w14:paraId="0E8321C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w:t>
                  </w:r>
                </w:p>
              </w:tc>
              <w:tc>
                <w:tcPr>
                  <w:tcW w:w="390" w:type="pct"/>
                  <w:vMerge w:val="continue"/>
                  <w:noWrap w:val="0"/>
                  <w:vAlign w:val="center"/>
                </w:tcPr>
                <w:p w14:paraId="7726CDEF">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98" w:type="pct"/>
                  <w:noWrap w:val="0"/>
                  <w:vAlign w:val="center"/>
                </w:tcPr>
                <w:p w14:paraId="6A2DA196">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98" w:type="pct"/>
                  <w:noWrap w:val="0"/>
                  <w:vAlign w:val="center"/>
                </w:tcPr>
                <w:p w14:paraId="6CC3A66B">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223" w:type="pct"/>
                  <w:noWrap w:val="0"/>
                  <w:vAlign w:val="center"/>
                </w:tcPr>
                <w:p w14:paraId="13A960C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50" w:type="pct"/>
                  <w:noWrap w:val="0"/>
                  <w:vAlign w:val="center"/>
                </w:tcPr>
                <w:p w14:paraId="3F1971C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260" w:type="pct"/>
                  <w:noWrap w:val="0"/>
                  <w:vAlign w:val="bottom"/>
                </w:tcPr>
                <w:p w14:paraId="630DD712">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60.82</w:t>
                  </w:r>
                </w:p>
              </w:tc>
              <w:tc>
                <w:tcPr>
                  <w:tcW w:w="190" w:type="pct"/>
                  <w:noWrap w:val="0"/>
                  <w:vAlign w:val="center"/>
                </w:tcPr>
                <w:p w14:paraId="704BB55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350" w:type="pct"/>
                  <w:noWrap w:val="0"/>
                  <w:vAlign w:val="center"/>
                </w:tcPr>
                <w:p w14:paraId="122F919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350" w:type="pct"/>
                  <w:noWrap w:val="0"/>
                  <w:vAlign w:val="bottom"/>
                </w:tcPr>
                <w:p w14:paraId="1E3AB5EC">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45.82</w:t>
                  </w:r>
                </w:p>
              </w:tc>
              <w:tc>
                <w:tcPr>
                  <w:tcW w:w="379" w:type="pct"/>
                  <w:noWrap w:val="0"/>
                  <w:vAlign w:val="center"/>
                </w:tcPr>
                <w:p w14:paraId="27D5E4D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r>
            <w:tr w14:paraId="489627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noWrap w:val="0"/>
                  <w:vAlign w:val="center"/>
                </w:tcPr>
                <w:p w14:paraId="58526681">
                  <w:pPr>
                    <w:adjustRightInd w:val="0"/>
                    <w:snapToGrid w:val="0"/>
                    <w:ind w:left="-105" w:leftChars="-50" w:right="-105" w:rightChars="-5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199" w:type="pct"/>
                  <w:vMerge w:val="continue"/>
                  <w:noWrap w:val="0"/>
                  <w:vAlign w:val="center"/>
                </w:tcPr>
                <w:p w14:paraId="0FFC9AEA">
                  <w:pPr>
                    <w:adjustRightInd w:val="0"/>
                    <w:snapToGrid w:val="0"/>
                    <w:ind w:left="-105" w:leftChars="-50" w:right="-105" w:rightChars="-5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61" w:type="pct"/>
                  <w:shd w:val="clear" w:color="auto" w:fill="auto"/>
                  <w:noWrap w:val="0"/>
                  <w:vAlign w:val="center"/>
                </w:tcPr>
                <w:p w14:paraId="15F5BEAC">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505" w:type="pct"/>
                  <w:shd w:val="clear" w:color="auto" w:fill="auto"/>
                  <w:noWrap w:val="0"/>
                  <w:vAlign w:val="center"/>
                </w:tcPr>
                <w:p w14:paraId="5114A5AC">
                  <w:pPr>
                    <w:keepNext w:val="0"/>
                    <w:keepLines w:val="0"/>
                    <w:pageBreakBefore w:val="0"/>
                    <w:widowControl/>
                    <w:kinsoku/>
                    <w:wordWrap/>
                    <w:overflowPunct/>
                    <w:topLinePunct w:val="0"/>
                    <w:autoSpaceDE/>
                    <w:autoSpaceDN/>
                    <w:bidi w:val="0"/>
                    <w:adjustRightInd/>
                    <w:snapToGrid/>
                    <w:jc w:val="center"/>
                    <w:textAlignment w:val="bottom"/>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28" w:type="pct"/>
                  <w:noWrap w:val="0"/>
                  <w:vAlign w:val="center"/>
                </w:tcPr>
                <w:p w14:paraId="406D2556">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42" w:type="pct"/>
                  <w:noWrap w:val="0"/>
                  <w:vAlign w:val="center"/>
                </w:tcPr>
                <w:p w14:paraId="175E486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85</w:t>
                  </w:r>
                </w:p>
              </w:tc>
              <w:tc>
                <w:tcPr>
                  <w:tcW w:w="390" w:type="pct"/>
                  <w:vMerge w:val="continue"/>
                  <w:noWrap w:val="0"/>
                  <w:vAlign w:val="center"/>
                </w:tcPr>
                <w:p w14:paraId="11A299E2">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98" w:type="pct"/>
                  <w:noWrap w:val="0"/>
                  <w:vAlign w:val="center"/>
                </w:tcPr>
                <w:p w14:paraId="09AC133C">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98" w:type="pct"/>
                  <w:noWrap w:val="0"/>
                  <w:vAlign w:val="center"/>
                </w:tcPr>
                <w:p w14:paraId="2411FD64">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223" w:type="pct"/>
                  <w:noWrap w:val="0"/>
                  <w:vAlign w:val="center"/>
                </w:tcPr>
                <w:p w14:paraId="6C11A09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50" w:type="pct"/>
                  <w:noWrap w:val="0"/>
                  <w:vAlign w:val="center"/>
                </w:tcPr>
                <w:p w14:paraId="5E75B2B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260" w:type="pct"/>
                  <w:noWrap w:val="0"/>
                  <w:vAlign w:val="bottom"/>
                </w:tcPr>
                <w:p w14:paraId="15136F68">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71.02</w:t>
                  </w:r>
                </w:p>
              </w:tc>
              <w:tc>
                <w:tcPr>
                  <w:tcW w:w="190" w:type="pct"/>
                  <w:shd w:val="clear" w:color="auto" w:fill="auto"/>
                  <w:noWrap w:val="0"/>
                  <w:vAlign w:val="center"/>
                </w:tcPr>
                <w:p w14:paraId="5A35578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350" w:type="pct"/>
                  <w:shd w:val="clear" w:color="auto" w:fill="auto"/>
                  <w:noWrap w:val="0"/>
                  <w:vAlign w:val="center"/>
                </w:tcPr>
                <w:p w14:paraId="5ECAFFD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350" w:type="pct"/>
                  <w:noWrap w:val="0"/>
                  <w:vAlign w:val="bottom"/>
                </w:tcPr>
                <w:p w14:paraId="36565BE7">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46.02</w:t>
                  </w:r>
                </w:p>
              </w:tc>
              <w:tc>
                <w:tcPr>
                  <w:tcW w:w="379" w:type="pct"/>
                  <w:noWrap w:val="0"/>
                  <w:vAlign w:val="center"/>
                </w:tcPr>
                <w:p w14:paraId="28ED598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r>
          </w:tbl>
          <w:p w14:paraId="514511A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30  </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主要噪声污染源一览表（室外声源）</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05"/>
              <w:gridCol w:w="1493"/>
              <w:gridCol w:w="974"/>
              <w:gridCol w:w="1244"/>
              <w:gridCol w:w="1244"/>
              <w:gridCol w:w="1257"/>
              <w:gridCol w:w="2038"/>
              <w:gridCol w:w="2104"/>
              <w:gridCol w:w="2065"/>
            </w:tblGrid>
            <w:tr w14:paraId="51BF73E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vMerge w:val="restart"/>
                  <w:tcBorders>
                    <w:tl2br w:val="nil"/>
                    <w:tr2bl w:val="nil"/>
                  </w:tcBorders>
                  <w:vAlign w:val="center"/>
                </w:tcPr>
                <w:p w14:paraId="6E1BB2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564" w:type="pct"/>
                  <w:vMerge w:val="restart"/>
                  <w:tcBorders>
                    <w:tl2br w:val="nil"/>
                    <w:tr2bl w:val="nil"/>
                  </w:tcBorders>
                  <w:vAlign w:val="center"/>
                </w:tcPr>
                <w:p w14:paraId="4F9EA9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声源名称</w:t>
                  </w:r>
                </w:p>
              </w:tc>
              <w:tc>
                <w:tcPr>
                  <w:tcW w:w="368" w:type="pct"/>
                  <w:vMerge w:val="restart"/>
                  <w:tcBorders>
                    <w:tl2br w:val="nil"/>
                    <w:tr2bl w:val="nil"/>
                  </w:tcBorders>
                  <w:vAlign w:val="center"/>
                </w:tcPr>
                <w:p w14:paraId="508AA1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数量</w:t>
                  </w:r>
                </w:p>
              </w:tc>
              <w:tc>
                <w:tcPr>
                  <w:tcW w:w="1415" w:type="pct"/>
                  <w:gridSpan w:val="3"/>
                  <w:tcBorders>
                    <w:tl2br w:val="nil"/>
                    <w:tr2bl w:val="nil"/>
                  </w:tcBorders>
                  <w:vAlign w:val="center"/>
                </w:tcPr>
                <w:p w14:paraId="3B62B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空间相对位置/m</w:t>
                  </w:r>
                </w:p>
              </w:tc>
              <w:tc>
                <w:tcPr>
                  <w:tcW w:w="770" w:type="pct"/>
                  <w:vMerge w:val="restart"/>
                  <w:tcBorders>
                    <w:tl2br w:val="nil"/>
                    <w:tr2bl w:val="nil"/>
                  </w:tcBorders>
                  <w:vAlign w:val="center"/>
                </w:tcPr>
                <w:p w14:paraId="0D40AE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单台声功率级dB（A）</w:t>
                  </w:r>
                </w:p>
              </w:tc>
              <w:tc>
                <w:tcPr>
                  <w:tcW w:w="795" w:type="pct"/>
                  <w:vMerge w:val="restart"/>
                  <w:tcBorders>
                    <w:tl2br w:val="nil"/>
                    <w:tr2bl w:val="nil"/>
                  </w:tcBorders>
                  <w:vAlign w:val="center"/>
                </w:tcPr>
                <w:p w14:paraId="703768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声源控制</w:t>
                  </w:r>
                </w:p>
                <w:p w14:paraId="32D964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措施</w:t>
                  </w:r>
                </w:p>
              </w:tc>
              <w:tc>
                <w:tcPr>
                  <w:tcW w:w="780" w:type="pct"/>
                  <w:vMerge w:val="restart"/>
                  <w:tcBorders>
                    <w:tl2br w:val="nil"/>
                    <w:tr2bl w:val="nil"/>
                  </w:tcBorders>
                  <w:vAlign w:val="center"/>
                </w:tcPr>
                <w:p w14:paraId="15A1C1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运行时段</w:t>
                  </w:r>
                </w:p>
              </w:tc>
            </w:tr>
            <w:tr w14:paraId="4B4E30F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vMerge w:val="continue"/>
                  <w:tcBorders>
                    <w:tl2br w:val="nil"/>
                    <w:tr2bl w:val="nil"/>
                  </w:tcBorders>
                  <w:vAlign w:val="center"/>
                </w:tcPr>
                <w:p w14:paraId="53FCD8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64" w:type="pct"/>
                  <w:vMerge w:val="continue"/>
                  <w:tcBorders>
                    <w:tl2br w:val="nil"/>
                    <w:tr2bl w:val="nil"/>
                  </w:tcBorders>
                  <w:vAlign w:val="center"/>
                </w:tcPr>
                <w:p w14:paraId="6A8607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368" w:type="pct"/>
                  <w:vMerge w:val="continue"/>
                  <w:tcBorders>
                    <w:tl2br w:val="nil"/>
                    <w:tr2bl w:val="nil"/>
                  </w:tcBorders>
                  <w:vAlign w:val="center"/>
                </w:tcPr>
                <w:p w14:paraId="2D86BB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470" w:type="pct"/>
                  <w:tcBorders>
                    <w:tl2br w:val="nil"/>
                    <w:tr2bl w:val="nil"/>
                  </w:tcBorders>
                  <w:vAlign w:val="center"/>
                </w:tcPr>
                <w:p w14:paraId="1D3324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X</w:t>
                  </w:r>
                </w:p>
              </w:tc>
              <w:tc>
                <w:tcPr>
                  <w:tcW w:w="470" w:type="pct"/>
                  <w:tcBorders>
                    <w:tl2br w:val="nil"/>
                    <w:tr2bl w:val="nil"/>
                  </w:tcBorders>
                  <w:vAlign w:val="center"/>
                </w:tcPr>
                <w:p w14:paraId="7C5FFD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Y</w:t>
                  </w:r>
                </w:p>
              </w:tc>
              <w:tc>
                <w:tcPr>
                  <w:tcW w:w="475" w:type="pct"/>
                  <w:tcBorders>
                    <w:tl2br w:val="nil"/>
                    <w:tr2bl w:val="nil"/>
                  </w:tcBorders>
                  <w:vAlign w:val="center"/>
                </w:tcPr>
                <w:p w14:paraId="5ADDB5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Z</w:t>
                  </w:r>
                </w:p>
              </w:tc>
              <w:tc>
                <w:tcPr>
                  <w:tcW w:w="770" w:type="pct"/>
                  <w:vMerge w:val="continue"/>
                  <w:tcBorders>
                    <w:tl2br w:val="nil"/>
                    <w:tr2bl w:val="nil"/>
                  </w:tcBorders>
                  <w:vAlign w:val="center"/>
                </w:tcPr>
                <w:p w14:paraId="203466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795" w:type="pct"/>
                  <w:vMerge w:val="continue"/>
                  <w:tcBorders>
                    <w:tl2br w:val="nil"/>
                    <w:tr2bl w:val="nil"/>
                  </w:tcBorders>
                  <w:vAlign w:val="center"/>
                </w:tcPr>
                <w:p w14:paraId="53D2BF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780" w:type="pct"/>
                  <w:vMerge w:val="continue"/>
                  <w:tcBorders>
                    <w:tl2br w:val="nil"/>
                    <w:tr2bl w:val="nil"/>
                  </w:tcBorders>
                  <w:vAlign w:val="center"/>
                </w:tcPr>
                <w:p w14:paraId="4D3498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tc>
            </w:tr>
            <w:tr w14:paraId="6AB7C28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tcBorders>
                    <w:tl2br w:val="nil"/>
                    <w:tr2bl w:val="nil"/>
                  </w:tcBorders>
                  <w:vAlign w:val="center"/>
                </w:tcPr>
                <w:p w14:paraId="3CDEA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564" w:type="pct"/>
                  <w:tcBorders>
                    <w:tl2br w:val="nil"/>
                    <w:tr2bl w:val="nil"/>
                  </w:tcBorders>
                  <w:vAlign w:val="center"/>
                </w:tcPr>
                <w:p w14:paraId="773543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风机</w:t>
                  </w:r>
                </w:p>
              </w:tc>
              <w:tc>
                <w:tcPr>
                  <w:tcW w:w="368" w:type="pct"/>
                  <w:tcBorders>
                    <w:tl2br w:val="nil"/>
                    <w:tr2bl w:val="nil"/>
                  </w:tcBorders>
                  <w:vAlign w:val="center"/>
                </w:tcPr>
                <w:p w14:paraId="1F3D5C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470" w:type="pct"/>
                  <w:tcBorders>
                    <w:tl2br w:val="nil"/>
                    <w:tr2bl w:val="nil"/>
                  </w:tcBorders>
                  <w:vAlign w:val="center"/>
                </w:tcPr>
                <w:p w14:paraId="7CE97D9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15</w:t>
                  </w:r>
                </w:p>
              </w:tc>
              <w:tc>
                <w:tcPr>
                  <w:tcW w:w="470" w:type="pct"/>
                  <w:tcBorders>
                    <w:tl2br w:val="nil"/>
                    <w:tr2bl w:val="nil"/>
                  </w:tcBorders>
                  <w:vAlign w:val="center"/>
                </w:tcPr>
                <w:p w14:paraId="51A467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25</w:t>
                  </w:r>
                </w:p>
              </w:tc>
              <w:tc>
                <w:tcPr>
                  <w:tcW w:w="475" w:type="pct"/>
                  <w:tcBorders>
                    <w:tl2br w:val="nil"/>
                    <w:tr2bl w:val="nil"/>
                  </w:tcBorders>
                  <w:vAlign w:val="center"/>
                </w:tcPr>
                <w:p w14:paraId="4886D3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770" w:type="pct"/>
                  <w:tcBorders>
                    <w:tl2br w:val="nil"/>
                    <w:tr2bl w:val="nil"/>
                  </w:tcBorders>
                  <w:vAlign w:val="center"/>
                </w:tcPr>
                <w:p w14:paraId="2DE83F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85</w:t>
                  </w:r>
                </w:p>
              </w:tc>
              <w:tc>
                <w:tcPr>
                  <w:tcW w:w="795" w:type="pct"/>
                  <w:tcBorders>
                    <w:tl2br w:val="nil"/>
                    <w:tr2bl w:val="nil"/>
                  </w:tcBorders>
                  <w:vAlign w:val="center"/>
                </w:tcPr>
                <w:p w14:paraId="1F64C4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0"/>
                      <w14:textFill>
                        <w14:solidFill>
                          <w14:schemeClr w14:val="tx1"/>
                        </w14:solidFill>
                      </w14:textFill>
                    </w:rPr>
                    <w:t>减振、隔音</w:t>
                  </w:r>
                </w:p>
              </w:tc>
              <w:tc>
                <w:tcPr>
                  <w:tcW w:w="780" w:type="pct"/>
                  <w:tcBorders>
                    <w:tl2br w:val="nil"/>
                    <w:tr2bl w:val="nil"/>
                  </w:tcBorders>
                  <w:vAlign w:val="center"/>
                </w:tcPr>
                <w:p w14:paraId="49C356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工作时</w:t>
                  </w:r>
                </w:p>
              </w:tc>
            </w:tr>
            <w:tr w14:paraId="69A2C30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tcBorders>
                    <w:tl2br w:val="nil"/>
                    <w:tr2bl w:val="nil"/>
                  </w:tcBorders>
                  <w:vAlign w:val="center"/>
                </w:tcPr>
                <w:p w14:paraId="5C9A877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564" w:type="pct"/>
                  <w:tcBorders>
                    <w:tl2br w:val="nil"/>
                    <w:tr2bl w:val="nil"/>
                  </w:tcBorders>
                  <w:vAlign w:val="center"/>
                </w:tcPr>
                <w:p w14:paraId="084C44E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水泵</w:t>
                  </w:r>
                </w:p>
              </w:tc>
              <w:tc>
                <w:tcPr>
                  <w:tcW w:w="368" w:type="pct"/>
                  <w:tcBorders>
                    <w:tl2br w:val="nil"/>
                    <w:tr2bl w:val="nil"/>
                  </w:tcBorders>
                  <w:vAlign w:val="center"/>
                </w:tcPr>
                <w:p w14:paraId="6EEF0E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470" w:type="pct"/>
                  <w:tcBorders>
                    <w:tl2br w:val="nil"/>
                    <w:tr2bl w:val="nil"/>
                  </w:tcBorders>
                  <w:vAlign w:val="center"/>
                </w:tcPr>
                <w:p w14:paraId="3E9DD5A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25</w:t>
                  </w:r>
                </w:p>
              </w:tc>
              <w:tc>
                <w:tcPr>
                  <w:tcW w:w="470" w:type="pct"/>
                  <w:tcBorders>
                    <w:tl2br w:val="nil"/>
                    <w:tr2bl w:val="nil"/>
                  </w:tcBorders>
                  <w:vAlign w:val="center"/>
                </w:tcPr>
                <w:p w14:paraId="16341B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10</w:t>
                  </w:r>
                </w:p>
              </w:tc>
              <w:tc>
                <w:tcPr>
                  <w:tcW w:w="475" w:type="pct"/>
                  <w:tcBorders>
                    <w:tl2br w:val="nil"/>
                    <w:tr2bl w:val="nil"/>
                  </w:tcBorders>
                  <w:vAlign w:val="center"/>
                </w:tcPr>
                <w:p w14:paraId="3D0B61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770" w:type="pct"/>
                  <w:tcBorders>
                    <w:tl2br w:val="nil"/>
                    <w:tr2bl w:val="nil"/>
                  </w:tcBorders>
                  <w:shd w:val="clear" w:color="auto" w:fill="auto"/>
                  <w:vAlign w:val="center"/>
                </w:tcPr>
                <w:p w14:paraId="2B6E98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85</w:t>
                  </w:r>
                </w:p>
              </w:tc>
              <w:tc>
                <w:tcPr>
                  <w:tcW w:w="795" w:type="pct"/>
                  <w:tcBorders>
                    <w:tl2br w:val="nil"/>
                    <w:tr2bl w:val="nil"/>
                  </w:tcBorders>
                  <w:shd w:val="clear" w:color="auto" w:fill="auto"/>
                  <w:vAlign w:val="center"/>
                </w:tcPr>
                <w:p w14:paraId="7A514BB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0"/>
                      <w14:textFill>
                        <w14:solidFill>
                          <w14:schemeClr w14:val="tx1"/>
                        </w14:solidFill>
                      </w14:textFill>
                    </w:rPr>
                    <w:t>减振、隔音</w:t>
                  </w:r>
                </w:p>
              </w:tc>
              <w:tc>
                <w:tcPr>
                  <w:tcW w:w="780" w:type="pct"/>
                  <w:tcBorders>
                    <w:tl2br w:val="nil"/>
                    <w:tr2bl w:val="nil"/>
                  </w:tcBorders>
                  <w:shd w:val="clear" w:color="auto" w:fill="auto"/>
                  <w:vAlign w:val="center"/>
                </w:tcPr>
                <w:p w14:paraId="4D1F6A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工作时</w:t>
                  </w:r>
                </w:p>
              </w:tc>
            </w:tr>
          </w:tbl>
          <w:p w14:paraId="17186E0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注：表4-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及表4-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中空间相对坐标以车间西南角为原点（0，0，0），东西方向为X轴，南北方向为Y轴，垂直方向为Z轴。</w:t>
            </w:r>
          </w:p>
          <w:p w14:paraId="1D5EF321">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p>
        </w:tc>
      </w:tr>
    </w:tbl>
    <w:p w14:paraId="5A00779C">
      <w:pPr>
        <w:rPr>
          <w:rFonts w:hint="default" w:ascii="Times New Roman" w:hAnsi="Times New Roman" w:cs="Times New Roman"/>
          <w:color w:val="000000" w:themeColor="text1"/>
          <w14:textFill>
            <w14:solidFill>
              <w14:schemeClr w14:val="tx1"/>
            </w14:solidFill>
          </w14:textFill>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879"/>
      </w:tblGrid>
      <w:tr w14:paraId="39F1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 w:type="pct"/>
            <w:vAlign w:val="center"/>
          </w:tcPr>
          <w:p w14:paraId="2BD627DC">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运营期环境影响和保护措施</w:t>
            </w:r>
          </w:p>
        </w:tc>
        <w:tc>
          <w:tcPr>
            <w:tcW w:w="4780" w:type="pct"/>
          </w:tcPr>
          <w:p w14:paraId="56C7338B">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2、降噪措施</w:t>
            </w:r>
          </w:p>
          <w:p w14:paraId="2021FE9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①企业在选购设备时购置符合国家颁布的各类机械噪声标准的低噪声设备，保证运行时能符合工业企业车间噪声卫生标准，同时能保证达到厂界噪声控制值。</w:t>
            </w:r>
          </w:p>
          <w:p w14:paraId="5BEA612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②针对较大的设备噪声源，可通过设备安装减振座、加设减振垫等方式来进行减振处理。</w:t>
            </w:r>
          </w:p>
          <w:p w14:paraId="7C53866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③对产生的机械撞击性噪声采用性能好的隔声门窗将噪声封隔起来，以减少噪声的传播，设置隔声控制室，将操作人员与噪声源分离开等。</w:t>
            </w:r>
          </w:p>
          <w:p w14:paraId="5E28E6C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④在噪声传播途径上采取措施加以控制，如强噪声源车间的建筑围护结构均以封闭为主，同时采取车间外及厂界的绿化，利用建筑物与树木阻隔声音的传播。</w:t>
            </w:r>
          </w:p>
          <w:p w14:paraId="6874722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⑤保持设备处于良好的运转状态，防止因设备运转不正常而增大噪声，要经常进行保养，加润滑油，减少摩擦力，降低噪声。</w:t>
            </w:r>
          </w:p>
          <w:p w14:paraId="4382B462">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3、达标情况分析</w:t>
            </w:r>
          </w:p>
          <w:p w14:paraId="16E25C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项目区运营期噪声源主要为设备噪声，根据有关资料和类比调查，这些机械设备的单机噪声在80~90dB(A)之间。依据《环境影响评价技术导则—声环境》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HJ2.4-2021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中的数学模型，选用点声源噪声发散衰减模式预测项目厂界噪声的达标情况。预测模式如下：</w:t>
            </w:r>
          </w:p>
          <w:p w14:paraId="1B2650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a.噪声贡献值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eqg</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计算公式为：</w:t>
            </w:r>
          </w:p>
          <w:p w14:paraId="1DE849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drawing>
                <wp:inline distT="0" distB="0" distL="114300" distR="114300">
                  <wp:extent cx="2256155" cy="531495"/>
                  <wp:effectExtent l="0" t="0" r="1460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2256155" cy="531495"/>
                          </a:xfrm>
                          <a:prstGeom prst="rect">
                            <a:avLst/>
                          </a:prstGeom>
                          <a:noFill/>
                          <a:ln>
                            <a:noFill/>
                          </a:ln>
                        </pic:spPr>
                      </pic:pic>
                    </a:graphicData>
                  </a:graphic>
                </wp:inline>
              </w:drawing>
            </w:r>
          </w:p>
          <w:p w14:paraId="2B1A2A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aqg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——噪声贡献值，dB；</w:t>
            </w:r>
          </w:p>
          <w:p w14:paraId="75A1ED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T——预测计算的时间段，s；</w:t>
            </w:r>
          </w:p>
          <w:p w14:paraId="3CDAE0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——i声源在T时间段内的运行时间，s；</w:t>
            </w:r>
          </w:p>
          <w:p w14:paraId="6CBB86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LAi——i声源在预测点产生的等效连续A声级，dB。</w:t>
            </w:r>
          </w:p>
          <w:p w14:paraId="6DEFA8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b.无指向性点声源几何发散衰减的基本公式：</w:t>
            </w:r>
          </w:p>
          <w:p w14:paraId="3DFBC7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drawing>
                <wp:inline distT="0" distB="0" distL="114300" distR="114300">
                  <wp:extent cx="1917065" cy="400685"/>
                  <wp:effectExtent l="0" t="0" r="3175"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2"/>
                          <a:stretch>
                            <a:fillRect/>
                          </a:stretch>
                        </pic:blipFill>
                        <pic:spPr>
                          <a:xfrm>
                            <a:off x="0" y="0"/>
                            <a:ext cx="1917065" cy="400685"/>
                          </a:xfrm>
                          <a:prstGeom prst="rect">
                            <a:avLst/>
                          </a:prstGeom>
                          <a:noFill/>
                          <a:ln>
                            <a:noFill/>
                          </a:ln>
                        </pic:spPr>
                      </pic:pic>
                    </a:graphicData>
                  </a:graphic>
                </wp:inline>
              </w:drawing>
            </w:r>
          </w:p>
          <w:p w14:paraId="1D2AD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式中：LP(r)——预测点声压级，dB(A)；</w:t>
            </w:r>
          </w:p>
          <w:p w14:paraId="1E3A13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LP(r0)——噪声源声压级，dB(A)；</w:t>
            </w:r>
          </w:p>
          <w:p w14:paraId="7A8288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r——预测点离噪声源的距离，m。</w:t>
            </w:r>
          </w:p>
          <w:p w14:paraId="0435F3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考虑到厂房、车间窗隔声约25dB(A)，因此本次预测按照降低后的声源强度进行。</w:t>
            </w:r>
          </w:p>
          <w:p w14:paraId="2D6139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c.噪声预测值</w:t>
            </w:r>
          </w:p>
          <w:p w14:paraId="6F80CA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预测点的贡献值和背景值按能量叠加方法计算得到的声级。</w:t>
            </w:r>
          </w:p>
          <w:p w14:paraId="43930A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噪声预测值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Leq</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计算公式为：</w:t>
            </w:r>
          </w:p>
          <w:p w14:paraId="0435D4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drawing>
                <wp:inline distT="0" distB="0" distL="114300" distR="114300">
                  <wp:extent cx="2271395" cy="428625"/>
                  <wp:effectExtent l="0" t="0" r="14605" b="133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3"/>
                          <a:stretch>
                            <a:fillRect/>
                          </a:stretch>
                        </pic:blipFill>
                        <pic:spPr>
                          <a:xfrm>
                            <a:off x="0" y="0"/>
                            <a:ext cx="2271395" cy="428625"/>
                          </a:xfrm>
                          <a:prstGeom prst="rect">
                            <a:avLst/>
                          </a:prstGeom>
                          <a:noFill/>
                          <a:ln>
                            <a:noFill/>
                          </a:ln>
                        </pic:spPr>
                      </pic:pic>
                    </a:graphicData>
                  </a:graphic>
                </wp:inline>
              </w:drawing>
            </w:r>
          </w:p>
          <w:p w14:paraId="466C47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eq</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——预测点噪声预测值，dB(A)；</w:t>
            </w:r>
          </w:p>
          <w:p w14:paraId="10196E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eqg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——建设项目声源在预测点产生的噪声贡献值，dB(A)；</w:t>
            </w:r>
          </w:p>
          <w:p w14:paraId="4EC305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eqb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——预测点的背景噪声值，dB(A)。</w:t>
            </w:r>
          </w:p>
          <w:p w14:paraId="17A753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d.计算结果</w:t>
            </w:r>
          </w:p>
          <w:p w14:paraId="693575EA">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按上述预测模式，项目厂界噪声的达标情况见下表。</w:t>
            </w:r>
          </w:p>
          <w:p w14:paraId="03A3E7C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本项目生产制度为一班制，夜间不生产，故本次评价对东、南、西、北厂界进行昼间噪声的影响预测。</w:t>
            </w:r>
            <w:r>
              <w:rPr>
                <w:rFonts w:hint="default" w:ascii="Times New Roman" w:hAnsi="Times New Roman" w:eastAsia="宋体" w:cs="Times New Roman"/>
                <w:color w:val="000000" w:themeColor="text1"/>
                <w:sz w:val="24"/>
                <w14:textFill>
                  <w14:solidFill>
                    <w14:schemeClr w14:val="tx1"/>
                  </w14:solidFill>
                </w14:textFill>
              </w:rPr>
              <w:t>根据企业提供的噪声设备分布情况，</w:t>
            </w:r>
            <w:r>
              <w:rPr>
                <w:rFonts w:hint="default" w:ascii="Times New Roman" w:hAnsi="Times New Roman" w:eastAsia="宋体" w:cs="Times New Roman"/>
                <w:color w:val="000000" w:themeColor="text1"/>
                <w:sz w:val="24"/>
                <w:lang w:val="en-US" w:eastAsia="zh-CN"/>
                <w14:textFill>
                  <w14:solidFill>
                    <w14:schemeClr w14:val="tx1"/>
                  </w14:solidFill>
                </w14:textFill>
              </w:rPr>
              <w:t>噪声源对厂界噪声的影响预测结果见下表。</w:t>
            </w:r>
          </w:p>
          <w:p w14:paraId="35AD74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本项目各厂界昼间噪声预测结果dB（A）</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88"/>
              <w:gridCol w:w="2890"/>
            </w:tblGrid>
            <w:tr w14:paraId="3AF82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vAlign w:val="center"/>
                </w:tcPr>
                <w:p w14:paraId="7C0CDA8E">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目标</w:t>
                  </w:r>
                </w:p>
              </w:tc>
              <w:tc>
                <w:tcPr>
                  <w:tcW w:w="1667" w:type="pct"/>
                  <w:tcBorders>
                    <w:tl2br w:val="nil"/>
                    <w:tr2bl w:val="nil"/>
                  </w:tcBorders>
                  <w:vAlign w:val="center"/>
                </w:tcPr>
                <w:p w14:paraId="1F278507">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昼间</w:t>
                  </w:r>
                  <w:r>
                    <w:rPr>
                      <w:rFonts w:hint="default" w:ascii="Times New Roman" w:hAnsi="Times New Roman" w:eastAsia="宋体" w:cs="Times New Roman"/>
                      <w:b/>
                      <w:color w:val="000000" w:themeColor="text1"/>
                      <w:szCs w:val="21"/>
                      <w:lang w:val="en-US" w:eastAsia="zh-CN"/>
                      <w14:textFill>
                        <w14:solidFill>
                          <w14:schemeClr w14:val="tx1"/>
                        </w14:solidFill>
                      </w14:textFill>
                    </w:rPr>
                    <w:t>噪声</w:t>
                  </w:r>
                  <w:r>
                    <w:rPr>
                      <w:rFonts w:hint="default" w:ascii="Times New Roman" w:hAnsi="Times New Roman" w:eastAsia="宋体" w:cs="Times New Roman"/>
                      <w:b/>
                      <w:color w:val="000000" w:themeColor="text1"/>
                      <w:szCs w:val="21"/>
                      <w14:textFill>
                        <w14:solidFill>
                          <w14:schemeClr w14:val="tx1"/>
                        </w14:solidFill>
                      </w14:textFill>
                    </w:rPr>
                    <w:t>贡献值</w:t>
                  </w:r>
                </w:p>
              </w:tc>
              <w:tc>
                <w:tcPr>
                  <w:tcW w:w="1668" w:type="pct"/>
                  <w:tcBorders>
                    <w:tl2br w:val="nil"/>
                    <w:tr2bl w:val="nil"/>
                  </w:tcBorders>
                  <w:vAlign w:val="center"/>
                </w:tcPr>
                <w:p w14:paraId="5B97FDC5">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标准</w:t>
                  </w:r>
                  <w:r>
                    <w:rPr>
                      <w:rFonts w:hint="default" w:ascii="Times New Roman" w:hAnsi="Times New Roman" w:eastAsia="宋体" w:cs="Times New Roman"/>
                      <w:b/>
                      <w:color w:val="000000" w:themeColor="text1"/>
                      <w:szCs w:val="21"/>
                      <w:lang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昼间</w:t>
                  </w:r>
                  <w:r>
                    <w:rPr>
                      <w:rFonts w:hint="default" w:ascii="Times New Roman" w:hAnsi="Times New Roman" w:eastAsia="宋体" w:cs="Times New Roman"/>
                      <w:b/>
                      <w:color w:val="000000" w:themeColor="text1"/>
                      <w:szCs w:val="21"/>
                      <w:lang w:eastAsia="zh-CN"/>
                      <w14:textFill>
                        <w14:solidFill>
                          <w14:schemeClr w14:val="tx1"/>
                        </w14:solidFill>
                      </w14:textFill>
                    </w:rPr>
                    <w:t>）</w:t>
                  </w:r>
                </w:p>
              </w:tc>
            </w:tr>
            <w:tr w14:paraId="78871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vAlign w:val="center"/>
                </w:tcPr>
                <w:p w14:paraId="50972659">
                  <w:pPr>
                    <w:spacing w:line="300" w:lineRule="exact"/>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东厂界</w:t>
                  </w:r>
                </w:p>
              </w:tc>
              <w:tc>
                <w:tcPr>
                  <w:tcW w:w="1667" w:type="pct"/>
                  <w:tcBorders>
                    <w:tl2br w:val="nil"/>
                    <w:tr2bl w:val="nil"/>
                  </w:tcBorders>
                  <w:vAlign w:val="center"/>
                </w:tcPr>
                <w:p w14:paraId="3CB555CE">
                  <w:pPr>
                    <w:pStyle w:val="4"/>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49.1</w:t>
                  </w:r>
                </w:p>
              </w:tc>
              <w:tc>
                <w:tcPr>
                  <w:tcW w:w="1668" w:type="pct"/>
                  <w:tcBorders>
                    <w:tl2br w:val="nil"/>
                    <w:tr2bl w:val="nil"/>
                  </w:tcBorders>
                  <w:vAlign w:val="center"/>
                </w:tcPr>
                <w:p w14:paraId="11D9504E">
                  <w:pPr>
                    <w:pStyle w:val="4"/>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r>
            <w:tr w14:paraId="61ADE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vAlign w:val="center"/>
                </w:tcPr>
                <w:p w14:paraId="61F44F86">
                  <w:pPr>
                    <w:spacing w:line="300" w:lineRule="exact"/>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南厂界</w:t>
                  </w:r>
                </w:p>
              </w:tc>
              <w:tc>
                <w:tcPr>
                  <w:tcW w:w="1667" w:type="pct"/>
                  <w:tcBorders>
                    <w:tl2br w:val="nil"/>
                    <w:tr2bl w:val="nil"/>
                  </w:tcBorders>
                  <w:vAlign w:val="center"/>
                </w:tcPr>
                <w:p w14:paraId="01AA40B4">
                  <w:pPr>
                    <w:pStyle w:val="4"/>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54.1</w:t>
                  </w:r>
                </w:p>
              </w:tc>
              <w:tc>
                <w:tcPr>
                  <w:tcW w:w="1668" w:type="pct"/>
                  <w:tcBorders>
                    <w:tl2br w:val="nil"/>
                    <w:tr2bl w:val="nil"/>
                  </w:tcBorders>
                  <w:vAlign w:val="center"/>
                </w:tcPr>
                <w:p w14:paraId="4BAF9D6D">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r>
            <w:tr w14:paraId="7AC21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vAlign w:val="center"/>
                </w:tcPr>
                <w:p w14:paraId="602FE63B">
                  <w:pPr>
                    <w:spacing w:line="300" w:lineRule="exact"/>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西厂界</w:t>
                  </w:r>
                </w:p>
              </w:tc>
              <w:tc>
                <w:tcPr>
                  <w:tcW w:w="1667" w:type="pct"/>
                  <w:tcBorders>
                    <w:tl2br w:val="nil"/>
                    <w:tr2bl w:val="nil"/>
                  </w:tcBorders>
                  <w:vAlign w:val="center"/>
                </w:tcPr>
                <w:p w14:paraId="1F0FC114">
                  <w:pPr>
                    <w:pStyle w:val="4"/>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52.5</w:t>
                  </w:r>
                </w:p>
              </w:tc>
              <w:tc>
                <w:tcPr>
                  <w:tcW w:w="1668" w:type="pct"/>
                  <w:tcBorders>
                    <w:tl2br w:val="nil"/>
                    <w:tr2bl w:val="nil"/>
                  </w:tcBorders>
                  <w:vAlign w:val="center"/>
                </w:tcPr>
                <w:p w14:paraId="410BE0DC">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r>
            <w:tr w14:paraId="2D345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vAlign w:val="center"/>
                </w:tcPr>
                <w:p w14:paraId="64E96097">
                  <w:pPr>
                    <w:spacing w:line="300" w:lineRule="exact"/>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北厂界</w:t>
                  </w:r>
                </w:p>
              </w:tc>
              <w:tc>
                <w:tcPr>
                  <w:tcW w:w="1667" w:type="pct"/>
                  <w:tcBorders>
                    <w:tl2br w:val="nil"/>
                    <w:tr2bl w:val="nil"/>
                  </w:tcBorders>
                  <w:vAlign w:val="center"/>
                </w:tcPr>
                <w:p w14:paraId="1E44CEF1">
                  <w:pPr>
                    <w:pStyle w:val="4"/>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54.9</w:t>
                  </w:r>
                </w:p>
              </w:tc>
              <w:tc>
                <w:tcPr>
                  <w:tcW w:w="1668" w:type="pct"/>
                  <w:tcBorders>
                    <w:tl2br w:val="nil"/>
                    <w:tr2bl w:val="nil"/>
                  </w:tcBorders>
                  <w:vAlign w:val="center"/>
                </w:tcPr>
                <w:p w14:paraId="0600DA97">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r>
          </w:tbl>
          <w:p w14:paraId="0B71314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由上表可知，本项目经过减振、隔音等降噪措施后，东、南、西</w:t>
            </w:r>
            <w:r>
              <w:rPr>
                <w:rFonts w:hint="eastAsia" w:ascii="Times New Roman" w:hAnsi="Times New Roman" w:eastAsia="宋体" w:cs="Times New Roman"/>
                <w:bCs/>
                <w:color w:val="000000" w:themeColor="text1"/>
                <w:sz w:val="24"/>
                <w:lang w:val="en-US" w:eastAsia="zh-CN"/>
                <w14:textFill>
                  <w14:solidFill>
                    <w14:schemeClr w14:val="tx1"/>
                  </w14:solidFill>
                </w14:textFill>
              </w:rPr>
              <w:t>、北</w:t>
            </w:r>
            <w:r>
              <w:rPr>
                <w:rFonts w:hint="default" w:ascii="Times New Roman" w:hAnsi="Times New Roman" w:eastAsia="宋体" w:cs="Times New Roman"/>
                <w:bCs/>
                <w:color w:val="000000" w:themeColor="text1"/>
                <w:sz w:val="24"/>
                <w:lang w:val="en-US" w:eastAsia="zh-CN"/>
                <w14:textFill>
                  <w14:solidFill>
                    <w14:schemeClr w14:val="tx1"/>
                  </w14:solidFill>
                </w14:textFill>
              </w:rPr>
              <w:t>厂界昼间噪声贡献值均符合《工业企业</w:t>
            </w:r>
            <w:r>
              <w:rPr>
                <w:rFonts w:hint="eastAsia" w:ascii="Times New Roman" w:hAnsi="Times New Roman" w:eastAsia="宋体" w:cs="Times New Roman"/>
                <w:bCs/>
                <w:color w:val="000000" w:themeColor="text1"/>
                <w:sz w:val="24"/>
                <w:lang w:val="en-US" w:eastAsia="zh-CN"/>
                <w14:textFill>
                  <w14:solidFill>
                    <w14:schemeClr w14:val="tx1"/>
                  </w14:solidFill>
                </w14:textFill>
              </w:rPr>
              <w:t>厂界</w:t>
            </w:r>
            <w:r>
              <w:rPr>
                <w:rFonts w:hint="default" w:ascii="Times New Roman" w:hAnsi="Times New Roman" w:eastAsia="宋体" w:cs="Times New Roman"/>
                <w:bCs/>
                <w:color w:val="000000" w:themeColor="text1"/>
                <w:sz w:val="24"/>
                <w:lang w:val="en-US" w:eastAsia="zh-CN"/>
                <w14:textFill>
                  <w14:solidFill>
                    <w14:schemeClr w14:val="tx1"/>
                  </w14:solidFill>
                </w14:textFill>
              </w:rPr>
              <w:t>环境噪声排放标准》（GB12348-20083）</w:t>
            </w:r>
            <w:r>
              <w:rPr>
                <w:rFonts w:hint="eastAsia" w:ascii="Times New Roman" w:hAnsi="Times New Roman" w:eastAsia="宋体" w:cs="Times New Roman"/>
                <w:bCs/>
                <w:color w:val="000000" w:themeColor="text1"/>
                <w:sz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lang w:val="en-US" w:eastAsia="zh-CN"/>
                <w14:textFill>
                  <w14:solidFill>
                    <w14:schemeClr w14:val="tx1"/>
                  </w14:solidFill>
                </w14:textFill>
              </w:rPr>
              <w:t>类标准。</w:t>
            </w:r>
          </w:p>
          <w:p w14:paraId="4B2E5130">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4、监测要求</w:t>
            </w:r>
          </w:p>
          <w:p w14:paraId="5C46965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监测点位：厂界四周布置4个点位。</w:t>
            </w:r>
          </w:p>
          <w:p w14:paraId="46C5E29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监测时段：昼间。</w:t>
            </w:r>
          </w:p>
          <w:p w14:paraId="5ADCD5C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监测频次：按《排污单位自行监测技术指南 总则》（HJ819-2017）要求，每季度监测一次。</w:t>
            </w:r>
          </w:p>
          <w:p w14:paraId="0A3148A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监测因子：厂界噪声昼间等效连续A声级Leq</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p>
          <w:p w14:paraId="6C68371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噪声监测位置、监测因子、频率等详见下表。</w:t>
            </w:r>
          </w:p>
          <w:p w14:paraId="3EAB479B">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-32</w:t>
            </w:r>
            <w:r>
              <w:rPr>
                <w:rFonts w:hint="default" w:ascii="Times New Roman" w:hAnsi="Times New Roman" w:eastAsia="宋体" w:cs="Times New Roman"/>
                <w:b/>
                <w:color w:val="000000" w:themeColor="text1"/>
                <w:sz w:val="24"/>
                <w14:textFill>
                  <w14:solidFill>
                    <w14:schemeClr w14:val="tx1"/>
                  </w14:solidFill>
                </w14:textFill>
              </w:rPr>
              <w:t xml:space="preserve">  运营期噪声监测计划表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3"/>
              <w:gridCol w:w="1383"/>
              <w:gridCol w:w="1258"/>
              <w:gridCol w:w="3253"/>
            </w:tblGrid>
            <w:tr w14:paraId="20C24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8" w:type="pct"/>
                  <w:tcBorders>
                    <w:tl2br w:val="nil"/>
                    <w:tr2bl w:val="nil"/>
                  </w:tcBorders>
                  <w:vAlign w:val="center"/>
                </w:tcPr>
                <w:p w14:paraId="7A8CBFE0">
                  <w:pPr>
                    <w:pStyle w:val="48"/>
                    <w:adjustRightInd/>
                    <w:snapToGrid/>
                    <w:spacing w:beforeLines="0" w:afterLines="0" w:line="240" w:lineRule="auto"/>
                    <w:ind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798" w:type="pct"/>
                  <w:tcBorders>
                    <w:tl2br w:val="nil"/>
                    <w:tr2bl w:val="nil"/>
                  </w:tcBorders>
                  <w:vAlign w:val="center"/>
                </w:tcPr>
                <w:p w14:paraId="5D83623C">
                  <w:pPr>
                    <w:pStyle w:val="48"/>
                    <w:adjustRightInd/>
                    <w:snapToGrid/>
                    <w:spacing w:beforeLines="0" w:afterLines="0" w:line="240" w:lineRule="auto"/>
                    <w:ind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监测时段</w:t>
                  </w:r>
                </w:p>
              </w:tc>
              <w:tc>
                <w:tcPr>
                  <w:tcW w:w="798" w:type="pct"/>
                  <w:tcBorders>
                    <w:tl2br w:val="nil"/>
                    <w:tr2bl w:val="nil"/>
                  </w:tcBorders>
                  <w:vAlign w:val="center"/>
                </w:tcPr>
                <w:p w14:paraId="7C779614">
                  <w:pPr>
                    <w:pStyle w:val="48"/>
                    <w:adjustRightInd/>
                    <w:snapToGrid/>
                    <w:spacing w:beforeLines="0" w:afterLines="0" w:line="240" w:lineRule="auto"/>
                    <w:ind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监测指标</w:t>
                  </w:r>
                </w:p>
              </w:tc>
              <w:tc>
                <w:tcPr>
                  <w:tcW w:w="726" w:type="pct"/>
                  <w:tcBorders>
                    <w:tl2br w:val="nil"/>
                    <w:tr2bl w:val="nil"/>
                  </w:tcBorders>
                  <w:vAlign w:val="center"/>
                </w:tcPr>
                <w:p w14:paraId="7DA7C95A">
                  <w:pPr>
                    <w:pStyle w:val="48"/>
                    <w:adjustRightInd/>
                    <w:snapToGrid/>
                    <w:spacing w:beforeLines="0" w:afterLines="0" w:line="240" w:lineRule="auto"/>
                    <w:ind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监测频率</w:t>
                  </w:r>
                </w:p>
              </w:tc>
              <w:tc>
                <w:tcPr>
                  <w:tcW w:w="1878" w:type="pct"/>
                  <w:tcBorders>
                    <w:tl2br w:val="nil"/>
                    <w:tr2bl w:val="nil"/>
                  </w:tcBorders>
                  <w:vAlign w:val="center"/>
                </w:tcPr>
                <w:p w14:paraId="2D33BF4E">
                  <w:pPr>
                    <w:pStyle w:val="48"/>
                    <w:adjustRightInd/>
                    <w:snapToGrid/>
                    <w:spacing w:beforeLines="0" w:afterLines="0" w:line="240" w:lineRule="auto"/>
                    <w:ind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执行排放标准</w:t>
                  </w:r>
                </w:p>
              </w:tc>
            </w:tr>
            <w:tr w14:paraId="570C2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8" w:type="pct"/>
                  <w:tcBorders>
                    <w:tl2br w:val="nil"/>
                    <w:tr2bl w:val="nil"/>
                  </w:tcBorders>
                  <w:vAlign w:val="center"/>
                </w:tcPr>
                <w:p w14:paraId="052FDF1B">
                  <w:pPr>
                    <w:pStyle w:val="48"/>
                    <w:adjustRightInd/>
                    <w:snapToGrid/>
                    <w:spacing w:beforeLines="0" w:afterLines="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东、南、西</w:t>
                  </w:r>
                  <w:r>
                    <w:rPr>
                      <w:rFonts w:hint="eastAsia" w:asci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798" w:type="pct"/>
                  <w:tcBorders>
                    <w:tl2br w:val="nil"/>
                    <w:tr2bl w:val="nil"/>
                  </w:tcBorders>
                  <w:vAlign w:val="center"/>
                </w:tcPr>
                <w:p w14:paraId="4859BBE2">
                  <w:pPr>
                    <w:pStyle w:val="48"/>
                    <w:adjustRightInd/>
                    <w:snapToGrid/>
                    <w:spacing w:beforeLines="0" w:afterLines="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798" w:type="pct"/>
                  <w:tcBorders>
                    <w:tl2br w:val="nil"/>
                    <w:tr2bl w:val="nil"/>
                  </w:tcBorders>
                  <w:vAlign w:val="center"/>
                </w:tcPr>
                <w:p w14:paraId="2DD4F4F1">
                  <w:pPr>
                    <w:pStyle w:val="48"/>
                    <w:adjustRightInd/>
                    <w:snapToGrid/>
                    <w:spacing w:beforeLines="0" w:afterLines="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等效连续声级Leq（A）</w:t>
                  </w:r>
                </w:p>
              </w:tc>
              <w:tc>
                <w:tcPr>
                  <w:tcW w:w="726" w:type="pct"/>
                  <w:tcBorders>
                    <w:tl2br w:val="nil"/>
                    <w:tr2bl w:val="nil"/>
                  </w:tcBorders>
                  <w:vAlign w:val="center"/>
                </w:tcPr>
                <w:p w14:paraId="57FAA2F0">
                  <w:pPr>
                    <w:pStyle w:val="48"/>
                    <w:adjustRightInd/>
                    <w:snapToGrid/>
                    <w:spacing w:beforeLines="0" w:afterLines="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每季度1次</w:t>
                  </w:r>
                </w:p>
              </w:tc>
              <w:tc>
                <w:tcPr>
                  <w:tcW w:w="1878" w:type="pct"/>
                  <w:tcBorders>
                    <w:tl2br w:val="nil"/>
                    <w:tr2bl w:val="nil"/>
                  </w:tcBorders>
                  <w:vAlign w:val="center"/>
                </w:tcPr>
                <w:p w14:paraId="1C692DC7">
                  <w:pPr>
                    <w:pStyle w:val="48"/>
                    <w:adjustRightInd/>
                    <w:snapToGrid/>
                    <w:spacing w:beforeLines="0" w:afterLines="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w:t>
                  </w:r>
                  <w:r>
                    <w:rPr>
                      <w:rFonts w:hint="eastAsia" w:asci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w:t>
                  </w:r>
                </w:p>
              </w:tc>
            </w:tr>
          </w:tbl>
          <w:p w14:paraId="1377CB5B">
            <w:pPr>
              <w:spacing w:before="156" w:beforeLines="50"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四、固体废弃物</w:t>
            </w:r>
          </w:p>
          <w:p w14:paraId="376AFAC7">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1、固体废物源强分析</w:t>
            </w:r>
          </w:p>
          <w:p w14:paraId="207DE28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6DD3898B">
            <w:pPr>
              <w:spacing w:line="360" w:lineRule="auto"/>
              <w:ind w:firstLine="480" w:firstLineChars="200"/>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1</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生活垃圾</w:t>
            </w:r>
          </w:p>
          <w:p w14:paraId="2450553C">
            <w:pPr>
              <w:spacing w:line="360" w:lineRule="auto"/>
              <w:ind w:firstLine="480" w:firstLineChars="200"/>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本项目有员工</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14:textFill>
                  <w14:solidFill>
                    <w14:schemeClr w14:val="tx1"/>
                  </w14:solidFill>
                </w14:textFill>
              </w:rPr>
              <w:t>人，每人每天垃圾产生量按0.5kg计，则项目生活垃圾产生量约为</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3t/</w:t>
            </w:r>
            <w:r>
              <w:rPr>
                <w:rFonts w:hint="default" w:ascii="Times New Roman" w:hAnsi="Times New Roman" w:eastAsia="宋体" w:cs="Times New Roman"/>
                <w:b w:val="0"/>
                <w:bCs/>
                <w:color w:val="000000" w:themeColor="text1"/>
                <w:sz w:val="24"/>
                <w14:textFill>
                  <w14:solidFill>
                    <w14:schemeClr w14:val="tx1"/>
                  </w14:solidFill>
                </w14:textFill>
              </w:rPr>
              <w:t>a</w:t>
            </w: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采取集中收集后由环卫部门统一外运处理。</w:t>
            </w:r>
          </w:p>
          <w:p w14:paraId="797D8D66">
            <w:pPr>
              <w:spacing w:line="360" w:lineRule="auto"/>
              <w:ind w:firstLine="480" w:firstLineChars="200"/>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2</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一般生产固废</w:t>
            </w:r>
          </w:p>
          <w:p w14:paraId="6EEF049E">
            <w:pPr>
              <w:spacing w:line="360" w:lineRule="auto"/>
              <w:ind w:firstLine="480" w:firstLineChars="200"/>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项目生产过程中会产生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废边角料、不合格品、纯水制备耗材</w:t>
            </w:r>
            <w:r>
              <w:rPr>
                <w:rFonts w:hint="default" w:ascii="Times New Roman" w:hAnsi="Times New Roman" w:eastAsia="宋体" w:cs="Times New Roman"/>
                <w:b w:val="0"/>
                <w:bCs/>
                <w:color w:val="000000" w:themeColor="text1"/>
                <w:sz w:val="24"/>
                <w14:textFill>
                  <w14:solidFill>
                    <w14:schemeClr w14:val="tx1"/>
                  </w14:solidFill>
                </w14:textFill>
              </w:rPr>
              <w:t>等。</w:t>
            </w:r>
          </w:p>
          <w:p w14:paraId="6FA7F94A">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4"/>
                <w14:textFill>
                  <w14:solidFill>
                    <w14:schemeClr w14:val="tx1"/>
                  </w14:solidFill>
                </w14:textFill>
              </w:rPr>
              <w:t>边角料</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冲压、分切等工序</w:t>
            </w:r>
            <w:r>
              <w:rPr>
                <w:rFonts w:hint="default" w:ascii="Times New Roman" w:hAnsi="Times New Roman" w:eastAsia="宋体" w:cs="Times New Roman"/>
                <w:b w:val="0"/>
                <w:bCs/>
                <w:color w:val="000000" w:themeColor="text1"/>
                <w:sz w:val="24"/>
                <w14:textFill>
                  <w14:solidFill>
                    <w14:schemeClr w14:val="tx1"/>
                  </w14:solidFill>
                </w14:textFill>
              </w:rPr>
              <w:t>会产生一定量边角料，据建设单位提供</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4"/>
                <w14:textFill>
                  <w14:solidFill>
                    <w14:schemeClr w14:val="tx1"/>
                  </w14:solidFill>
                </w14:textFill>
              </w:rPr>
              <w:t>边角料产生量共约为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14:textFill>
                  <w14:solidFill>
                    <w14:schemeClr w14:val="tx1"/>
                  </w14:solidFill>
                </w14:textFill>
              </w:rPr>
              <w:t>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a，</w:t>
            </w:r>
            <w:r>
              <w:rPr>
                <w:rFonts w:hint="default" w:ascii="Times New Roman" w:hAnsi="Times New Roman" w:eastAsia="宋体" w:cs="Times New Roman"/>
                <w:b w:val="0"/>
                <w:bCs/>
                <w:color w:val="000000" w:themeColor="text1"/>
                <w:sz w:val="24"/>
                <w:lang w:eastAsia="zh-CN"/>
                <w14:textFill>
                  <w14:solidFill>
                    <w14:schemeClr w14:val="tx1"/>
                  </w14:solidFill>
                </w14:textFill>
              </w:rPr>
              <w:t>统一收集后</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外售综合利用</w:t>
            </w:r>
            <w:r>
              <w:rPr>
                <w:rFonts w:hint="default" w:ascii="Times New Roman" w:hAnsi="Times New Roman" w:eastAsia="宋体" w:cs="Times New Roman"/>
                <w:b w:val="0"/>
                <w:bCs/>
                <w:color w:val="000000" w:themeColor="text1"/>
                <w:sz w:val="24"/>
                <w14:textFill>
                  <w14:solidFill>
                    <w14:schemeClr w14:val="tx1"/>
                  </w14:solidFill>
                </w14:textFill>
              </w:rPr>
              <w:t>。</w:t>
            </w:r>
          </w:p>
          <w:p w14:paraId="119ED4C1">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②不合格品：检验工序会产生不合格品，根据建设单位提供资料</w:t>
            </w:r>
            <w:r>
              <w:rPr>
                <w:rFonts w:hint="default" w:ascii="Times New Roman" w:hAnsi="Times New Roman" w:eastAsia="宋体" w:cs="Times New Roman"/>
                <w:b w:val="0"/>
                <w:bCs/>
                <w:color w:val="000000" w:themeColor="text1"/>
                <w:sz w:val="24"/>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4"/>
                <w14:textFill>
                  <w14:solidFill>
                    <w14:schemeClr w14:val="tx1"/>
                  </w14:solidFill>
                </w14:textFill>
              </w:rPr>
              <w:t>边角料产生量共约为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10.426</w:t>
            </w:r>
            <w:r>
              <w:rPr>
                <w:rFonts w:hint="default" w:ascii="Times New Roman" w:hAnsi="Times New Roman" w:eastAsia="宋体" w:cs="Times New Roman"/>
                <w:b w:val="0"/>
                <w:bCs/>
                <w:color w:val="000000" w:themeColor="text1"/>
                <w:sz w:val="24"/>
                <w14:textFill>
                  <w14:solidFill>
                    <w14:schemeClr w14:val="tx1"/>
                  </w14:solidFill>
                </w14:textFill>
              </w:rPr>
              <w:t>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a，</w:t>
            </w:r>
            <w:r>
              <w:rPr>
                <w:rFonts w:hint="default" w:ascii="Times New Roman" w:hAnsi="Times New Roman" w:eastAsia="宋体" w:cs="Times New Roman"/>
                <w:b w:val="0"/>
                <w:bCs/>
                <w:color w:val="000000" w:themeColor="text1"/>
                <w:sz w:val="24"/>
                <w:lang w:eastAsia="zh-CN"/>
                <w14:textFill>
                  <w14:solidFill>
                    <w14:schemeClr w14:val="tx1"/>
                  </w14:solidFill>
                </w14:textFill>
              </w:rPr>
              <w:t>统一收集后</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外售综合利用</w:t>
            </w:r>
            <w:r>
              <w:rPr>
                <w:rFonts w:hint="default" w:ascii="Times New Roman" w:hAnsi="Times New Roman" w:eastAsia="宋体" w:cs="Times New Roman"/>
                <w:b w:val="0"/>
                <w:bCs/>
                <w:color w:val="000000" w:themeColor="text1"/>
                <w:sz w:val="24"/>
                <w14:textFill>
                  <w14:solidFill>
                    <w14:schemeClr w14:val="tx1"/>
                  </w14:solidFill>
                </w14:textFill>
              </w:rPr>
              <w:t>。</w:t>
            </w:r>
          </w:p>
          <w:p w14:paraId="2452D21D">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③纯水制备耗材：本项目纯水制备过程采用石英砂过滤、活性炭过滤、保安过滤器及RO膜等过滤材料，需定期更换，更换后产生纯水制备耗材。纯水制备耗材2年更换一次，更换一次的量约为0.2t，则纯水制备耗材的产生量约为0.2t/2a，</w:t>
            </w:r>
            <w:r>
              <w:rPr>
                <w:rFonts w:hint="default" w:ascii="Times New Roman" w:hAnsi="Times New Roman" w:eastAsia="宋体" w:cs="Times New Roman"/>
                <w:b w:val="0"/>
                <w:bCs/>
                <w:color w:val="000000" w:themeColor="text1"/>
                <w:sz w:val="24"/>
                <w:lang w:eastAsia="zh-CN"/>
                <w14:textFill>
                  <w14:solidFill>
                    <w14:schemeClr w14:val="tx1"/>
                  </w14:solidFill>
                </w14:textFill>
              </w:rPr>
              <w:t>统一收集后</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外售综合利用</w:t>
            </w:r>
            <w:r>
              <w:rPr>
                <w:rFonts w:hint="default" w:ascii="Times New Roman" w:hAnsi="Times New Roman" w:eastAsia="宋体" w:cs="Times New Roman"/>
                <w:b w:val="0"/>
                <w:bCs/>
                <w:color w:val="000000" w:themeColor="text1"/>
                <w:sz w:val="24"/>
                <w14:textFill>
                  <w14:solidFill>
                    <w14:schemeClr w14:val="tx1"/>
                  </w14:solidFill>
                </w14:textFill>
              </w:rPr>
              <w:t>。</w:t>
            </w:r>
          </w:p>
          <w:p w14:paraId="1D3422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3</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危险废物</w:t>
            </w:r>
          </w:p>
          <w:p w14:paraId="2CE24C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项目生产过程中会产生一定量的</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废磨削液、</w:t>
            </w:r>
            <w:r>
              <w:rPr>
                <w:rFonts w:hint="eastAsia" w:ascii="宋体" w:hAnsi="宋体" w:eastAsia="宋体" w:cs="宋体"/>
                <w:color w:val="000000" w:themeColor="text1"/>
                <w:sz w:val="24"/>
                <w:szCs w:val="24"/>
                <w:lang w:eastAsia="zh-CN"/>
                <w14:textFill>
                  <w14:solidFill>
                    <w14:schemeClr w14:val="tx1"/>
                  </w14:solidFill>
                </w14:textFill>
              </w:rPr>
              <w:t>电解除油废液、酸洗废液、铜保护废液、</w:t>
            </w:r>
            <w:r>
              <w:rPr>
                <w:rFonts w:hint="default" w:ascii="Times New Roman" w:hAnsi="Times New Roman" w:eastAsia="宋体" w:cs="Times New Roman"/>
                <w:b w:val="0"/>
                <w:bCs/>
                <w:color w:val="000000" w:themeColor="text1"/>
                <w:sz w:val="24"/>
                <w14:textFill>
                  <w14:solidFill>
                    <w14:schemeClr w14:val="tx1"/>
                  </w14:solidFill>
                </w14:textFill>
              </w:rPr>
              <w:t>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含油</w:t>
            </w:r>
            <w:r>
              <w:rPr>
                <w:rFonts w:hint="default" w:ascii="Times New Roman" w:hAnsi="Times New Roman" w:eastAsia="宋体" w:cs="Times New Roman"/>
                <w:b w:val="0"/>
                <w:bCs/>
                <w:color w:val="000000" w:themeColor="text1"/>
                <w:sz w:val="24"/>
                <w14:textFill>
                  <w14:solidFill>
                    <w14:schemeClr w14:val="tx1"/>
                  </w14:solidFill>
                </w14:textFill>
              </w:rPr>
              <w:t>抹布、</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废活性炭、污泥、浓水、污水处理站耗材、废包装材料等</w:t>
            </w:r>
            <w:r>
              <w:rPr>
                <w:rFonts w:hint="default" w:ascii="Times New Roman" w:hAnsi="Times New Roman" w:eastAsia="宋体" w:cs="Times New Roman"/>
                <w:b w:val="0"/>
                <w:bCs/>
                <w:color w:val="000000" w:themeColor="text1"/>
                <w:sz w:val="24"/>
                <w14:textFill>
                  <w14:solidFill>
                    <w14:schemeClr w14:val="tx1"/>
                  </w14:solidFill>
                </w14:textFill>
              </w:rPr>
              <w:t>，属于危险废物</w:t>
            </w: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统一收集后交由有资质的单位回收处理。</w:t>
            </w:r>
          </w:p>
          <w:p w14:paraId="3CBA8539">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①废磨削液（HW09）</w:t>
            </w:r>
          </w:p>
          <w:p w14:paraId="4F842152">
            <w:pPr>
              <w:spacing w:line="360" w:lineRule="auto"/>
              <w:ind w:firstLine="480" w:firstLineChars="200"/>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本项目磨床加工过程使用磨削液，磨削液循环使用，定期更换，该过程会产生废磨削液，根据核算，</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产生量</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约</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0.22</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t/a</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5167E890">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②含油废屑（HW08）</w:t>
            </w:r>
          </w:p>
          <w:p w14:paraId="5E5F24B6">
            <w:pPr>
              <w:spacing w:line="360" w:lineRule="auto"/>
              <w:ind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项目打磨工序中添加磨削液经过滤系统过滤后循环使用，过滤将产生少量含油废屑，根据现有项目经验，产生量约0.01t/a，委托有资质单位妥善处置。</w:t>
            </w:r>
          </w:p>
          <w:p w14:paraId="2C047E22">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③电解除油废液</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HW</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17</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6ECBB3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本项目电解除油过程定期更换产生电解除油废液，产生量为19.8t/a（含除油粉），</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34CF9D18">
            <w:pPr>
              <w:spacing w:line="360" w:lineRule="auto"/>
              <w:ind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④酸洗废液</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HW17</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281108C5">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本项目酸洗过程定期更换产生酸洗废液，产生量为6.8t/a，</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318C1F39">
            <w:pPr>
              <w:spacing w:line="360" w:lineRule="auto"/>
              <w:ind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⑤铜保护废液</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HW17</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206D59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本项目铜保护过程定期更换产生铜保护废液，产生量为17.28t/a，</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0A7944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⑥</w:t>
            </w:r>
            <w:r>
              <w:rPr>
                <w:rFonts w:hint="default" w:ascii="Times New Roman" w:hAnsi="Times New Roman" w:eastAsia="宋体" w:cs="Times New Roman"/>
                <w:b w:val="0"/>
                <w:bCs/>
                <w:color w:val="000000" w:themeColor="text1"/>
                <w:sz w:val="24"/>
                <w14:textFill>
                  <w14:solidFill>
                    <w14:schemeClr w14:val="tx1"/>
                  </w14:solidFill>
                </w14:textFill>
              </w:rPr>
              <w:t>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含油</w:t>
            </w:r>
            <w:r>
              <w:rPr>
                <w:rFonts w:hint="default" w:ascii="Times New Roman" w:hAnsi="Times New Roman" w:eastAsia="宋体" w:cs="Times New Roman"/>
                <w:b w:val="0"/>
                <w:bCs/>
                <w:color w:val="000000" w:themeColor="text1"/>
                <w:sz w:val="24"/>
                <w14:textFill>
                  <w14:solidFill>
                    <w14:schemeClr w14:val="tx1"/>
                  </w14:solidFill>
                </w14:textFill>
              </w:rPr>
              <w:t>抹布</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HW49</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227A40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根据建设单位提供资料，项目废弃的含油抹布主要来自生产车间设备维修维护过程，产生量约0.0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14:textFill>
                  <w14:solidFill>
                    <w14:schemeClr w14:val="tx1"/>
                  </w14:solidFill>
                </w14:textFill>
              </w:rPr>
              <w:t>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a，收集后暂存于危废库，委托有危险废物处理资质的单位进行处理处置。</w:t>
            </w:r>
          </w:p>
          <w:p w14:paraId="3FF33947">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⑦</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废活性炭</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HW49</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4BA79D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项目设置1套二级活性炭吸附装置，活性炭吸附达到饱和且不能满足处理效率时需要更换活性炭。根据《省生态环境厅关于将排污单位活性炭使用更换纳入排污许可管理的通知》中公式计算活性炭更换周期，本项目二级活性炭吸附装置更换频次为4次，则废活性炭产生量约为3.06t/a（含吸附的有机废气量）</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p>
          <w:p w14:paraId="3341CF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⑧污泥</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HW17</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16DA05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本项目污水处理设施运行过程中会产生污泥，产生量约为2</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t/a</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（含水率50%）</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08EBE7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⑨浓水</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HW17</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3473C0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本项目污水处理设施运行过程中会产生浓水，产生量约为50</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t/a</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04B699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⑩污水处理站耗材（HW49）</w:t>
            </w:r>
          </w:p>
          <w:p w14:paraId="326C12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本项目污水处理设施运行过程中会产生污水处理站耗材，每年更换一次，产生量约为0.3</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t/a</w:t>
            </w:r>
            <w:r>
              <w:rPr>
                <w:rFonts w:hint="default" w:ascii="Times New Roman" w:hAnsi="Times New Roman" w:eastAsia="宋体" w:cs="Times New Roman"/>
                <w:b w:val="0"/>
                <w:bCs/>
                <w:color w:val="000000" w:themeColor="text1"/>
                <w:sz w:val="24"/>
                <w14:textFill>
                  <w14:solidFill>
                    <w14:schemeClr w14:val="tx1"/>
                  </w14:solidFill>
                </w14:textFill>
              </w:rPr>
              <w:t>，收集后暂存于危废库，委托有资质单位妥善处置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14:paraId="422F00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⑪废包装材料</w:t>
            </w:r>
          </w:p>
          <w:p w14:paraId="21CDAD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包装材料</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HW49</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7E746F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项目</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原料（除油粉、铜保护剂、硫酸、磨削液等）使用过程中</w:t>
            </w:r>
            <w:r>
              <w:rPr>
                <w:rFonts w:hint="default" w:ascii="Times New Roman" w:hAnsi="Times New Roman" w:eastAsia="宋体" w:cs="Times New Roman"/>
                <w:b w:val="0"/>
                <w:bCs/>
                <w:color w:val="000000" w:themeColor="text1"/>
                <w:sz w:val="24"/>
                <w14:textFill>
                  <w14:solidFill>
                    <w14:schemeClr w14:val="tx1"/>
                  </w14:solidFill>
                </w14:textFill>
              </w:rPr>
              <w:t>会产生废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包装材料，</w:t>
            </w:r>
            <w:r>
              <w:rPr>
                <w:rFonts w:hint="default" w:ascii="Times New Roman" w:hAnsi="Times New Roman" w:eastAsia="宋体" w:cs="Times New Roman"/>
                <w:b w:val="0"/>
                <w:bCs/>
                <w:color w:val="000000" w:themeColor="text1"/>
                <w:sz w:val="24"/>
                <w14:textFill>
                  <w14:solidFill>
                    <w14:schemeClr w14:val="tx1"/>
                  </w14:solidFill>
                </w14:textFill>
              </w:rPr>
              <w:t>根据建设单位提供的资料，项目废</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包装材料</w:t>
            </w:r>
            <w:r>
              <w:rPr>
                <w:rFonts w:hint="default" w:ascii="Times New Roman" w:hAnsi="Times New Roman" w:eastAsia="宋体" w:cs="Times New Roman"/>
                <w:b w:val="0"/>
                <w:bCs/>
                <w:color w:val="000000" w:themeColor="text1"/>
                <w:sz w:val="24"/>
                <w14:textFill>
                  <w14:solidFill>
                    <w14:schemeClr w14:val="tx1"/>
                  </w14:solidFill>
                </w14:textFill>
              </w:rPr>
              <w:t>的产生量</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约</w:t>
            </w:r>
            <w:r>
              <w:rPr>
                <w:rFonts w:hint="default" w:ascii="Times New Roman" w:hAnsi="Times New Roman" w:eastAsia="宋体" w:cs="Times New Roman"/>
                <w:b w:val="0"/>
                <w:bCs/>
                <w:color w:val="000000" w:themeColor="text1"/>
                <w:sz w:val="24"/>
                <w14:textFill>
                  <w14:solidFill>
                    <w14:schemeClr w14:val="tx1"/>
                  </w14:solidFill>
                </w14:textFill>
              </w:rPr>
              <w:t>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0.15</w:t>
            </w:r>
            <w:r>
              <w:rPr>
                <w:rFonts w:hint="default" w:ascii="Times New Roman" w:hAnsi="Times New Roman" w:eastAsia="宋体" w:cs="Times New Roman"/>
                <w:b w:val="0"/>
                <w:bCs/>
                <w:color w:val="000000" w:themeColor="text1"/>
                <w:sz w:val="24"/>
                <w14:textFill>
                  <w14:solidFill>
                    <w14:schemeClr w14:val="tx1"/>
                  </w14:solidFill>
                </w14:textFill>
              </w:rPr>
              <w:t>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a，收集后暂存于危废库，委托有危险废物处理资质的单位进行处理处置</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35A111FF">
            <w:pPr>
              <w:spacing w:line="360" w:lineRule="auto"/>
              <w:ind w:firstLine="482" w:firstLineChars="200"/>
              <w:rPr>
                <w:rFonts w:hint="default" w:ascii="Times New Roman" w:hAnsi="Times New Roman" w:eastAsia="宋体" w:cs="Times New Roman"/>
                <w:b/>
                <w:bCs w:val="0"/>
                <w:color w:val="000000" w:themeColor="text1"/>
                <w:sz w:val="24"/>
                <w14:textFill>
                  <w14:solidFill>
                    <w14:schemeClr w14:val="tx1"/>
                  </w14:solidFill>
                </w14:textFill>
              </w:rPr>
            </w:pPr>
            <w:r>
              <w:rPr>
                <w:rFonts w:hint="default" w:ascii="Times New Roman" w:hAnsi="Times New Roman" w:eastAsia="宋体" w:cs="Times New Roman"/>
                <w:b/>
                <w:bCs w:val="0"/>
                <w:color w:val="000000" w:themeColor="text1"/>
                <w:sz w:val="24"/>
                <w14:textFill>
                  <w14:solidFill>
                    <w14:schemeClr w14:val="tx1"/>
                  </w14:solidFill>
                </w14:textFill>
              </w:rPr>
              <w:t>2、固体废物属性判定</w:t>
            </w:r>
          </w:p>
          <w:p w14:paraId="1B34375D">
            <w:pPr>
              <w:spacing w:line="360" w:lineRule="auto"/>
              <w:ind w:firstLine="480" w:firstLineChars="200"/>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根据《中华人民共和国固体废物污染环境防治法》、《固体废物鉴别标准通则》（GB34330-20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14:textFill>
                  <w14:solidFill>
                    <w14:schemeClr w14:val="tx1"/>
                  </w14:solidFill>
                </w14:textFill>
              </w:rPr>
              <w:t>）、《建设项目危险废物环境影响评价指南》（公告2017年第43号）和《关于贯彻落实建设项目危险废物环境影响评价指南要求的通知》（苏环办</w:t>
            </w:r>
            <w:r>
              <w:rPr>
                <w:rFonts w:hint="eastAsia" w:ascii="Times New Roman" w:hAnsi="Times New Roman" w:eastAsia="宋体" w:cs="Times New Roman"/>
                <w:b w:val="0"/>
                <w:bCs/>
                <w:color w:val="000000" w:themeColor="text1"/>
                <w:sz w:val="24"/>
                <w:lang w:eastAsia="zh-CN"/>
                <w14:textFill>
                  <w14:solidFill>
                    <w14:schemeClr w14:val="tx1"/>
                  </w14:solidFill>
                </w14:textFill>
              </w:rPr>
              <w:t>〔2018〕18号</w:t>
            </w:r>
            <w:r>
              <w:rPr>
                <w:rFonts w:hint="default" w:ascii="Times New Roman" w:hAnsi="Times New Roman" w:eastAsia="宋体" w:cs="Times New Roman"/>
                <w:b w:val="0"/>
                <w:bCs/>
                <w:color w:val="000000" w:themeColor="text1"/>
                <w:sz w:val="24"/>
                <w14:textFill>
                  <w14:solidFill>
                    <w14:schemeClr w14:val="tx1"/>
                  </w14:solidFill>
                </w14:textFill>
              </w:rPr>
              <w:t>）的规定，判断建设项目生产过程中产生的副产物是否属于固体废物，判定依据及结果见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下表</w:t>
            </w:r>
            <w:r>
              <w:rPr>
                <w:rFonts w:hint="default" w:ascii="Times New Roman" w:hAnsi="Times New Roman" w:eastAsia="宋体" w:cs="Times New Roman"/>
                <w:b w:val="0"/>
                <w:bCs/>
                <w:color w:val="000000" w:themeColor="text1"/>
                <w:sz w:val="24"/>
                <w14:textFill>
                  <w14:solidFill>
                    <w14:schemeClr w14:val="tx1"/>
                  </w14:solidFill>
                </w14:textFill>
              </w:rPr>
              <w:t>。</w:t>
            </w:r>
          </w:p>
          <w:p w14:paraId="6DD4B91C">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33 </w:t>
            </w:r>
            <w:r>
              <w:rPr>
                <w:rFonts w:hint="default" w:ascii="Times New Roman" w:hAnsi="Times New Roman" w:eastAsia="宋体" w:cs="Times New Roman"/>
                <w:b/>
                <w:color w:val="000000" w:themeColor="text1"/>
                <w:sz w:val="24"/>
                <w14:textFill>
                  <w14:solidFill>
                    <w14:schemeClr w14:val="tx1"/>
                  </w14:solidFill>
                </w14:textFill>
              </w:rPr>
              <w:t xml:space="preserve"> 本项目副产物产生情况汇总表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309"/>
              <w:gridCol w:w="1120"/>
              <w:gridCol w:w="725"/>
              <w:gridCol w:w="1079"/>
              <w:gridCol w:w="876"/>
              <w:gridCol w:w="697"/>
              <w:gridCol w:w="678"/>
              <w:gridCol w:w="1751"/>
            </w:tblGrid>
            <w:tr w14:paraId="26B87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vMerge w:val="restart"/>
                  <w:vAlign w:val="center"/>
                </w:tcPr>
                <w:p w14:paraId="74144124">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755" w:type="pct"/>
                  <w:vMerge w:val="restart"/>
                  <w:vAlign w:val="center"/>
                </w:tcPr>
                <w:p w14:paraId="0E27EF97">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副产物名称</w:t>
                  </w:r>
                </w:p>
              </w:tc>
              <w:tc>
                <w:tcPr>
                  <w:tcW w:w="646" w:type="pct"/>
                  <w:vMerge w:val="restart"/>
                  <w:vAlign w:val="center"/>
                </w:tcPr>
                <w:p w14:paraId="723DAB03">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产生来源</w:t>
                  </w:r>
                </w:p>
              </w:tc>
              <w:tc>
                <w:tcPr>
                  <w:tcW w:w="418" w:type="pct"/>
                  <w:vMerge w:val="restart"/>
                  <w:vAlign w:val="center"/>
                </w:tcPr>
                <w:p w14:paraId="5F760257">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形态</w:t>
                  </w:r>
                </w:p>
              </w:tc>
              <w:tc>
                <w:tcPr>
                  <w:tcW w:w="622" w:type="pct"/>
                  <w:vMerge w:val="restart"/>
                  <w:vAlign w:val="center"/>
                </w:tcPr>
                <w:p w14:paraId="731E2F2E">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主要成分</w:t>
                  </w:r>
                </w:p>
              </w:tc>
              <w:tc>
                <w:tcPr>
                  <w:tcW w:w="505" w:type="pct"/>
                  <w:vMerge w:val="restart"/>
                  <w:vAlign w:val="center"/>
                </w:tcPr>
                <w:p w14:paraId="3C5D278B">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预测产生量（t/a）</w:t>
                  </w:r>
                </w:p>
              </w:tc>
              <w:tc>
                <w:tcPr>
                  <w:tcW w:w="1803" w:type="pct"/>
                  <w:gridSpan w:val="3"/>
                  <w:vAlign w:val="center"/>
                </w:tcPr>
                <w:p w14:paraId="56649B2A">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种类判断*</w:t>
                  </w:r>
                </w:p>
              </w:tc>
            </w:tr>
            <w:tr w14:paraId="694B1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vMerge w:val="continue"/>
                  <w:vAlign w:val="center"/>
                </w:tcPr>
                <w:p w14:paraId="19789E2F">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755" w:type="pct"/>
                  <w:vMerge w:val="continue"/>
                  <w:vAlign w:val="center"/>
                </w:tcPr>
                <w:p w14:paraId="03416E76">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646" w:type="pct"/>
                  <w:vMerge w:val="continue"/>
                  <w:vAlign w:val="center"/>
                </w:tcPr>
                <w:p w14:paraId="03AFBD7B">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418" w:type="pct"/>
                  <w:vMerge w:val="continue"/>
                  <w:vAlign w:val="center"/>
                </w:tcPr>
                <w:p w14:paraId="54B0A764">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622" w:type="pct"/>
                  <w:vMerge w:val="continue"/>
                  <w:vAlign w:val="center"/>
                </w:tcPr>
                <w:p w14:paraId="2CE3BE4A">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505" w:type="pct"/>
                  <w:vMerge w:val="continue"/>
                  <w:vAlign w:val="center"/>
                </w:tcPr>
                <w:p w14:paraId="400A0857">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402" w:type="pct"/>
                  <w:vAlign w:val="center"/>
                </w:tcPr>
                <w:p w14:paraId="1047841F">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固体废物</w:t>
                  </w:r>
                </w:p>
              </w:tc>
              <w:tc>
                <w:tcPr>
                  <w:tcW w:w="391" w:type="pct"/>
                  <w:vAlign w:val="center"/>
                </w:tcPr>
                <w:p w14:paraId="1BCA371C">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副产品</w:t>
                  </w:r>
                </w:p>
              </w:tc>
              <w:tc>
                <w:tcPr>
                  <w:tcW w:w="1010" w:type="pct"/>
                  <w:vAlign w:val="center"/>
                </w:tcPr>
                <w:p w14:paraId="2AC8D08F">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判定依据</w:t>
                  </w:r>
                </w:p>
              </w:tc>
            </w:tr>
            <w:tr w14:paraId="05586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vAlign w:val="center"/>
                </w:tcPr>
                <w:p w14:paraId="60E24B0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55" w:type="pct"/>
                  <w:vAlign w:val="center"/>
                </w:tcPr>
                <w:p w14:paraId="49CC1A4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646" w:type="pct"/>
                  <w:vAlign w:val="center"/>
                </w:tcPr>
                <w:p w14:paraId="7B5DB22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418" w:type="pct"/>
                  <w:vAlign w:val="center"/>
                </w:tcPr>
                <w:p w14:paraId="1C10B45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半固态</w:t>
                  </w:r>
                </w:p>
              </w:tc>
              <w:tc>
                <w:tcPr>
                  <w:tcW w:w="622" w:type="pct"/>
                  <w:vAlign w:val="center"/>
                </w:tcPr>
                <w:p w14:paraId="39F2D4D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废塑料、废纸等</w:t>
                  </w:r>
                </w:p>
              </w:tc>
              <w:tc>
                <w:tcPr>
                  <w:tcW w:w="505" w:type="pct"/>
                  <w:vAlign w:val="center"/>
                </w:tcPr>
                <w:p w14:paraId="75351C1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402" w:type="pct"/>
                  <w:vAlign w:val="center"/>
                </w:tcPr>
                <w:p w14:paraId="41EFB3C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vAlign w:val="center"/>
                </w:tcPr>
                <w:p w14:paraId="0C25C3F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restart"/>
                  <w:vAlign w:val="center"/>
                </w:tcPr>
                <w:p w14:paraId="25B5E5CB">
                  <w:pPr>
                    <w:adjustRightInd w:val="0"/>
                    <w:snapToGrid w:val="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《固体废物鉴别标准通则》（GB34330-20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83AD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7972CD8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55" w:type="pct"/>
                  <w:vAlign w:val="center"/>
                </w:tcPr>
                <w:p w14:paraId="0546D91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1"/>
                      <w:szCs w:val="21"/>
                      <w14:textFill>
                        <w14:solidFill>
                          <w14:schemeClr w14:val="tx1"/>
                        </w14:solidFill>
                      </w14:textFill>
                    </w:rPr>
                    <w:t>边角料</w:t>
                  </w:r>
                </w:p>
              </w:tc>
              <w:tc>
                <w:tcPr>
                  <w:tcW w:w="646" w:type="pct"/>
                  <w:vAlign w:val="center"/>
                </w:tcPr>
                <w:p w14:paraId="1EA160D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冲压、分切等</w:t>
                  </w:r>
                </w:p>
              </w:tc>
              <w:tc>
                <w:tcPr>
                  <w:tcW w:w="418" w:type="pct"/>
                  <w:vAlign w:val="center"/>
                </w:tcPr>
                <w:p w14:paraId="287F631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22" w:type="pct"/>
                  <w:vAlign w:val="center"/>
                </w:tcPr>
                <w:p w14:paraId="0D970481">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w:t>
                  </w:r>
                </w:p>
              </w:tc>
              <w:tc>
                <w:tcPr>
                  <w:tcW w:w="505" w:type="pct"/>
                  <w:vAlign w:val="center"/>
                </w:tcPr>
                <w:p w14:paraId="0FA13E1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02" w:type="pct"/>
                  <w:vAlign w:val="center"/>
                </w:tcPr>
                <w:p w14:paraId="50068BA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vAlign w:val="center"/>
                </w:tcPr>
                <w:p w14:paraId="060334A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7EB4031D">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CE33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3F822C4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755" w:type="pct"/>
                  <w:vAlign w:val="center"/>
                </w:tcPr>
                <w:p w14:paraId="2019168E">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不合格品</w:t>
                  </w:r>
                </w:p>
              </w:tc>
              <w:tc>
                <w:tcPr>
                  <w:tcW w:w="646" w:type="pct"/>
                  <w:vAlign w:val="center"/>
                </w:tcPr>
                <w:p w14:paraId="0FA999B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418" w:type="pct"/>
                  <w:shd w:val="clear" w:color="auto" w:fill="auto"/>
                  <w:vAlign w:val="center"/>
                </w:tcPr>
                <w:p w14:paraId="045513D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22" w:type="pct"/>
                  <w:shd w:val="clear" w:color="auto" w:fill="auto"/>
                  <w:vAlign w:val="center"/>
                </w:tcPr>
                <w:p w14:paraId="4AECFD3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w:t>
                  </w:r>
                </w:p>
              </w:tc>
              <w:tc>
                <w:tcPr>
                  <w:tcW w:w="505" w:type="pct"/>
                  <w:vAlign w:val="center"/>
                </w:tcPr>
                <w:p w14:paraId="6180FF5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10.426</w:t>
                  </w:r>
                </w:p>
              </w:tc>
              <w:tc>
                <w:tcPr>
                  <w:tcW w:w="402" w:type="pct"/>
                  <w:shd w:val="clear" w:color="auto" w:fill="auto"/>
                  <w:vAlign w:val="center"/>
                </w:tcPr>
                <w:p w14:paraId="052EFA2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4C95A1E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0749DF1A">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3305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032150F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755" w:type="pct"/>
                  <w:vAlign w:val="center"/>
                </w:tcPr>
                <w:p w14:paraId="6276BDEB">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纯水制备耗材</w:t>
                  </w:r>
                </w:p>
              </w:tc>
              <w:tc>
                <w:tcPr>
                  <w:tcW w:w="646" w:type="pct"/>
                  <w:vAlign w:val="center"/>
                </w:tcPr>
                <w:p w14:paraId="5978EC9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c>
                <w:tcPr>
                  <w:tcW w:w="418" w:type="pct"/>
                  <w:vAlign w:val="center"/>
                </w:tcPr>
                <w:p w14:paraId="13F80378">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22" w:type="pct"/>
                  <w:vAlign w:val="center"/>
                </w:tcPr>
                <w:p w14:paraId="71F6D932">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505" w:type="pct"/>
                  <w:vAlign w:val="center"/>
                </w:tcPr>
                <w:p w14:paraId="6BE1E19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0.2/2a</w:t>
                  </w:r>
                </w:p>
              </w:tc>
              <w:tc>
                <w:tcPr>
                  <w:tcW w:w="402" w:type="pct"/>
                  <w:shd w:val="clear" w:color="auto" w:fill="auto"/>
                  <w:vAlign w:val="center"/>
                </w:tcPr>
                <w:p w14:paraId="5E29CF8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54C4A13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1BD0FA91">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2109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6B5A80F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755" w:type="pct"/>
                  <w:shd w:val="clear" w:color="auto" w:fill="auto"/>
                  <w:vAlign w:val="center"/>
                </w:tcPr>
                <w:p w14:paraId="3F471F82">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646" w:type="pct"/>
                  <w:shd w:val="clear" w:color="auto" w:fill="auto"/>
                  <w:vAlign w:val="center"/>
                </w:tcPr>
                <w:p w14:paraId="3E891F9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418" w:type="pct"/>
                  <w:shd w:val="clear" w:color="auto" w:fill="auto"/>
                  <w:vAlign w:val="center"/>
                </w:tcPr>
                <w:p w14:paraId="0F36B56C">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22" w:type="pct"/>
                  <w:shd w:val="clear" w:color="auto" w:fill="auto"/>
                  <w:vAlign w:val="center"/>
                </w:tcPr>
                <w:p w14:paraId="4B26A81E">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磨削液</w:t>
                  </w:r>
                </w:p>
              </w:tc>
              <w:tc>
                <w:tcPr>
                  <w:tcW w:w="505" w:type="pct"/>
                  <w:shd w:val="clear" w:color="auto" w:fill="auto"/>
                  <w:vAlign w:val="center"/>
                </w:tcPr>
                <w:p w14:paraId="12B15988">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w:t>
                  </w:r>
                </w:p>
              </w:tc>
              <w:tc>
                <w:tcPr>
                  <w:tcW w:w="402" w:type="pct"/>
                  <w:shd w:val="clear" w:color="auto" w:fill="auto"/>
                  <w:vAlign w:val="center"/>
                </w:tcPr>
                <w:p w14:paraId="56C2D32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56C6796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356D36C1">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0437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3AC6993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755" w:type="pct"/>
                  <w:shd w:val="clear" w:color="auto" w:fill="auto"/>
                  <w:vAlign w:val="center"/>
                </w:tcPr>
                <w:p w14:paraId="4DA4573C">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646" w:type="pct"/>
                  <w:shd w:val="clear" w:color="auto" w:fill="auto"/>
                  <w:vAlign w:val="center"/>
                </w:tcPr>
                <w:p w14:paraId="46171FF4">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418" w:type="pct"/>
                  <w:shd w:val="clear" w:color="auto" w:fill="auto"/>
                  <w:vAlign w:val="center"/>
                </w:tcPr>
                <w:p w14:paraId="4B1F674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22" w:type="pct"/>
                  <w:shd w:val="clear" w:color="auto" w:fill="auto"/>
                  <w:vAlign w:val="center"/>
                </w:tcPr>
                <w:p w14:paraId="00C96018">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金属、磨削液</w:t>
                  </w:r>
                </w:p>
              </w:tc>
              <w:tc>
                <w:tcPr>
                  <w:tcW w:w="505" w:type="pct"/>
                  <w:shd w:val="clear" w:color="auto" w:fill="auto"/>
                  <w:vAlign w:val="center"/>
                </w:tcPr>
                <w:p w14:paraId="77010E8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w:t>
                  </w:r>
                </w:p>
              </w:tc>
              <w:tc>
                <w:tcPr>
                  <w:tcW w:w="402" w:type="pct"/>
                  <w:shd w:val="clear" w:color="auto" w:fill="auto"/>
                  <w:vAlign w:val="center"/>
                </w:tcPr>
                <w:p w14:paraId="009163A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5192061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3F3E4C23">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5965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6C493DD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755" w:type="pct"/>
                  <w:shd w:val="clear" w:color="auto" w:fill="auto"/>
                  <w:vAlign w:val="center"/>
                </w:tcPr>
                <w:p w14:paraId="285941FA">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646" w:type="pct"/>
                  <w:shd w:val="clear" w:color="auto" w:fill="auto"/>
                  <w:vAlign w:val="center"/>
                </w:tcPr>
                <w:p w14:paraId="68AEFFD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418" w:type="pct"/>
                  <w:shd w:val="clear" w:color="auto" w:fill="auto"/>
                  <w:vAlign w:val="center"/>
                </w:tcPr>
                <w:p w14:paraId="12EED9F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22" w:type="pct"/>
                  <w:shd w:val="clear" w:color="auto" w:fill="auto"/>
                  <w:vAlign w:val="center"/>
                </w:tcPr>
                <w:p w14:paraId="2C7F7191">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废除油液</w:t>
                  </w:r>
                </w:p>
              </w:tc>
              <w:tc>
                <w:tcPr>
                  <w:tcW w:w="505" w:type="pct"/>
                  <w:shd w:val="clear" w:color="auto" w:fill="auto"/>
                  <w:vAlign w:val="center"/>
                </w:tcPr>
                <w:p w14:paraId="3664E2D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19.8</w:t>
                  </w:r>
                </w:p>
              </w:tc>
              <w:tc>
                <w:tcPr>
                  <w:tcW w:w="402" w:type="pct"/>
                  <w:shd w:val="clear" w:color="auto" w:fill="auto"/>
                  <w:vAlign w:val="center"/>
                </w:tcPr>
                <w:p w14:paraId="026737E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0DEF1A9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571C076A">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51C0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34EC622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755" w:type="pct"/>
                  <w:shd w:val="clear" w:color="auto" w:fill="auto"/>
                  <w:vAlign w:val="center"/>
                </w:tcPr>
                <w:p w14:paraId="06875CC2">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646" w:type="pct"/>
                  <w:shd w:val="clear" w:color="auto" w:fill="auto"/>
                  <w:vAlign w:val="center"/>
                </w:tcPr>
                <w:p w14:paraId="7BD7EFF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418" w:type="pct"/>
                  <w:shd w:val="clear" w:color="auto" w:fill="auto"/>
                  <w:vAlign w:val="center"/>
                </w:tcPr>
                <w:p w14:paraId="4683E15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22" w:type="pct"/>
                  <w:shd w:val="clear" w:color="auto" w:fill="auto"/>
                  <w:vAlign w:val="center"/>
                </w:tcPr>
                <w:p w14:paraId="3025137C">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废酸洗液</w:t>
                  </w:r>
                </w:p>
              </w:tc>
              <w:tc>
                <w:tcPr>
                  <w:tcW w:w="505" w:type="pct"/>
                  <w:shd w:val="clear" w:color="auto" w:fill="auto"/>
                  <w:vAlign w:val="center"/>
                </w:tcPr>
                <w:p w14:paraId="1F0807A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6.8</w:t>
                  </w:r>
                </w:p>
              </w:tc>
              <w:tc>
                <w:tcPr>
                  <w:tcW w:w="402" w:type="pct"/>
                  <w:shd w:val="clear" w:color="auto" w:fill="auto"/>
                  <w:vAlign w:val="center"/>
                </w:tcPr>
                <w:p w14:paraId="5D919B5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43EF57A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4DFE57E2">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DD8A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7C5CEE9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755" w:type="pct"/>
                  <w:shd w:val="clear" w:color="auto" w:fill="auto"/>
                  <w:vAlign w:val="center"/>
                </w:tcPr>
                <w:p w14:paraId="63A1C85B">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646" w:type="pct"/>
                  <w:shd w:val="clear" w:color="auto" w:fill="auto"/>
                  <w:vAlign w:val="center"/>
                </w:tcPr>
                <w:p w14:paraId="624A0229">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418" w:type="pct"/>
                  <w:shd w:val="clear" w:color="auto" w:fill="auto"/>
                  <w:vAlign w:val="center"/>
                </w:tcPr>
                <w:p w14:paraId="70FF3BD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22" w:type="pct"/>
                  <w:shd w:val="clear" w:color="auto" w:fill="auto"/>
                  <w:vAlign w:val="center"/>
                </w:tcPr>
                <w:p w14:paraId="531EEF48">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废铜保护液</w:t>
                  </w:r>
                </w:p>
              </w:tc>
              <w:tc>
                <w:tcPr>
                  <w:tcW w:w="505" w:type="pct"/>
                  <w:shd w:val="clear" w:color="auto" w:fill="auto"/>
                  <w:vAlign w:val="center"/>
                </w:tcPr>
                <w:p w14:paraId="71F11E4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17.28</w:t>
                  </w:r>
                </w:p>
              </w:tc>
              <w:tc>
                <w:tcPr>
                  <w:tcW w:w="402" w:type="pct"/>
                  <w:shd w:val="clear" w:color="auto" w:fill="auto"/>
                  <w:vAlign w:val="center"/>
                </w:tcPr>
                <w:p w14:paraId="2E2F25F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66979D9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179D6DFA">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1B3E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573FCE2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55" w:type="pct"/>
                  <w:shd w:val="clear" w:color="auto" w:fill="auto"/>
                  <w:vAlign w:val="center"/>
                </w:tcPr>
                <w:p w14:paraId="07C71A8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646" w:type="pct"/>
                  <w:shd w:val="clear" w:color="auto" w:fill="auto"/>
                  <w:vAlign w:val="center"/>
                </w:tcPr>
                <w:p w14:paraId="4E173B9A">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418" w:type="pct"/>
                  <w:shd w:val="clear" w:color="auto" w:fill="auto"/>
                  <w:vAlign w:val="center"/>
                </w:tcPr>
                <w:p w14:paraId="42597D17">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固态</w:t>
                  </w:r>
                </w:p>
              </w:tc>
              <w:tc>
                <w:tcPr>
                  <w:tcW w:w="622" w:type="pct"/>
                  <w:shd w:val="clear" w:color="auto" w:fill="auto"/>
                  <w:vAlign w:val="center"/>
                </w:tcPr>
                <w:p w14:paraId="6E6D92F2">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布、油类</w:t>
                  </w:r>
                </w:p>
              </w:tc>
              <w:tc>
                <w:tcPr>
                  <w:tcW w:w="505" w:type="pct"/>
                  <w:shd w:val="clear" w:color="auto" w:fill="auto"/>
                  <w:vAlign w:val="center"/>
                </w:tcPr>
                <w:p w14:paraId="3084507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0.01</w:t>
                  </w:r>
                </w:p>
              </w:tc>
              <w:tc>
                <w:tcPr>
                  <w:tcW w:w="402" w:type="pct"/>
                  <w:shd w:val="clear" w:color="auto" w:fill="auto"/>
                  <w:vAlign w:val="center"/>
                </w:tcPr>
                <w:p w14:paraId="2733C20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65602D9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0AB1C42A">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2D4A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508E49A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755" w:type="pct"/>
                  <w:shd w:val="clear" w:color="auto" w:fill="auto"/>
                  <w:vAlign w:val="center"/>
                </w:tcPr>
                <w:p w14:paraId="5B3FDA8B">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646" w:type="pct"/>
                  <w:shd w:val="clear" w:color="auto" w:fill="auto"/>
                  <w:vAlign w:val="center"/>
                </w:tcPr>
                <w:p w14:paraId="20AB583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418" w:type="pct"/>
                  <w:shd w:val="clear" w:color="auto" w:fill="auto"/>
                  <w:vAlign w:val="center"/>
                </w:tcPr>
                <w:p w14:paraId="4735EB85">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22" w:type="pct"/>
                  <w:shd w:val="clear" w:color="auto" w:fill="auto"/>
                  <w:vAlign w:val="center"/>
                </w:tcPr>
                <w:p w14:paraId="25F95C13">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505" w:type="pct"/>
                  <w:vAlign w:val="center"/>
                </w:tcPr>
                <w:p w14:paraId="18FF534F">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3.06</w:t>
                  </w:r>
                </w:p>
              </w:tc>
              <w:tc>
                <w:tcPr>
                  <w:tcW w:w="402" w:type="pct"/>
                  <w:shd w:val="clear" w:color="auto" w:fill="auto"/>
                  <w:vAlign w:val="center"/>
                </w:tcPr>
                <w:p w14:paraId="4721907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519585B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726B4403">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DA5A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6924E6A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755" w:type="pct"/>
                  <w:vAlign w:val="center"/>
                </w:tcPr>
                <w:p w14:paraId="05E403DA">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646" w:type="pct"/>
                  <w:vAlign w:val="center"/>
                </w:tcPr>
                <w:p w14:paraId="1B8EB764">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18" w:type="pct"/>
                  <w:vAlign w:val="center"/>
                </w:tcPr>
                <w:p w14:paraId="1A0E6BA1">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半固</w:t>
                  </w:r>
                </w:p>
              </w:tc>
              <w:tc>
                <w:tcPr>
                  <w:tcW w:w="622" w:type="pct"/>
                  <w:vAlign w:val="center"/>
                </w:tcPr>
                <w:p w14:paraId="37A7EEE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有机物、杂质</w:t>
                  </w:r>
                </w:p>
              </w:tc>
              <w:tc>
                <w:tcPr>
                  <w:tcW w:w="505" w:type="pct"/>
                  <w:vAlign w:val="center"/>
                </w:tcPr>
                <w:p w14:paraId="7B14F677">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02" w:type="pct"/>
                  <w:shd w:val="clear" w:color="auto" w:fill="auto"/>
                  <w:vAlign w:val="center"/>
                </w:tcPr>
                <w:p w14:paraId="0AE76F2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780606C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5F23E562">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9B46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41DB072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755" w:type="pct"/>
                  <w:vAlign w:val="center"/>
                </w:tcPr>
                <w:p w14:paraId="1DC93E1B">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646" w:type="pct"/>
                  <w:vAlign w:val="center"/>
                </w:tcPr>
                <w:p w14:paraId="34BF96B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18" w:type="pct"/>
                  <w:vAlign w:val="center"/>
                </w:tcPr>
                <w:p w14:paraId="26B38C1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22" w:type="pct"/>
                  <w:vAlign w:val="center"/>
                </w:tcPr>
                <w:p w14:paraId="5B83E02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505" w:type="pct"/>
                  <w:vAlign w:val="center"/>
                </w:tcPr>
                <w:p w14:paraId="1B6D1FE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402" w:type="pct"/>
                  <w:shd w:val="clear" w:color="auto" w:fill="auto"/>
                  <w:vAlign w:val="center"/>
                </w:tcPr>
                <w:p w14:paraId="563381F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2A1E54E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08995CE7">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ACF9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500FDC7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755" w:type="pct"/>
                  <w:vAlign w:val="center"/>
                </w:tcPr>
                <w:p w14:paraId="0E284F21">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646" w:type="pct"/>
                  <w:vAlign w:val="center"/>
                </w:tcPr>
                <w:p w14:paraId="4C371EE1">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18" w:type="pct"/>
                  <w:vAlign w:val="center"/>
                </w:tcPr>
                <w:p w14:paraId="00B371EC">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22" w:type="pct"/>
                  <w:vAlign w:val="center"/>
                </w:tcPr>
                <w:p w14:paraId="5A018939">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505" w:type="pct"/>
                  <w:vAlign w:val="center"/>
                </w:tcPr>
                <w:p w14:paraId="38A4A0E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c>
                <w:tcPr>
                  <w:tcW w:w="402" w:type="pct"/>
                  <w:shd w:val="clear" w:color="auto" w:fill="auto"/>
                  <w:vAlign w:val="center"/>
                </w:tcPr>
                <w:p w14:paraId="4AC3931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2E9FC58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42E635F3">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C43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 w:type="pct"/>
                  <w:shd w:val="clear" w:color="auto" w:fill="auto"/>
                  <w:vAlign w:val="center"/>
                </w:tcPr>
                <w:p w14:paraId="6258CED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w:t>
                  </w:r>
                </w:p>
              </w:tc>
              <w:tc>
                <w:tcPr>
                  <w:tcW w:w="755" w:type="pct"/>
                  <w:shd w:val="clear" w:color="auto" w:fill="auto"/>
                  <w:vAlign w:val="center"/>
                </w:tcPr>
                <w:p w14:paraId="3D1B2BC0">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646" w:type="pct"/>
                  <w:shd w:val="clear" w:color="auto" w:fill="auto"/>
                  <w:vAlign w:val="center"/>
                </w:tcPr>
                <w:p w14:paraId="7239464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418" w:type="pct"/>
                  <w:shd w:val="clear" w:color="auto" w:fill="auto"/>
                  <w:vAlign w:val="center"/>
                </w:tcPr>
                <w:p w14:paraId="048A14B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22" w:type="pct"/>
                  <w:shd w:val="clear" w:color="auto" w:fill="auto"/>
                  <w:vAlign w:val="center"/>
                </w:tcPr>
                <w:p w14:paraId="7340D73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酸、有机物、</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油类</w:t>
                  </w:r>
                </w:p>
              </w:tc>
              <w:tc>
                <w:tcPr>
                  <w:tcW w:w="505" w:type="pct"/>
                  <w:shd w:val="clear" w:color="auto" w:fill="auto"/>
                  <w:vAlign w:val="center"/>
                </w:tcPr>
                <w:p w14:paraId="32997158">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c>
              <w:tc>
                <w:tcPr>
                  <w:tcW w:w="402" w:type="pct"/>
                  <w:shd w:val="clear" w:color="auto" w:fill="auto"/>
                  <w:vAlign w:val="center"/>
                </w:tcPr>
                <w:p w14:paraId="290D56B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1" w:type="pct"/>
                  <w:shd w:val="clear" w:color="auto" w:fill="auto"/>
                  <w:vAlign w:val="center"/>
                </w:tcPr>
                <w:p w14:paraId="36A48B7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10" w:type="pct"/>
                  <w:vMerge w:val="continue"/>
                  <w:vAlign w:val="center"/>
                </w:tcPr>
                <w:p w14:paraId="11B39D95">
                  <w:pPr>
                    <w:adjustRightInd w:val="0"/>
                    <w:snapToGrid w:val="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121183B7">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3、固体废物产生情况汇总</w:t>
            </w:r>
          </w:p>
          <w:p w14:paraId="43324E3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根据《国家危险废物名录（202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年版）》，判定建设项目固体废物是否属于危险固废。本项目固体废物产生情况汇总见</w:t>
            </w:r>
            <w:r>
              <w:rPr>
                <w:rFonts w:hint="eastAsia" w:ascii="Times New Roman" w:hAnsi="Times New Roman" w:eastAsia="宋体" w:cs="Times New Roman"/>
                <w:color w:val="000000" w:themeColor="text1"/>
                <w:sz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14:textFill>
                  <w14:solidFill>
                    <w14:schemeClr w14:val="tx1"/>
                  </w14:solidFill>
                </w14:textFill>
              </w:rPr>
              <w:t>。</w:t>
            </w:r>
          </w:p>
          <w:p w14:paraId="3B58A7F3">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34</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b/>
                <w:color w:val="000000" w:themeColor="text1"/>
                <w:sz w:val="24"/>
                <w14:textFill>
                  <w14:solidFill>
                    <w14:schemeClr w14:val="tx1"/>
                  </w14:solidFill>
                </w14:textFill>
              </w:rPr>
              <w:t>固体废物类别判定表</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8"/>
              <w:gridCol w:w="888"/>
              <w:gridCol w:w="521"/>
              <w:gridCol w:w="883"/>
              <w:gridCol w:w="489"/>
              <w:gridCol w:w="1354"/>
              <w:gridCol w:w="720"/>
              <w:gridCol w:w="776"/>
              <w:gridCol w:w="1313"/>
              <w:gridCol w:w="1181"/>
            </w:tblGrid>
            <w:tr w14:paraId="3A383A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vAlign w:val="center"/>
                </w:tcPr>
                <w:p w14:paraId="229FAD86">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88" w:type="dxa"/>
                  <w:vAlign w:val="center"/>
                </w:tcPr>
                <w:p w14:paraId="48E7D7F6">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固废名称</w:t>
                  </w:r>
                </w:p>
              </w:tc>
              <w:tc>
                <w:tcPr>
                  <w:tcW w:w="521" w:type="dxa"/>
                  <w:vAlign w:val="center"/>
                </w:tcPr>
                <w:p w14:paraId="662BD2ED">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属性</w:t>
                  </w:r>
                </w:p>
              </w:tc>
              <w:tc>
                <w:tcPr>
                  <w:tcW w:w="883" w:type="dxa"/>
                  <w:vAlign w:val="center"/>
                </w:tcPr>
                <w:p w14:paraId="558ADA71">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产生工序</w:t>
                  </w:r>
                </w:p>
              </w:tc>
              <w:tc>
                <w:tcPr>
                  <w:tcW w:w="489" w:type="dxa"/>
                  <w:vAlign w:val="center"/>
                </w:tcPr>
                <w:p w14:paraId="5B073BE1">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形态</w:t>
                  </w:r>
                </w:p>
              </w:tc>
              <w:tc>
                <w:tcPr>
                  <w:tcW w:w="1354" w:type="dxa"/>
                  <w:vAlign w:val="center"/>
                </w:tcPr>
                <w:p w14:paraId="40C7A05C">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主要成分</w:t>
                  </w:r>
                </w:p>
              </w:tc>
              <w:tc>
                <w:tcPr>
                  <w:tcW w:w="720" w:type="dxa"/>
                  <w:vAlign w:val="center"/>
                </w:tcPr>
                <w:p w14:paraId="1C92656B">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危险特性</w:t>
                  </w:r>
                </w:p>
              </w:tc>
              <w:tc>
                <w:tcPr>
                  <w:tcW w:w="776" w:type="dxa"/>
                  <w:vAlign w:val="center"/>
                </w:tcPr>
                <w:p w14:paraId="7EAA8BCE">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1313" w:type="dxa"/>
                  <w:vAlign w:val="center"/>
                </w:tcPr>
                <w:p w14:paraId="10A8DD17">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代码</w:t>
                  </w:r>
                </w:p>
              </w:tc>
              <w:tc>
                <w:tcPr>
                  <w:tcW w:w="1181" w:type="dxa"/>
                  <w:vAlign w:val="center"/>
                </w:tcPr>
                <w:p w14:paraId="124E9167">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估算产生量（t/a）</w:t>
                  </w:r>
                </w:p>
              </w:tc>
            </w:tr>
            <w:tr w14:paraId="5340DB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59581F7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88" w:type="dxa"/>
                  <w:shd w:val="clear" w:color="auto" w:fill="auto"/>
                  <w:vAlign w:val="center"/>
                </w:tcPr>
                <w:p w14:paraId="18B97A9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521" w:type="dxa"/>
                  <w:shd w:val="clear" w:color="auto" w:fill="auto"/>
                  <w:vAlign w:val="center"/>
                </w:tcPr>
                <w:p w14:paraId="7FA7067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83" w:type="dxa"/>
                  <w:shd w:val="clear" w:color="auto" w:fill="auto"/>
                  <w:vAlign w:val="center"/>
                </w:tcPr>
                <w:p w14:paraId="7C0CE0B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489" w:type="dxa"/>
                  <w:shd w:val="clear" w:color="auto" w:fill="auto"/>
                  <w:vAlign w:val="center"/>
                </w:tcPr>
                <w:p w14:paraId="4B1FA0B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半固</w:t>
                  </w:r>
                </w:p>
              </w:tc>
              <w:tc>
                <w:tcPr>
                  <w:tcW w:w="1354" w:type="dxa"/>
                  <w:shd w:val="clear" w:color="auto" w:fill="auto"/>
                  <w:vAlign w:val="center"/>
                </w:tcPr>
                <w:p w14:paraId="7D3D60A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废塑料、废纸等</w:t>
                  </w:r>
                </w:p>
              </w:tc>
              <w:tc>
                <w:tcPr>
                  <w:tcW w:w="720" w:type="dxa"/>
                  <w:vAlign w:val="center"/>
                </w:tcPr>
                <w:p w14:paraId="0E2DCE10">
                  <w:pPr>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381B3D8F">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SW64</w:t>
                  </w:r>
                </w:p>
              </w:tc>
              <w:tc>
                <w:tcPr>
                  <w:tcW w:w="1313" w:type="dxa"/>
                  <w:shd w:val="clear" w:color="auto" w:fill="auto"/>
                  <w:vAlign w:val="center"/>
                </w:tcPr>
                <w:p w14:paraId="718176A1">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900-099-S64</w:t>
                  </w:r>
                </w:p>
              </w:tc>
              <w:tc>
                <w:tcPr>
                  <w:tcW w:w="1181" w:type="dxa"/>
                  <w:shd w:val="clear" w:color="auto" w:fill="auto"/>
                  <w:vAlign w:val="center"/>
                </w:tcPr>
                <w:p w14:paraId="2EBCFF7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r>
            <w:tr w14:paraId="269E57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2B563F9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88" w:type="dxa"/>
                  <w:shd w:val="clear" w:color="auto" w:fill="auto"/>
                  <w:vAlign w:val="center"/>
                </w:tcPr>
                <w:p w14:paraId="70E5784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1"/>
                      <w:szCs w:val="21"/>
                      <w14:textFill>
                        <w14:solidFill>
                          <w14:schemeClr w14:val="tx1"/>
                        </w14:solidFill>
                      </w14:textFill>
                    </w:rPr>
                    <w:t>边角料</w:t>
                  </w:r>
                </w:p>
              </w:tc>
              <w:tc>
                <w:tcPr>
                  <w:tcW w:w="521" w:type="dxa"/>
                  <w:vMerge w:val="restart"/>
                  <w:shd w:val="clear" w:color="auto" w:fill="auto"/>
                  <w:vAlign w:val="center"/>
                </w:tcPr>
                <w:p w14:paraId="31F0754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tc>
              <w:tc>
                <w:tcPr>
                  <w:tcW w:w="883" w:type="dxa"/>
                  <w:shd w:val="clear" w:color="auto" w:fill="auto"/>
                  <w:vAlign w:val="center"/>
                </w:tcPr>
                <w:p w14:paraId="2FC7BA4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冲压、分切等</w:t>
                  </w:r>
                </w:p>
              </w:tc>
              <w:tc>
                <w:tcPr>
                  <w:tcW w:w="489" w:type="dxa"/>
                  <w:shd w:val="clear" w:color="auto" w:fill="auto"/>
                  <w:vAlign w:val="center"/>
                </w:tcPr>
                <w:p w14:paraId="391B09A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354" w:type="dxa"/>
                  <w:shd w:val="clear" w:color="auto" w:fill="auto"/>
                  <w:vAlign w:val="center"/>
                </w:tcPr>
                <w:p w14:paraId="7EF7B22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w:t>
                  </w:r>
                </w:p>
              </w:tc>
              <w:tc>
                <w:tcPr>
                  <w:tcW w:w="720" w:type="dxa"/>
                  <w:shd w:val="clear" w:color="auto" w:fill="auto"/>
                  <w:vAlign w:val="center"/>
                </w:tcPr>
                <w:p w14:paraId="25FF3A2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1C83CED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1313" w:type="dxa"/>
                  <w:shd w:val="clear" w:color="auto" w:fill="auto"/>
                  <w:vAlign w:val="center"/>
                </w:tcPr>
                <w:p w14:paraId="5B9BE34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1181" w:type="dxa"/>
                  <w:shd w:val="clear" w:color="auto" w:fill="auto"/>
                  <w:vAlign w:val="center"/>
                </w:tcPr>
                <w:p w14:paraId="105E32F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8479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18B4D68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88" w:type="dxa"/>
                  <w:shd w:val="clear" w:color="auto" w:fill="auto"/>
                  <w:vAlign w:val="center"/>
                </w:tcPr>
                <w:p w14:paraId="7F7F9EE4">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不合格品</w:t>
                  </w:r>
                </w:p>
              </w:tc>
              <w:tc>
                <w:tcPr>
                  <w:tcW w:w="521" w:type="dxa"/>
                  <w:vMerge w:val="continue"/>
                  <w:shd w:val="clear" w:color="auto" w:fill="auto"/>
                  <w:vAlign w:val="center"/>
                </w:tcPr>
                <w:p w14:paraId="7B4BEC8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38641FB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489" w:type="dxa"/>
                  <w:shd w:val="clear" w:color="auto" w:fill="auto"/>
                  <w:vAlign w:val="center"/>
                </w:tcPr>
                <w:p w14:paraId="6431877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354" w:type="dxa"/>
                  <w:shd w:val="clear" w:color="auto" w:fill="auto"/>
                  <w:vAlign w:val="center"/>
                </w:tcPr>
                <w:p w14:paraId="7F16C07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w:t>
                  </w:r>
                </w:p>
              </w:tc>
              <w:tc>
                <w:tcPr>
                  <w:tcW w:w="720" w:type="dxa"/>
                  <w:shd w:val="clear" w:color="auto" w:fill="auto"/>
                  <w:vAlign w:val="center"/>
                </w:tcPr>
                <w:p w14:paraId="18CFF9C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1DF2D3F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1313" w:type="dxa"/>
                  <w:shd w:val="clear" w:color="auto" w:fill="auto"/>
                  <w:vAlign w:val="center"/>
                </w:tcPr>
                <w:p w14:paraId="27F5D82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1181" w:type="dxa"/>
                  <w:shd w:val="clear" w:color="auto" w:fill="auto"/>
                  <w:vAlign w:val="center"/>
                </w:tcPr>
                <w:p w14:paraId="573E503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10.426</w:t>
                  </w:r>
                </w:p>
              </w:tc>
            </w:tr>
            <w:tr w14:paraId="5DBF16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1FEB21E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88" w:type="dxa"/>
                  <w:shd w:val="clear" w:color="auto" w:fill="auto"/>
                  <w:vAlign w:val="center"/>
                </w:tcPr>
                <w:p w14:paraId="4FFCB765">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纯水制备耗材</w:t>
                  </w:r>
                </w:p>
              </w:tc>
              <w:tc>
                <w:tcPr>
                  <w:tcW w:w="521" w:type="dxa"/>
                  <w:vMerge w:val="continue"/>
                  <w:shd w:val="clear" w:color="auto" w:fill="auto"/>
                  <w:vAlign w:val="center"/>
                </w:tcPr>
                <w:p w14:paraId="4DDB908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5E30D5F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c>
                <w:tcPr>
                  <w:tcW w:w="489" w:type="dxa"/>
                  <w:shd w:val="clear" w:color="auto" w:fill="auto"/>
                  <w:vAlign w:val="center"/>
                </w:tcPr>
                <w:p w14:paraId="0823129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49394B2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720" w:type="dxa"/>
                  <w:shd w:val="clear" w:color="auto" w:fill="auto"/>
                  <w:vAlign w:val="center"/>
                </w:tcPr>
                <w:p w14:paraId="77C2367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77B9BF0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SW59</w:t>
                  </w:r>
                </w:p>
              </w:tc>
              <w:tc>
                <w:tcPr>
                  <w:tcW w:w="1313" w:type="dxa"/>
                  <w:shd w:val="clear" w:color="auto" w:fill="auto"/>
                  <w:vAlign w:val="center"/>
                </w:tcPr>
                <w:p w14:paraId="6AF62DE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900-009-S59</w:t>
                  </w:r>
                </w:p>
              </w:tc>
              <w:tc>
                <w:tcPr>
                  <w:tcW w:w="1181" w:type="dxa"/>
                  <w:shd w:val="clear" w:color="auto" w:fill="auto"/>
                  <w:vAlign w:val="center"/>
                </w:tcPr>
                <w:p w14:paraId="731D40C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0.2/2a</w:t>
                  </w:r>
                </w:p>
              </w:tc>
            </w:tr>
            <w:tr w14:paraId="76EDF1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220A7EE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888" w:type="dxa"/>
                  <w:shd w:val="clear" w:color="auto" w:fill="auto"/>
                  <w:vAlign w:val="center"/>
                </w:tcPr>
                <w:p w14:paraId="45B3726A">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521" w:type="dxa"/>
                  <w:vMerge w:val="restart"/>
                  <w:shd w:val="clear" w:color="auto" w:fill="auto"/>
                  <w:vAlign w:val="center"/>
                </w:tcPr>
                <w:p w14:paraId="411C13D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883" w:type="dxa"/>
                  <w:shd w:val="clear" w:color="auto" w:fill="auto"/>
                  <w:vAlign w:val="center"/>
                </w:tcPr>
                <w:p w14:paraId="3370C48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489" w:type="dxa"/>
                  <w:shd w:val="clear" w:color="auto" w:fill="auto"/>
                  <w:vAlign w:val="center"/>
                </w:tcPr>
                <w:p w14:paraId="68FC18E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液态</w:t>
                  </w:r>
                </w:p>
              </w:tc>
              <w:tc>
                <w:tcPr>
                  <w:tcW w:w="1354" w:type="dxa"/>
                  <w:shd w:val="clear" w:color="auto" w:fill="auto"/>
                  <w:vAlign w:val="center"/>
                </w:tcPr>
                <w:p w14:paraId="10032A9E">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磨削液</w:t>
                  </w:r>
                </w:p>
              </w:tc>
              <w:tc>
                <w:tcPr>
                  <w:tcW w:w="720" w:type="dxa"/>
                  <w:shd w:val="clear" w:color="auto" w:fill="auto"/>
                  <w:vAlign w:val="center"/>
                </w:tcPr>
                <w:p w14:paraId="387DEDE6">
                  <w:pPr>
                    <w:tabs>
                      <w:tab w:val="left" w:pos="2340"/>
                    </w:tabs>
                    <w:autoSpaceDE w:val="0"/>
                    <w:autoSpaceDN w:val="0"/>
                    <w:jc w:val="center"/>
                    <w:textAlignment w:val="baseline"/>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p>
              </w:tc>
              <w:tc>
                <w:tcPr>
                  <w:tcW w:w="776" w:type="dxa"/>
                  <w:shd w:val="clear" w:color="auto" w:fill="auto"/>
                  <w:vAlign w:val="center"/>
                </w:tcPr>
                <w:p w14:paraId="3470474C">
                  <w:pPr>
                    <w:jc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HW09</w:t>
                  </w:r>
                </w:p>
              </w:tc>
              <w:tc>
                <w:tcPr>
                  <w:tcW w:w="1313" w:type="dxa"/>
                  <w:shd w:val="clear" w:color="auto" w:fill="auto"/>
                  <w:vAlign w:val="center"/>
                </w:tcPr>
                <w:p w14:paraId="649CE0F9">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900-006-09</w:t>
                  </w:r>
                </w:p>
              </w:tc>
              <w:tc>
                <w:tcPr>
                  <w:tcW w:w="1181" w:type="dxa"/>
                  <w:shd w:val="clear" w:color="auto" w:fill="auto"/>
                  <w:vAlign w:val="center"/>
                </w:tcPr>
                <w:p w14:paraId="008CE71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w:t>
                  </w:r>
                </w:p>
              </w:tc>
            </w:tr>
            <w:tr w14:paraId="70202C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4170056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888" w:type="dxa"/>
                  <w:shd w:val="clear" w:color="auto" w:fill="auto"/>
                  <w:vAlign w:val="center"/>
                </w:tcPr>
                <w:p w14:paraId="66AC6DA0">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521" w:type="dxa"/>
                  <w:vMerge w:val="continue"/>
                  <w:shd w:val="clear" w:color="auto" w:fill="auto"/>
                  <w:vAlign w:val="center"/>
                </w:tcPr>
                <w:p w14:paraId="3D21AAE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0C2F67B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489" w:type="dxa"/>
                  <w:shd w:val="clear" w:color="auto" w:fill="auto"/>
                  <w:vAlign w:val="center"/>
                </w:tcPr>
                <w:p w14:paraId="6A74B07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064C5F6D">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金属、磨削液</w:t>
                  </w:r>
                </w:p>
              </w:tc>
              <w:tc>
                <w:tcPr>
                  <w:tcW w:w="720" w:type="dxa"/>
                  <w:shd w:val="clear" w:color="auto" w:fill="auto"/>
                  <w:vAlign w:val="center"/>
                </w:tcPr>
                <w:p w14:paraId="300B294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hint="default" w:ascii="Times New Roman" w:hAnsi="Times New Roman" w:cs="Times New Roman"/>
                      <w:color w:val="000000" w:themeColor="text1"/>
                      <w:spacing w:val="-2"/>
                      <w:sz w:val="21"/>
                      <w:szCs w:val="21"/>
                      <w14:textFill>
                        <w14:solidFill>
                          <w14:schemeClr w14:val="tx1"/>
                        </w14:solidFill>
                      </w14:textFill>
                    </w:rPr>
                    <w:t>I</w:t>
                  </w:r>
                </w:p>
              </w:tc>
              <w:tc>
                <w:tcPr>
                  <w:tcW w:w="776" w:type="dxa"/>
                  <w:shd w:val="clear" w:color="auto" w:fill="auto"/>
                  <w:vAlign w:val="center"/>
                </w:tcPr>
                <w:p w14:paraId="6374FE6A">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HW</w:t>
                  </w:r>
                  <w:r>
                    <w:rPr>
                      <w:rFonts w:hint="default" w:ascii="Times New Roman" w:hAnsi="Times New Roman" w:cs="Times New Roman"/>
                      <w:color w:val="000000" w:themeColor="text1"/>
                      <w:spacing w:val="-1"/>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8</w:t>
                  </w:r>
                </w:p>
              </w:tc>
              <w:tc>
                <w:tcPr>
                  <w:tcW w:w="1313" w:type="dxa"/>
                  <w:shd w:val="clear" w:color="auto" w:fill="auto"/>
                  <w:vAlign w:val="center"/>
                </w:tcPr>
                <w:p w14:paraId="12EC829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900-213-08</w:t>
                  </w:r>
                </w:p>
              </w:tc>
              <w:tc>
                <w:tcPr>
                  <w:tcW w:w="1181" w:type="dxa"/>
                  <w:shd w:val="clear" w:color="auto" w:fill="auto"/>
                  <w:vAlign w:val="center"/>
                </w:tcPr>
                <w:p w14:paraId="348CF63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w:t>
                  </w:r>
                </w:p>
              </w:tc>
            </w:tr>
            <w:tr w14:paraId="331E13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1A2AF91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88" w:type="dxa"/>
                  <w:shd w:val="clear" w:color="auto" w:fill="auto"/>
                  <w:vAlign w:val="center"/>
                </w:tcPr>
                <w:p w14:paraId="29B10285">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521" w:type="dxa"/>
                  <w:vMerge w:val="continue"/>
                  <w:shd w:val="clear" w:color="auto" w:fill="auto"/>
                  <w:vAlign w:val="center"/>
                </w:tcPr>
                <w:p w14:paraId="32F60B5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4294E1A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489" w:type="dxa"/>
                  <w:shd w:val="clear" w:color="auto" w:fill="auto"/>
                  <w:vAlign w:val="center"/>
                </w:tcPr>
                <w:p w14:paraId="7AC54AF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4DD8DEC3">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废除油液</w:t>
                  </w:r>
                </w:p>
              </w:tc>
              <w:tc>
                <w:tcPr>
                  <w:tcW w:w="720" w:type="dxa"/>
                  <w:shd w:val="clear" w:color="auto" w:fill="auto"/>
                  <w:vAlign w:val="center"/>
                </w:tcPr>
                <w:p w14:paraId="23CCE48F">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776" w:type="dxa"/>
                  <w:shd w:val="clear" w:color="auto" w:fill="auto"/>
                  <w:vAlign w:val="center"/>
                </w:tcPr>
                <w:p w14:paraId="2F6039FF">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1A5358E5">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4B6DF85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19.8</w:t>
                  </w:r>
                </w:p>
              </w:tc>
            </w:tr>
            <w:tr w14:paraId="195E5A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30064AF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88" w:type="dxa"/>
                  <w:shd w:val="clear" w:color="auto" w:fill="auto"/>
                  <w:vAlign w:val="center"/>
                </w:tcPr>
                <w:p w14:paraId="7622A84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521" w:type="dxa"/>
                  <w:vMerge w:val="continue"/>
                  <w:shd w:val="clear" w:color="auto" w:fill="auto"/>
                  <w:vAlign w:val="center"/>
                </w:tcPr>
                <w:p w14:paraId="5AE08C4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44C87AD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489" w:type="dxa"/>
                  <w:shd w:val="clear" w:color="auto" w:fill="auto"/>
                  <w:vAlign w:val="center"/>
                </w:tcPr>
                <w:p w14:paraId="256F234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7A8E78A2">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废酸洗液</w:t>
                  </w:r>
                </w:p>
              </w:tc>
              <w:tc>
                <w:tcPr>
                  <w:tcW w:w="720" w:type="dxa"/>
                  <w:shd w:val="clear" w:color="auto" w:fill="auto"/>
                  <w:vAlign w:val="center"/>
                </w:tcPr>
                <w:p w14:paraId="4EF59A35">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776" w:type="dxa"/>
                  <w:shd w:val="clear" w:color="auto" w:fill="auto"/>
                  <w:vAlign w:val="center"/>
                </w:tcPr>
                <w:p w14:paraId="7AB7CDB3">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6F46F2C3">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436B377F">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6.8</w:t>
                  </w:r>
                </w:p>
              </w:tc>
            </w:tr>
            <w:tr w14:paraId="1D7861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5B9EDE1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88" w:type="dxa"/>
                  <w:shd w:val="clear" w:color="auto" w:fill="auto"/>
                  <w:vAlign w:val="center"/>
                </w:tcPr>
                <w:p w14:paraId="19751F9B">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521" w:type="dxa"/>
                  <w:vMerge w:val="continue"/>
                  <w:shd w:val="clear" w:color="auto" w:fill="auto"/>
                  <w:vAlign w:val="center"/>
                </w:tcPr>
                <w:p w14:paraId="58A8687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3DB46E9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489" w:type="dxa"/>
                  <w:shd w:val="clear" w:color="auto" w:fill="auto"/>
                  <w:vAlign w:val="center"/>
                </w:tcPr>
                <w:p w14:paraId="6833BF7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1FDD90F3">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废铜保护液</w:t>
                  </w:r>
                </w:p>
              </w:tc>
              <w:tc>
                <w:tcPr>
                  <w:tcW w:w="720" w:type="dxa"/>
                  <w:shd w:val="clear" w:color="auto" w:fill="auto"/>
                  <w:vAlign w:val="center"/>
                </w:tcPr>
                <w:p w14:paraId="1007A39C">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776" w:type="dxa"/>
                  <w:shd w:val="clear" w:color="auto" w:fill="auto"/>
                  <w:vAlign w:val="center"/>
                </w:tcPr>
                <w:p w14:paraId="1C98C317">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78981EEE">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202C363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17.28</w:t>
                  </w:r>
                </w:p>
              </w:tc>
            </w:tr>
            <w:tr w14:paraId="26F6C5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35C9B0B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88" w:type="dxa"/>
                  <w:shd w:val="clear" w:color="auto" w:fill="auto"/>
                  <w:vAlign w:val="center"/>
                </w:tcPr>
                <w:p w14:paraId="7833C5C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521" w:type="dxa"/>
                  <w:vMerge w:val="continue"/>
                  <w:shd w:val="clear" w:color="auto" w:fill="auto"/>
                  <w:vAlign w:val="center"/>
                </w:tcPr>
                <w:p w14:paraId="388D7AFB">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3B25B5E1">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489" w:type="dxa"/>
                  <w:shd w:val="clear" w:color="auto" w:fill="auto"/>
                  <w:vAlign w:val="center"/>
                </w:tcPr>
                <w:p w14:paraId="595962FB">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固态</w:t>
                  </w:r>
                </w:p>
              </w:tc>
              <w:tc>
                <w:tcPr>
                  <w:tcW w:w="1354" w:type="dxa"/>
                  <w:shd w:val="clear" w:color="auto" w:fill="auto"/>
                  <w:vAlign w:val="center"/>
                </w:tcPr>
                <w:p w14:paraId="0F2A8E9B">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布、油类</w:t>
                  </w:r>
                </w:p>
              </w:tc>
              <w:tc>
                <w:tcPr>
                  <w:tcW w:w="720" w:type="dxa"/>
                  <w:shd w:val="clear" w:color="auto" w:fill="auto"/>
                  <w:vAlign w:val="center"/>
                </w:tcPr>
                <w:p w14:paraId="72A66F0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776" w:type="dxa"/>
                  <w:shd w:val="clear" w:color="auto" w:fill="auto"/>
                  <w:vAlign w:val="center"/>
                </w:tcPr>
                <w:p w14:paraId="0B0F6EA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13" w:type="dxa"/>
                  <w:shd w:val="clear" w:color="auto" w:fill="auto"/>
                  <w:vAlign w:val="center"/>
                </w:tcPr>
                <w:p w14:paraId="7CBAC05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1181" w:type="dxa"/>
                  <w:shd w:val="clear" w:color="auto" w:fill="auto"/>
                  <w:vAlign w:val="center"/>
                </w:tcPr>
                <w:p w14:paraId="5322C09F">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0.01</w:t>
                  </w:r>
                </w:p>
              </w:tc>
            </w:tr>
            <w:tr w14:paraId="0C2DAD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0AFCCD2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888" w:type="dxa"/>
                  <w:shd w:val="clear" w:color="auto" w:fill="auto"/>
                  <w:vAlign w:val="center"/>
                </w:tcPr>
                <w:p w14:paraId="7A48F3E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521" w:type="dxa"/>
                  <w:vMerge w:val="continue"/>
                  <w:shd w:val="clear" w:color="auto" w:fill="auto"/>
                  <w:vAlign w:val="center"/>
                </w:tcPr>
                <w:p w14:paraId="65A50F8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5151378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489" w:type="dxa"/>
                  <w:shd w:val="clear" w:color="auto" w:fill="auto"/>
                  <w:vAlign w:val="center"/>
                </w:tcPr>
                <w:p w14:paraId="4A8632F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657D2E2F">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720" w:type="dxa"/>
                  <w:shd w:val="clear" w:color="auto" w:fill="auto"/>
                  <w:vAlign w:val="center"/>
                </w:tcPr>
                <w:p w14:paraId="65CC7AF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w:t>
                  </w:r>
                </w:p>
              </w:tc>
              <w:tc>
                <w:tcPr>
                  <w:tcW w:w="776" w:type="dxa"/>
                  <w:shd w:val="clear" w:color="auto" w:fill="auto"/>
                  <w:vAlign w:val="center"/>
                </w:tcPr>
                <w:p w14:paraId="5B28E07C">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1313" w:type="dxa"/>
                  <w:shd w:val="clear" w:color="auto" w:fill="auto"/>
                  <w:vAlign w:val="center"/>
                </w:tcPr>
                <w:p w14:paraId="2843A869">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1181" w:type="dxa"/>
                  <w:shd w:val="clear" w:color="auto" w:fill="auto"/>
                  <w:vAlign w:val="center"/>
                </w:tcPr>
                <w:p w14:paraId="57F97138">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3.06</w:t>
                  </w:r>
                </w:p>
              </w:tc>
            </w:tr>
            <w:tr w14:paraId="01C4AF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4A47854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888" w:type="dxa"/>
                  <w:shd w:val="clear" w:color="auto" w:fill="auto"/>
                  <w:vAlign w:val="center"/>
                </w:tcPr>
                <w:p w14:paraId="045F0998">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521" w:type="dxa"/>
                  <w:vMerge w:val="continue"/>
                  <w:shd w:val="clear" w:color="auto" w:fill="auto"/>
                  <w:vAlign w:val="center"/>
                </w:tcPr>
                <w:p w14:paraId="5B56864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47A0867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89" w:type="dxa"/>
                  <w:shd w:val="clear" w:color="auto" w:fill="auto"/>
                  <w:vAlign w:val="center"/>
                </w:tcPr>
                <w:p w14:paraId="4B5EB35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半固</w:t>
                  </w:r>
                </w:p>
              </w:tc>
              <w:tc>
                <w:tcPr>
                  <w:tcW w:w="1354" w:type="dxa"/>
                  <w:shd w:val="clear" w:color="auto" w:fill="auto"/>
                  <w:vAlign w:val="center"/>
                </w:tcPr>
                <w:p w14:paraId="738F9F98">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有机物、杂质</w:t>
                  </w:r>
                </w:p>
              </w:tc>
              <w:tc>
                <w:tcPr>
                  <w:tcW w:w="720" w:type="dxa"/>
                  <w:shd w:val="clear" w:color="auto" w:fill="auto"/>
                  <w:vAlign w:val="center"/>
                </w:tcPr>
                <w:p w14:paraId="0A07C781">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776" w:type="dxa"/>
                  <w:shd w:val="clear" w:color="auto" w:fill="auto"/>
                  <w:vAlign w:val="center"/>
                </w:tcPr>
                <w:p w14:paraId="7202F506">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5F479CDE">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0347058D">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r>
            <w:tr w14:paraId="3E1E91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60A3FB9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888" w:type="dxa"/>
                  <w:shd w:val="clear" w:color="auto" w:fill="auto"/>
                  <w:vAlign w:val="center"/>
                </w:tcPr>
                <w:p w14:paraId="7E20259E">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521" w:type="dxa"/>
                  <w:vMerge w:val="continue"/>
                  <w:shd w:val="clear" w:color="auto" w:fill="auto"/>
                  <w:vAlign w:val="center"/>
                </w:tcPr>
                <w:p w14:paraId="2A88C4C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42140C4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89" w:type="dxa"/>
                  <w:shd w:val="clear" w:color="auto" w:fill="auto"/>
                  <w:vAlign w:val="center"/>
                </w:tcPr>
                <w:p w14:paraId="4C41B66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225A103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720" w:type="dxa"/>
                  <w:shd w:val="clear" w:color="auto" w:fill="auto"/>
                  <w:vAlign w:val="center"/>
                </w:tcPr>
                <w:p w14:paraId="416DD801">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776" w:type="dxa"/>
                  <w:shd w:val="clear" w:color="auto" w:fill="auto"/>
                  <w:vAlign w:val="center"/>
                </w:tcPr>
                <w:p w14:paraId="3BBAC9F9">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523534C4">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5FDE29AD">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r>
            <w:tr w14:paraId="26AD16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563A470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888" w:type="dxa"/>
                  <w:shd w:val="clear" w:color="auto" w:fill="auto"/>
                  <w:vAlign w:val="center"/>
                </w:tcPr>
                <w:p w14:paraId="6DFCE3A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521" w:type="dxa"/>
                  <w:vMerge w:val="continue"/>
                  <w:shd w:val="clear" w:color="auto" w:fill="auto"/>
                  <w:vAlign w:val="center"/>
                </w:tcPr>
                <w:p w14:paraId="6CF889C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5EE315C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89" w:type="dxa"/>
                  <w:shd w:val="clear" w:color="auto" w:fill="auto"/>
                  <w:vAlign w:val="center"/>
                </w:tcPr>
                <w:p w14:paraId="3660E16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3C8A2CFD">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720" w:type="dxa"/>
                  <w:shd w:val="clear" w:color="auto" w:fill="auto"/>
                  <w:vAlign w:val="center"/>
                </w:tcPr>
                <w:p w14:paraId="696A1AC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776" w:type="dxa"/>
                  <w:shd w:val="clear" w:color="auto" w:fill="auto"/>
                  <w:vAlign w:val="center"/>
                </w:tcPr>
                <w:p w14:paraId="4D950FF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13" w:type="dxa"/>
                  <w:shd w:val="clear" w:color="auto" w:fill="auto"/>
                  <w:vAlign w:val="center"/>
                </w:tcPr>
                <w:p w14:paraId="4F73BA3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1181" w:type="dxa"/>
                  <w:shd w:val="clear" w:color="auto" w:fill="auto"/>
                  <w:vAlign w:val="center"/>
                </w:tcPr>
                <w:p w14:paraId="229183B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r>
            <w:tr w14:paraId="671ABA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495EFF2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w:t>
                  </w:r>
                </w:p>
              </w:tc>
              <w:tc>
                <w:tcPr>
                  <w:tcW w:w="888" w:type="dxa"/>
                  <w:shd w:val="clear" w:color="auto" w:fill="auto"/>
                  <w:vAlign w:val="center"/>
                </w:tcPr>
                <w:p w14:paraId="639E7754">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521" w:type="dxa"/>
                  <w:vMerge w:val="continue"/>
                  <w:shd w:val="clear" w:color="auto" w:fill="auto"/>
                  <w:vAlign w:val="center"/>
                </w:tcPr>
                <w:p w14:paraId="7E37760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28771E4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489" w:type="dxa"/>
                  <w:shd w:val="clear" w:color="auto" w:fill="auto"/>
                  <w:vAlign w:val="center"/>
                </w:tcPr>
                <w:p w14:paraId="438CB9D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1026CCE0">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酸、有机物、</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油类</w:t>
                  </w:r>
                </w:p>
              </w:tc>
              <w:tc>
                <w:tcPr>
                  <w:tcW w:w="720" w:type="dxa"/>
                  <w:shd w:val="clear" w:color="auto" w:fill="auto"/>
                  <w:vAlign w:val="center"/>
                </w:tcPr>
                <w:p w14:paraId="1100955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776" w:type="dxa"/>
                  <w:shd w:val="clear" w:color="auto" w:fill="auto"/>
                  <w:vAlign w:val="center"/>
                </w:tcPr>
                <w:p w14:paraId="3F022C9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13" w:type="dxa"/>
                  <w:shd w:val="clear" w:color="auto" w:fill="auto"/>
                  <w:vAlign w:val="center"/>
                </w:tcPr>
                <w:p w14:paraId="34B81F2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1181" w:type="dxa"/>
                  <w:shd w:val="clear" w:color="auto" w:fill="auto"/>
                  <w:vAlign w:val="center"/>
                </w:tcPr>
                <w:p w14:paraId="35E38ED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c>
            </w:tr>
          </w:tbl>
          <w:p w14:paraId="75AB1375">
            <w:pPr>
              <w:keepNext w:val="0"/>
              <w:keepLines w:val="0"/>
              <w:pageBreakBefore w:val="0"/>
              <w:widowControl w:val="0"/>
              <w:kinsoku/>
              <w:wordWrap/>
              <w:overflowPunct/>
              <w:topLinePunct w:val="0"/>
              <w:autoSpaceDE/>
              <w:autoSpaceDN/>
              <w:bidi w:val="0"/>
              <w:adjustRightInd/>
              <w:snapToGrid/>
              <w:spacing w:before="10" w:line="360" w:lineRule="auto"/>
              <w:ind w:firstLine="480" w:firstLineChars="200"/>
              <w:jc w:val="left"/>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项目建成后，全厂</w:t>
            </w:r>
            <w:r>
              <w:rPr>
                <w:rFonts w:hint="default" w:ascii="Times New Roman" w:hAnsi="Times New Roman" w:eastAsia="宋体" w:cs="Times New Roman"/>
                <w:color w:val="000000" w:themeColor="text1"/>
                <w:sz w:val="24"/>
                <w14:textFill>
                  <w14:solidFill>
                    <w14:schemeClr w14:val="tx1"/>
                  </w14:solidFill>
                </w14:textFill>
              </w:rPr>
              <w:t>固体废物产生情况汇总见</w:t>
            </w:r>
            <w:r>
              <w:rPr>
                <w:rFonts w:hint="eastAsia" w:ascii="Times New Roman" w:hAnsi="Times New Roman" w:eastAsia="宋体" w:cs="Times New Roman"/>
                <w:color w:val="000000" w:themeColor="text1"/>
                <w:sz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14:textFill>
                  <w14:solidFill>
                    <w14:schemeClr w14:val="tx1"/>
                  </w14:solidFill>
                </w14:textFill>
              </w:rPr>
              <w:t>。</w:t>
            </w:r>
          </w:p>
          <w:p w14:paraId="0102509B">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35</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全厂</w:t>
            </w:r>
            <w:r>
              <w:rPr>
                <w:rFonts w:hint="default" w:ascii="Times New Roman" w:hAnsi="Times New Roman" w:eastAsia="宋体" w:cs="Times New Roman"/>
                <w:b/>
                <w:color w:val="000000" w:themeColor="text1"/>
                <w:sz w:val="24"/>
                <w14:textFill>
                  <w14:solidFill>
                    <w14:schemeClr w14:val="tx1"/>
                  </w14:solidFill>
                </w14:textFill>
              </w:rPr>
              <w:t>固体废物类别判定表</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8"/>
              <w:gridCol w:w="888"/>
              <w:gridCol w:w="521"/>
              <w:gridCol w:w="883"/>
              <w:gridCol w:w="489"/>
              <w:gridCol w:w="1354"/>
              <w:gridCol w:w="720"/>
              <w:gridCol w:w="776"/>
              <w:gridCol w:w="1313"/>
              <w:gridCol w:w="1181"/>
            </w:tblGrid>
            <w:tr w14:paraId="1E9D85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vAlign w:val="center"/>
                </w:tcPr>
                <w:p w14:paraId="5AA278B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88" w:type="dxa"/>
                  <w:vAlign w:val="center"/>
                </w:tcPr>
                <w:p w14:paraId="5D2EBA7F">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固废名称</w:t>
                  </w:r>
                </w:p>
              </w:tc>
              <w:tc>
                <w:tcPr>
                  <w:tcW w:w="521" w:type="dxa"/>
                  <w:vAlign w:val="center"/>
                </w:tcPr>
                <w:p w14:paraId="62E46C60">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属性</w:t>
                  </w:r>
                </w:p>
              </w:tc>
              <w:tc>
                <w:tcPr>
                  <w:tcW w:w="883" w:type="dxa"/>
                  <w:vAlign w:val="center"/>
                </w:tcPr>
                <w:p w14:paraId="7353E60D">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产生工序</w:t>
                  </w:r>
                </w:p>
              </w:tc>
              <w:tc>
                <w:tcPr>
                  <w:tcW w:w="489" w:type="dxa"/>
                  <w:vAlign w:val="center"/>
                </w:tcPr>
                <w:p w14:paraId="1CA87AB7">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形态</w:t>
                  </w:r>
                </w:p>
              </w:tc>
              <w:tc>
                <w:tcPr>
                  <w:tcW w:w="1354" w:type="dxa"/>
                  <w:vAlign w:val="center"/>
                </w:tcPr>
                <w:p w14:paraId="25BD65BA">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主要成分</w:t>
                  </w:r>
                </w:p>
              </w:tc>
              <w:tc>
                <w:tcPr>
                  <w:tcW w:w="720" w:type="dxa"/>
                  <w:vAlign w:val="center"/>
                </w:tcPr>
                <w:p w14:paraId="55706A4F">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危险特性</w:t>
                  </w:r>
                </w:p>
              </w:tc>
              <w:tc>
                <w:tcPr>
                  <w:tcW w:w="776" w:type="dxa"/>
                  <w:vAlign w:val="center"/>
                </w:tcPr>
                <w:p w14:paraId="62641E84">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1313" w:type="dxa"/>
                  <w:vAlign w:val="center"/>
                </w:tcPr>
                <w:p w14:paraId="4BD3BD33">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代码</w:t>
                  </w:r>
                </w:p>
              </w:tc>
              <w:tc>
                <w:tcPr>
                  <w:tcW w:w="1181" w:type="dxa"/>
                  <w:vAlign w:val="center"/>
                </w:tcPr>
                <w:p w14:paraId="3D40673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估算产生量（t/a）</w:t>
                  </w:r>
                </w:p>
              </w:tc>
            </w:tr>
            <w:tr w14:paraId="1225DF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3973870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88" w:type="dxa"/>
                  <w:shd w:val="clear" w:color="auto" w:fill="auto"/>
                  <w:vAlign w:val="center"/>
                </w:tcPr>
                <w:p w14:paraId="4BE0DBA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521" w:type="dxa"/>
                  <w:shd w:val="clear" w:color="auto" w:fill="auto"/>
                  <w:vAlign w:val="center"/>
                </w:tcPr>
                <w:p w14:paraId="5C07C53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83" w:type="dxa"/>
                  <w:shd w:val="clear" w:color="auto" w:fill="auto"/>
                  <w:vAlign w:val="center"/>
                </w:tcPr>
                <w:p w14:paraId="5D4A3C7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489" w:type="dxa"/>
                  <w:shd w:val="clear" w:color="auto" w:fill="auto"/>
                  <w:vAlign w:val="center"/>
                </w:tcPr>
                <w:p w14:paraId="4131BB0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半固</w:t>
                  </w:r>
                </w:p>
              </w:tc>
              <w:tc>
                <w:tcPr>
                  <w:tcW w:w="1354" w:type="dxa"/>
                  <w:shd w:val="clear" w:color="auto" w:fill="auto"/>
                  <w:vAlign w:val="center"/>
                </w:tcPr>
                <w:p w14:paraId="4693467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废塑料、废纸等</w:t>
                  </w:r>
                </w:p>
              </w:tc>
              <w:tc>
                <w:tcPr>
                  <w:tcW w:w="720" w:type="dxa"/>
                  <w:vAlign w:val="center"/>
                </w:tcPr>
                <w:p w14:paraId="1EFA557A">
                  <w:pPr>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6160F74F">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SW64</w:t>
                  </w:r>
                </w:p>
              </w:tc>
              <w:tc>
                <w:tcPr>
                  <w:tcW w:w="1313" w:type="dxa"/>
                  <w:shd w:val="clear" w:color="auto" w:fill="auto"/>
                  <w:vAlign w:val="center"/>
                </w:tcPr>
                <w:p w14:paraId="57AA8230">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900-099-S64</w:t>
                  </w:r>
                </w:p>
              </w:tc>
              <w:tc>
                <w:tcPr>
                  <w:tcW w:w="1181" w:type="dxa"/>
                  <w:shd w:val="clear" w:color="auto" w:fill="auto"/>
                  <w:vAlign w:val="center"/>
                </w:tcPr>
                <w:p w14:paraId="37FB9EE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14:paraId="2D7534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721118D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88" w:type="dxa"/>
                  <w:shd w:val="clear" w:color="auto" w:fill="auto"/>
                  <w:vAlign w:val="center"/>
                </w:tcPr>
                <w:p w14:paraId="673A7A1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1"/>
                      <w:szCs w:val="21"/>
                      <w14:textFill>
                        <w14:solidFill>
                          <w14:schemeClr w14:val="tx1"/>
                        </w14:solidFill>
                      </w14:textFill>
                    </w:rPr>
                    <w:t>边角料</w:t>
                  </w:r>
                </w:p>
              </w:tc>
              <w:tc>
                <w:tcPr>
                  <w:tcW w:w="521" w:type="dxa"/>
                  <w:vMerge w:val="restart"/>
                  <w:shd w:val="clear" w:color="auto" w:fill="auto"/>
                  <w:vAlign w:val="center"/>
                </w:tcPr>
                <w:p w14:paraId="4B11002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tc>
              <w:tc>
                <w:tcPr>
                  <w:tcW w:w="883" w:type="dxa"/>
                  <w:shd w:val="clear" w:color="auto" w:fill="auto"/>
                  <w:vAlign w:val="center"/>
                </w:tcPr>
                <w:p w14:paraId="6A484BB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冲压、分切等</w:t>
                  </w:r>
                </w:p>
              </w:tc>
              <w:tc>
                <w:tcPr>
                  <w:tcW w:w="489" w:type="dxa"/>
                  <w:shd w:val="clear" w:color="auto" w:fill="auto"/>
                  <w:vAlign w:val="center"/>
                </w:tcPr>
                <w:p w14:paraId="6619B66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354" w:type="dxa"/>
                  <w:shd w:val="clear" w:color="auto" w:fill="auto"/>
                  <w:vAlign w:val="center"/>
                </w:tcPr>
                <w:p w14:paraId="3CEED79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w:t>
                  </w:r>
                </w:p>
              </w:tc>
              <w:tc>
                <w:tcPr>
                  <w:tcW w:w="720" w:type="dxa"/>
                  <w:shd w:val="clear" w:color="auto" w:fill="auto"/>
                  <w:vAlign w:val="center"/>
                </w:tcPr>
                <w:p w14:paraId="648DFBD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186FDCD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1313" w:type="dxa"/>
                  <w:shd w:val="clear" w:color="auto" w:fill="auto"/>
                  <w:vAlign w:val="center"/>
                </w:tcPr>
                <w:p w14:paraId="0DE85CF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1181" w:type="dxa"/>
                  <w:shd w:val="clear" w:color="auto" w:fill="auto"/>
                  <w:vAlign w:val="center"/>
                </w:tcPr>
                <w:p w14:paraId="0F1C0F1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r>
            <w:tr w14:paraId="4056EE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690DC42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88" w:type="dxa"/>
                  <w:shd w:val="clear" w:color="auto" w:fill="auto"/>
                  <w:vAlign w:val="center"/>
                </w:tcPr>
                <w:p w14:paraId="3925C53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不合格品</w:t>
                  </w:r>
                </w:p>
              </w:tc>
              <w:tc>
                <w:tcPr>
                  <w:tcW w:w="521" w:type="dxa"/>
                  <w:vMerge w:val="continue"/>
                  <w:shd w:val="clear" w:color="auto" w:fill="auto"/>
                  <w:vAlign w:val="center"/>
                </w:tcPr>
                <w:p w14:paraId="3BD91D6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740BA61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489" w:type="dxa"/>
                  <w:shd w:val="clear" w:color="auto" w:fill="auto"/>
                  <w:vAlign w:val="center"/>
                </w:tcPr>
                <w:p w14:paraId="5EE5D8A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354" w:type="dxa"/>
                  <w:shd w:val="clear" w:color="auto" w:fill="auto"/>
                  <w:vAlign w:val="center"/>
                </w:tcPr>
                <w:p w14:paraId="2ABE5FE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w:t>
                  </w:r>
                </w:p>
              </w:tc>
              <w:tc>
                <w:tcPr>
                  <w:tcW w:w="720" w:type="dxa"/>
                  <w:shd w:val="clear" w:color="auto" w:fill="auto"/>
                  <w:vAlign w:val="center"/>
                </w:tcPr>
                <w:p w14:paraId="4E69948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799A1F1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1313" w:type="dxa"/>
                  <w:shd w:val="clear" w:color="auto" w:fill="auto"/>
                  <w:vAlign w:val="center"/>
                </w:tcPr>
                <w:p w14:paraId="79DA7F6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1181" w:type="dxa"/>
                  <w:shd w:val="clear" w:color="auto" w:fill="auto"/>
                  <w:vAlign w:val="center"/>
                </w:tcPr>
                <w:p w14:paraId="13F8E3B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19.426</w:t>
                  </w:r>
                </w:p>
              </w:tc>
            </w:tr>
            <w:tr w14:paraId="6598DB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1C6CEA1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88" w:type="dxa"/>
                  <w:shd w:val="clear" w:color="auto" w:fill="auto"/>
                  <w:vAlign w:val="center"/>
                </w:tcPr>
                <w:p w14:paraId="528B7907">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纯水制备耗材</w:t>
                  </w:r>
                </w:p>
              </w:tc>
              <w:tc>
                <w:tcPr>
                  <w:tcW w:w="521" w:type="dxa"/>
                  <w:vMerge w:val="continue"/>
                  <w:shd w:val="clear" w:color="auto" w:fill="auto"/>
                  <w:vAlign w:val="center"/>
                </w:tcPr>
                <w:p w14:paraId="4A23764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44122F4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c>
                <w:tcPr>
                  <w:tcW w:w="489" w:type="dxa"/>
                  <w:shd w:val="clear" w:color="auto" w:fill="auto"/>
                  <w:vAlign w:val="center"/>
                </w:tcPr>
                <w:p w14:paraId="7A7E8E1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3FA1F30E">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720" w:type="dxa"/>
                  <w:shd w:val="clear" w:color="auto" w:fill="auto"/>
                  <w:vAlign w:val="center"/>
                </w:tcPr>
                <w:p w14:paraId="45EFDE4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76" w:type="dxa"/>
                  <w:shd w:val="clear" w:color="auto" w:fill="auto"/>
                  <w:vAlign w:val="center"/>
                </w:tcPr>
                <w:p w14:paraId="7EF7835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SW59</w:t>
                  </w:r>
                </w:p>
              </w:tc>
              <w:tc>
                <w:tcPr>
                  <w:tcW w:w="1313" w:type="dxa"/>
                  <w:shd w:val="clear" w:color="auto" w:fill="auto"/>
                  <w:vAlign w:val="center"/>
                </w:tcPr>
                <w:p w14:paraId="4171433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900-009-S59</w:t>
                  </w:r>
                </w:p>
              </w:tc>
              <w:tc>
                <w:tcPr>
                  <w:tcW w:w="1181" w:type="dxa"/>
                  <w:shd w:val="clear" w:color="auto" w:fill="auto"/>
                  <w:vAlign w:val="center"/>
                </w:tcPr>
                <w:p w14:paraId="59D86FB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0.2/2a</w:t>
                  </w:r>
                </w:p>
              </w:tc>
            </w:tr>
            <w:tr w14:paraId="6CB64C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2738316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888" w:type="dxa"/>
                  <w:shd w:val="clear" w:color="auto" w:fill="auto"/>
                  <w:vAlign w:val="center"/>
                </w:tcPr>
                <w:p w14:paraId="23DA6122">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521" w:type="dxa"/>
                  <w:vMerge w:val="restart"/>
                  <w:shd w:val="clear" w:color="auto" w:fill="auto"/>
                  <w:vAlign w:val="center"/>
                </w:tcPr>
                <w:p w14:paraId="190933F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883" w:type="dxa"/>
                  <w:shd w:val="clear" w:color="auto" w:fill="auto"/>
                  <w:vAlign w:val="center"/>
                </w:tcPr>
                <w:p w14:paraId="19954DD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489" w:type="dxa"/>
                  <w:shd w:val="clear" w:color="auto" w:fill="auto"/>
                  <w:vAlign w:val="center"/>
                </w:tcPr>
                <w:p w14:paraId="33BEE9E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2A9AB08E">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磨削液</w:t>
                  </w:r>
                </w:p>
              </w:tc>
              <w:tc>
                <w:tcPr>
                  <w:tcW w:w="720" w:type="dxa"/>
                  <w:shd w:val="clear" w:color="auto" w:fill="auto"/>
                  <w:vAlign w:val="center"/>
                </w:tcPr>
                <w:p w14:paraId="630AFD14">
                  <w:pPr>
                    <w:tabs>
                      <w:tab w:val="left" w:pos="2340"/>
                    </w:tabs>
                    <w:autoSpaceDE w:val="0"/>
                    <w:autoSpaceDN w:val="0"/>
                    <w:jc w:val="center"/>
                    <w:textAlignment w:val="baseline"/>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p>
              </w:tc>
              <w:tc>
                <w:tcPr>
                  <w:tcW w:w="776" w:type="dxa"/>
                  <w:shd w:val="clear" w:color="auto" w:fill="auto"/>
                  <w:vAlign w:val="center"/>
                </w:tcPr>
                <w:p w14:paraId="187C751A">
                  <w:pPr>
                    <w:jc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HW09</w:t>
                  </w:r>
                </w:p>
              </w:tc>
              <w:tc>
                <w:tcPr>
                  <w:tcW w:w="1313" w:type="dxa"/>
                  <w:shd w:val="clear" w:color="auto" w:fill="auto"/>
                  <w:vAlign w:val="center"/>
                </w:tcPr>
                <w:p w14:paraId="4C45FC1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900-006-09</w:t>
                  </w:r>
                </w:p>
              </w:tc>
              <w:tc>
                <w:tcPr>
                  <w:tcW w:w="1181" w:type="dxa"/>
                  <w:shd w:val="clear" w:color="auto" w:fill="auto"/>
                  <w:vAlign w:val="center"/>
                </w:tcPr>
                <w:p w14:paraId="3533BD4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0.44</w:t>
                  </w:r>
                </w:p>
              </w:tc>
            </w:tr>
            <w:tr w14:paraId="348512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0FB3E6B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888" w:type="dxa"/>
                  <w:shd w:val="clear" w:color="auto" w:fill="auto"/>
                  <w:vAlign w:val="center"/>
                </w:tcPr>
                <w:p w14:paraId="07976D51">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521" w:type="dxa"/>
                  <w:vMerge w:val="continue"/>
                  <w:shd w:val="clear" w:color="auto" w:fill="auto"/>
                  <w:vAlign w:val="center"/>
                </w:tcPr>
                <w:p w14:paraId="5E05A90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51F44DC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489" w:type="dxa"/>
                  <w:shd w:val="clear" w:color="auto" w:fill="auto"/>
                  <w:vAlign w:val="center"/>
                </w:tcPr>
                <w:p w14:paraId="16AA496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4A98D05C">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金属、磨削液</w:t>
                  </w:r>
                </w:p>
              </w:tc>
              <w:tc>
                <w:tcPr>
                  <w:tcW w:w="720" w:type="dxa"/>
                  <w:shd w:val="clear" w:color="auto" w:fill="auto"/>
                  <w:vAlign w:val="center"/>
                </w:tcPr>
                <w:p w14:paraId="19E6597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hint="default" w:ascii="Times New Roman" w:hAnsi="Times New Roman" w:cs="Times New Roman"/>
                      <w:color w:val="000000" w:themeColor="text1"/>
                      <w:spacing w:val="-2"/>
                      <w:sz w:val="21"/>
                      <w:szCs w:val="21"/>
                      <w14:textFill>
                        <w14:solidFill>
                          <w14:schemeClr w14:val="tx1"/>
                        </w14:solidFill>
                      </w14:textFill>
                    </w:rPr>
                    <w:t>I</w:t>
                  </w:r>
                </w:p>
              </w:tc>
              <w:tc>
                <w:tcPr>
                  <w:tcW w:w="776" w:type="dxa"/>
                  <w:shd w:val="clear" w:color="auto" w:fill="auto"/>
                  <w:vAlign w:val="center"/>
                </w:tcPr>
                <w:p w14:paraId="285D2FE4">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HW</w:t>
                  </w:r>
                  <w:r>
                    <w:rPr>
                      <w:rFonts w:hint="default" w:ascii="Times New Roman" w:hAnsi="Times New Roman" w:cs="Times New Roman"/>
                      <w:color w:val="000000" w:themeColor="text1"/>
                      <w:spacing w:val="-1"/>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8</w:t>
                  </w:r>
                </w:p>
              </w:tc>
              <w:tc>
                <w:tcPr>
                  <w:tcW w:w="1313" w:type="dxa"/>
                  <w:shd w:val="clear" w:color="auto" w:fill="auto"/>
                  <w:vAlign w:val="center"/>
                </w:tcPr>
                <w:p w14:paraId="42329A0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900-213-08</w:t>
                  </w:r>
                </w:p>
              </w:tc>
              <w:tc>
                <w:tcPr>
                  <w:tcW w:w="1181" w:type="dxa"/>
                  <w:shd w:val="clear" w:color="auto" w:fill="auto"/>
                  <w:vAlign w:val="center"/>
                </w:tcPr>
                <w:p w14:paraId="3EC8519D">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w:t>
                  </w:r>
                </w:p>
              </w:tc>
            </w:tr>
            <w:tr w14:paraId="227324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4A0253C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88" w:type="dxa"/>
                  <w:shd w:val="clear" w:color="auto" w:fill="auto"/>
                  <w:vAlign w:val="center"/>
                </w:tcPr>
                <w:p w14:paraId="3C8F2982">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521" w:type="dxa"/>
                  <w:vMerge w:val="continue"/>
                  <w:shd w:val="clear" w:color="auto" w:fill="auto"/>
                  <w:vAlign w:val="center"/>
                </w:tcPr>
                <w:p w14:paraId="2139C15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5C18C8A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489" w:type="dxa"/>
                  <w:shd w:val="clear" w:color="auto" w:fill="auto"/>
                  <w:vAlign w:val="center"/>
                </w:tcPr>
                <w:p w14:paraId="5810B27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1A28BE2C">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废除油液</w:t>
                  </w:r>
                </w:p>
              </w:tc>
              <w:tc>
                <w:tcPr>
                  <w:tcW w:w="720" w:type="dxa"/>
                  <w:shd w:val="clear" w:color="auto" w:fill="auto"/>
                  <w:vAlign w:val="center"/>
                </w:tcPr>
                <w:p w14:paraId="5EE3ABB3">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776" w:type="dxa"/>
                  <w:shd w:val="clear" w:color="auto" w:fill="auto"/>
                  <w:vAlign w:val="center"/>
                </w:tcPr>
                <w:p w14:paraId="2A901248">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38994F66">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3031DFE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19.8</w:t>
                  </w:r>
                </w:p>
              </w:tc>
            </w:tr>
            <w:tr w14:paraId="5A1E42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4E80F19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88" w:type="dxa"/>
                  <w:shd w:val="clear" w:color="auto" w:fill="auto"/>
                  <w:vAlign w:val="center"/>
                </w:tcPr>
                <w:p w14:paraId="3E926941">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521" w:type="dxa"/>
                  <w:vMerge w:val="continue"/>
                  <w:shd w:val="clear" w:color="auto" w:fill="auto"/>
                  <w:vAlign w:val="center"/>
                </w:tcPr>
                <w:p w14:paraId="3C5AB2C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4BB4C98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489" w:type="dxa"/>
                  <w:shd w:val="clear" w:color="auto" w:fill="auto"/>
                  <w:vAlign w:val="center"/>
                </w:tcPr>
                <w:p w14:paraId="392CA2F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13F7267C">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废酸洗液</w:t>
                  </w:r>
                </w:p>
              </w:tc>
              <w:tc>
                <w:tcPr>
                  <w:tcW w:w="720" w:type="dxa"/>
                  <w:shd w:val="clear" w:color="auto" w:fill="auto"/>
                  <w:vAlign w:val="center"/>
                </w:tcPr>
                <w:p w14:paraId="56C963A9">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776" w:type="dxa"/>
                  <w:shd w:val="clear" w:color="auto" w:fill="auto"/>
                  <w:vAlign w:val="center"/>
                </w:tcPr>
                <w:p w14:paraId="5557606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33B74C30">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4282441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6.8</w:t>
                  </w:r>
                </w:p>
              </w:tc>
            </w:tr>
            <w:tr w14:paraId="16A6D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26C3BDA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88" w:type="dxa"/>
                  <w:shd w:val="clear" w:color="auto" w:fill="auto"/>
                  <w:vAlign w:val="center"/>
                </w:tcPr>
                <w:p w14:paraId="2B02171A">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521" w:type="dxa"/>
                  <w:vMerge w:val="continue"/>
                  <w:shd w:val="clear" w:color="auto" w:fill="auto"/>
                  <w:vAlign w:val="center"/>
                </w:tcPr>
                <w:p w14:paraId="7CCA81C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3EEE586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489" w:type="dxa"/>
                  <w:shd w:val="clear" w:color="auto" w:fill="auto"/>
                  <w:vAlign w:val="center"/>
                </w:tcPr>
                <w:p w14:paraId="0F881AA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7CFDF2AC">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废铜保护液</w:t>
                  </w:r>
                </w:p>
              </w:tc>
              <w:tc>
                <w:tcPr>
                  <w:tcW w:w="720" w:type="dxa"/>
                  <w:shd w:val="clear" w:color="auto" w:fill="auto"/>
                  <w:vAlign w:val="center"/>
                </w:tcPr>
                <w:p w14:paraId="2960D45D">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776" w:type="dxa"/>
                  <w:shd w:val="clear" w:color="auto" w:fill="auto"/>
                  <w:vAlign w:val="center"/>
                </w:tcPr>
                <w:p w14:paraId="4164F66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5E832D79">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4DF1244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17.28</w:t>
                  </w:r>
                </w:p>
              </w:tc>
            </w:tr>
            <w:tr w14:paraId="4B671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38054B8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88" w:type="dxa"/>
                  <w:shd w:val="clear" w:color="auto" w:fill="auto"/>
                  <w:vAlign w:val="center"/>
                </w:tcPr>
                <w:p w14:paraId="01239F1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521" w:type="dxa"/>
                  <w:vMerge w:val="continue"/>
                  <w:shd w:val="clear" w:color="auto" w:fill="auto"/>
                  <w:vAlign w:val="center"/>
                </w:tcPr>
                <w:p w14:paraId="6ACF92D1">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766F3878">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489" w:type="dxa"/>
                  <w:shd w:val="clear" w:color="auto" w:fill="auto"/>
                  <w:vAlign w:val="center"/>
                </w:tcPr>
                <w:p w14:paraId="79F05B34">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固态</w:t>
                  </w:r>
                </w:p>
              </w:tc>
              <w:tc>
                <w:tcPr>
                  <w:tcW w:w="1354" w:type="dxa"/>
                  <w:shd w:val="clear" w:color="auto" w:fill="auto"/>
                  <w:vAlign w:val="center"/>
                </w:tcPr>
                <w:p w14:paraId="66AEF181">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布、油类</w:t>
                  </w:r>
                </w:p>
              </w:tc>
              <w:tc>
                <w:tcPr>
                  <w:tcW w:w="720" w:type="dxa"/>
                  <w:shd w:val="clear" w:color="auto" w:fill="auto"/>
                  <w:vAlign w:val="center"/>
                </w:tcPr>
                <w:p w14:paraId="0D7CEEB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776" w:type="dxa"/>
                  <w:shd w:val="clear" w:color="auto" w:fill="auto"/>
                  <w:vAlign w:val="center"/>
                </w:tcPr>
                <w:p w14:paraId="004A166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13" w:type="dxa"/>
                  <w:shd w:val="clear" w:color="auto" w:fill="auto"/>
                  <w:vAlign w:val="center"/>
                </w:tcPr>
                <w:p w14:paraId="675FB8E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1181" w:type="dxa"/>
                  <w:shd w:val="clear" w:color="auto" w:fill="auto"/>
                  <w:vAlign w:val="center"/>
                </w:tcPr>
                <w:p w14:paraId="4C47B05B">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w:t>
                  </w:r>
                </w:p>
              </w:tc>
            </w:tr>
            <w:tr w14:paraId="35D23A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0E7D237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888" w:type="dxa"/>
                  <w:shd w:val="clear" w:color="auto" w:fill="auto"/>
                  <w:vAlign w:val="center"/>
                </w:tcPr>
                <w:p w14:paraId="4C0468F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521" w:type="dxa"/>
                  <w:vMerge w:val="continue"/>
                  <w:shd w:val="clear" w:color="auto" w:fill="auto"/>
                  <w:vAlign w:val="center"/>
                </w:tcPr>
                <w:p w14:paraId="3A23485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0AF97B1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489" w:type="dxa"/>
                  <w:shd w:val="clear" w:color="auto" w:fill="auto"/>
                  <w:vAlign w:val="center"/>
                </w:tcPr>
                <w:p w14:paraId="20E8643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148A6EBB">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720" w:type="dxa"/>
                  <w:shd w:val="clear" w:color="auto" w:fill="auto"/>
                  <w:vAlign w:val="center"/>
                </w:tcPr>
                <w:p w14:paraId="0451B69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w:t>
                  </w:r>
                </w:p>
              </w:tc>
              <w:tc>
                <w:tcPr>
                  <w:tcW w:w="776" w:type="dxa"/>
                  <w:shd w:val="clear" w:color="auto" w:fill="auto"/>
                  <w:vAlign w:val="center"/>
                </w:tcPr>
                <w:p w14:paraId="47444415">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1313" w:type="dxa"/>
                  <w:shd w:val="clear" w:color="auto" w:fill="auto"/>
                  <w:vAlign w:val="center"/>
                </w:tcPr>
                <w:p w14:paraId="38954255">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1181" w:type="dxa"/>
                  <w:shd w:val="clear" w:color="auto" w:fill="auto"/>
                  <w:vAlign w:val="center"/>
                </w:tcPr>
                <w:p w14:paraId="7FD12F6E">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3.06</w:t>
                  </w:r>
                </w:p>
              </w:tc>
            </w:tr>
            <w:tr w14:paraId="50B7F2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6D797AB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888" w:type="dxa"/>
                  <w:shd w:val="clear" w:color="auto" w:fill="auto"/>
                  <w:vAlign w:val="center"/>
                </w:tcPr>
                <w:p w14:paraId="05D121F4">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521" w:type="dxa"/>
                  <w:vMerge w:val="continue"/>
                  <w:shd w:val="clear" w:color="auto" w:fill="auto"/>
                  <w:vAlign w:val="center"/>
                </w:tcPr>
                <w:p w14:paraId="3F1E105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72B7584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89" w:type="dxa"/>
                  <w:shd w:val="clear" w:color="auto" w:fill="auto"/>
                  <w:vAlign w:val="center"/>
                </w:tcPr>
                <w:p w14:paraId="44D4CDB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半固</w:t>
                  </w:r>
                </w:p>
              </w:tc>
              <w:tc>
                <w:tcPr>
                  <w:tcW w:w="1354" w:type="dxa"/>
                  <w:shd w:val="clear" w:color="auto" w:fill="auto"/>
                  <w:vAlign w:val="center"/>
                </w:tcPr>
                <w:p w14:paraId="36E4CBF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有机物、杂质</w:t>
                  </w:r>
                </w:p>
              </w:tc>
              <w:tc>
                <w:tcPr>
                  <w:tcW w:w="720" w:type="dxa"/>
                  <w:shd w:val="clear" w:color="auto" w:fill="auto"/>
                  <w:vAlign w:val="center"/>
                </w:tcPr>
                <w:p w14:paraId="5CC2B274">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776" w:type="dxa"/>
                  <w:shd w:val="clear" w:color="auto" w:fill="auto"/>
                  <w:vAlign w:val="center"/>
                </w:tcPr>
                <w:p w14:paraId="35AC8090">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79A3349E">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24F904F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r>
            <w:tr w14:paraId="68E770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7B1C070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888" w:type="dxa"/>
                  <w:shd w:val="clear" w:color="auto" w:fill="auto"/>
                  <w:vAlign w:val="center"/>
                </w:tcPr>
                <w:p w14:paraId="7D67A58F">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521" w:type="dxa"/>
                  <w:vMerge w:val="continue"/>
                  <w:shd w:val="clear" w:color="auto" w:fill="auto"/>
                  <w:vAlign w:val="center"/>
                </w:tcPr>
                <w:p w14:paraId="1F36951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5FE5B9EE">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89" w:type="dxa"/>
                  <w:shd w:val="clear" w:color="auto" w:fill="auto"/>
                  <w:vAlign w:val="center"/>
                </w:tcPr>
                <w:p w14:paraId="30D52CC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354" w:type="dxa"/>
                  <w:shd w:val="clear" w:color="auto" w:fill="auto"/>
                  <w:vAlign w:val="center"/>
                </w:tcPr>
                <w:p w14:paraId="120A055B">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720" w:type="dxa"/>
                  <w:shd w:val="clear" w:color="auto" w:fill="auto"/>
                  <w:vAlign w:val="center"/>
                </w:tcPr>
                <w:p w14:paraId="0687FB17">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776" w:type="dxa"/>
                  <w:shd w:val="clear" w:color="auto" w:fill="auto"/>
                  <w:vAlign w:val="center"/>
                </w:tcPr>
                <w:p w14:paraId="7581D381">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13" w:type="dxa"/>
                  <w:shd w:val="clear" w:color="auto" w:fill="auto"/>
                  <w:vAlign w:val="center"/>
                </w:tcPr>
                <w:p w14:paraId="74285161">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81" w:type="dxa"/>
                  <w:shd w:val="clear" w:color="auto" w:fill="auto"/>
                  <w:vAlign w:val="center"/>
                </w:tcPr>
                <w:p w14:paraId="0399BBF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r>
            <w:tr w14:paraId="0EFEF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0BAC543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888" w:type="dxa"/>
                  <w:shd w:val="clear" w:color="auto" w:fill="auto"/>
                  <w:vAlign w:val="center"/>
                </w:tcPr>
                <w:p w14:paraId="24AABB8F">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521" w:type="dxa"/>
                  <w:vMerge w:val="continue"/>
                  <w:shd w:val="clear" w:color="auto" w:fill="auto"/>
                  <w:vAlign w:val="center"/>
                </w:tcPr>
                <w:p w14:paraId="09D60A9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7AB3488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489" w:type="dxa"/>
                  <w:shd w:val="clear" w:color="auto" w:fill="auto"/>
                  <w:vAlign w:val="center"/>
                </w:tcPr>
                <w:p w14:paraId="4409186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044BC5F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720" w:type="dxa"/>
                  <w:shd w:val="clear" w:color="auto" w:fill="auto"/>
                  <w:vAlign w:val="center"/>
                </w:tcPr>
                <w:p w14:paraId="18B5CB2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776" w:type="dxa"/>
                  <w:shd w:val="clear" w:color="auto" w:fill="auto"/>
                  <w:vAlign w:val="center"/>
                </w:tcPr>
                <w:p w14:paraId="616D273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13" w:type="dxa"/>
                  <w:shd w:val="clear" w:color="auto" w:fill="auto"/>
                  <w:vAlign w:val="center"/>
                </w:tcPr>
                <w:p w14:paraId="49F6034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1181" w:type="dxa"/>
                  <w:shd w:val="clear" w:color="auto" w:fill="auto"/>
                  <w:vAlign w:val="center"/>
                </w:tcPr>
                <w:p w14:paraId="7DAAE99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r>
            <w:tr w14:paraId="2960B9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8" w:type="dxa"/>
                  <w:shd w:val="clear" w:color="auto" w:fill="auto"/>
                  <w:vAlign w:val="center"/>
                </w:tcPr>
                <w:p w14:paraId="3DA9FFF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w:t>
                  </w:r>
                </w:p>
              </w:tc>
              <w:tc>
                <w:tcPr>
                  <w:tcW w:w="888" w:type="dxa"/>
                  <w:shd w:val="clear" w:color="auto" w:fill="auto"/>
                  <w:vAlign w:val="center"/>
                </w:tcPr>
                <w:p w14:paraId="73BF8251">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521" w:type="dxa"/>
                  <w:vMerge w:val="continue"/>
                  <w:shd w:val="clear" w:color="auto" w:fill="auto"/>
                  <w:vAlign w:val="center"/>
                </w:tcPr>
                <w:p w14:paraId="71E075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83" w:type="dxa"/>
                  <w:shd w:val="clear" w:color="auto" w:fill="auto"/>
                  <w:vAlign w:val="center"/>
                </w:tcPr>
                <w:p w14:paraId="6DD835F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489" w:type="dxa"/>
                  <w:shd w:val="clear" w:color="auto" w:fill="auto"/>
                  <w:vAlign w:val="center"/>
                </w:tcPr>
                <w:p w14:paraId="52856E2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1354" w:type="dxa"/>
                  <w:shd w:val="clear" w:color="auto" w:fill="auto"/>
                  <w:vAlign w:val="center"/>
                </w:tcPr>
                <w:p w14:paraId="32249A55">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酸、有机物、</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油类</w:t>
                  </w:r>
                </w:p>
              </w:tc>
              <w:tc>
                <w:tcPr>
                  <w:tcW w:w="720" w:type="dxa"/>
                  <w:shd w:val="clear" w:color="auto" w:fill="auto"/>
                  <w:vAlign w:val="center"/>
                </w:tcPr>
                <w:p w14:paraId="20A1DAB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776" w:type="dxa"/>
                  <w:shd w:val="clear" w:color="auto" w:fill="auto"/>
                  <w:vAlign w:val="center"/>
                </w:tcPr>
                <w:p w14:paraId="3EBD659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13" w:type="dxa"/>
                  <w:shd w:val="clear" w:color="auto" w:fill="auto"/>
                  <w:vAlign w:val="center"/>
                </w:tcPr>
                <w:p w14:paraId="3E43696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1181" w:type="dxa"/>
                  <w:shd w:val="clear" w:color="auto" w:fill="auto"/>
                  <w:vAlign w:val="center"/>
                </w:tcPr>
                <w:p w14:paraId="59FBED9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w:t>
                  </w:r>
                </w:p>
              </w:tc>
            </w:tr>
          </w:tbl>
          <w:p w14:paraId="79E6B32E">
            <w:pPr>
              <w:keepNext w:val="0"/>
              <w:keepLines w:val="0"/>
              <w:pageBreakBefore w:val="0"/>
              <w:widowControl w:val="0"/>
              <w:kinsoku/>
              <w:wordWrap/>
              <w:overflowPunct/>
              <w:topLinePunct w:val="0"/>
              <w:autoSpaceDE/>
              <w:autoSpaceDN/>
              <w:bidi w:val="0"/>
              <w:adjustRightInd/>
              <w:snapToGrid/>
              <w:spacing w:before="10"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全厂</w:t>
            </w:r>
            <w:r>
              <w:rPr>
                <w:rFonts w:hint="default" w:ascii="Times New Roman" w:hAnsi="Times New Roman" w:eastAsia="宋体" w:cs="Times New Roman"/>
                <w:color w:val="000000" w:themeColor="text1"/>
                <w:sz w:val="24"/>
                <w:lang w:val="en-US" w:eastAsia="zh-CN"/>
                <w14:textFill>
                  <w14:solidFill>
                    <w14:schemeClr w14:val="tx1"/>
                  </w14:solidFill>
                </w14:textFill>
              </w:rPr>
              <w:t>危险废物汇总情况见下表。</w:t>
            </w:r>
          </w:p>
          <w:p w14:paraId="363F61FC">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36  全厂</w:t>
            </w:r>
            <w:r>
              <w:rPr>
                <w:rFonts w:hint="default" w:ascii="Times New Roman" w:hAnsi="Times New Roman" w:eastAsia="宋体" w:cs="Times New Roman"/>
                <w:b/>
                <w:color w:val="000000" w:themeColor="text1"/>
                <w:sz w:val="24"/>
                <w14:textFill>
                  <w14:solidFill>
                    <w14:schemeClr w14:val="tx1"/>
                  </w14:solidFill>
                </w14:textFill>
              </w:rPr>
              <w:t>危险废物汇总表</w:t>
            </w:r>
          </w:p>
          <w:tbl>
            <w:tblPr>
              <w:tblStyle w:val="27"/>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6"/>
              <w:gridCol w:w="655"/>
              <w:gridCol w:w="704"/>
              <w:gridCol w:w="1080"/>
              <w:gridCol w:w="825"/>
              <w:gridCol w:w="584"/>
              <w:gridCol w:w="281"/>
              <w:gridCol w:w="1139"/>
              <w:gridCol w:w="796"/>
              <w:gridCol w:w="506"/>
              <w:gridCol w:w="498"/>
              <w:gridCol w:w="603"/>
              <w:gridCol w:w="712"/>
            </w:tblGrid>
            <w:tr w14:paraId="45C7CF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vAlign w:val="center"/>
                </w:tcPr>
                <w:p w14:paraId="6A118E4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378" w:type="pct"/>
                  <w:tcBorders>
                    <w:tl2br w:val="nil"/>
                    <w:tr2bl w:val="nil"/>
                  </w:tcBorders>
                  <w:vAlign w:val="center"/>
                </w:tcPr>
                <w:p w14:paraId="3A9D9BBD">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危险废物名称</w:t>
                  </w:r>
                </w:p>
              </w:tc>
              <w:tc>
                <w:tcPr>
                  <w:tcW w:w="406" w:type="pct"/>
                  <w:tcBorders>
                    <w:tl2br w:val="nil"/>
                    <w:tr2bl w:val="nil"/>
                  </w:tcBorders>
                  <w:vAlign w:val="center"/>
                </w:tcPr>
                <w:p w14:paraId="32376FC6">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危险废物类别</w:t>
                  </w:r>
                </w:p>
              </w:tc>
              <w:tc>
                <w:tcPr>
                  <w:tcW w:w="623" w:type="pct"/>
                  <w:tcBorders>
                    <w:tl2br w:val="nil"/>
                    <w:tr2bl w:val="nil"/>
                  </w:tcBorders>
                  <w:vAlign w:val="center"/>
                </w:tcPr>
                <w:p w14:paraId="0A7FB5E8">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危险废物代码</w:t>
                  </w:r>
                </w:p>
              </w:tc>
              <w:tc>
                <w:tcPr>
                  <w:tcW w:w="476" w:type="pct"/>
                  <w:tcBorders>
                    <w:tl2br w:val="nil"/>
                    <w:tr2bl w:val="nil"/>
                  </w:tcBorders>
                  <w:vAlign w:val="center"/>
                </w:tcPr>
                <w:p w14:paraId="1B546D56">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337" w:type="pct"/>
                  <w:tcBorders>
                    <w:tl2br w:val="nil"/>
                    <w:tr2bl w:val="nil"/>
                  </w:tcBorders>
                  <w:vAlign w:val="center"/>
                </w:tcPr>
                <w:p w14:paraId="4FEB578B">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产生工序及装置</w:t>
                  </w:r>
                </w:p>
              </w:tc>
              <w:tc>
                <w:tcPr>
                  <w:tcW w:w="162" w:type="pct"/>
                  <w:tcBorders>
                    <w:tl2br w:val="nil"/>
                    <w:tr2bl w:val="nil"/>
                  </w:tcBorders>
                  <w:vAlign w:val="center"/>
                </w:tcPr>
                <w:p w14:paraId="700E0751">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形态</w:t>
                  </w:r>
                </w:p>
              </w:tc>
              <w:tc>
                <w:tcPr>
                  <w:tcW w:w="656" w:type="pct"/>
                  <w:tcBorders>
                    <w:tl2br w:val="nil"/>
                    <w:tr2bl w:val="nil"/>
                  </w:tcBorders>
                  <w:vAlign w:val="center"/>
                </w:tcPr>
                <w:p w14:paraId="3F8A69F1">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主要成分</w:t>
                  </w:r>
                </w:p>
              </w:tc>
              <w:tc>
                <w:tcPr>
                  <w:tcW w:w="459" w:type="pct"/>
                  <w:tcBorders>
                    <w:tl2br w:val="nil"/>
                    <w:tr2bl w:val="nil"/>
                  </w:tcBorders>
                  <w:vAlign w:val="center"/>
                </w:tcPr>
                <w:p w14:paraId="28C1FB9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有害成分</w:t>
                  </w:r>
                </w:p>
              </w:tc>
              <w:tc>
                <w:tcPr>
                  <w:tcW w:w="292" w:type="pct"/>
                  <w:tcBorders>
                    <w:tl2br w:val="nil"/>
                    <w:tr2bl w:val="nil"/>
                  </w:tcBorders>
                  <w:vAlign w:val="center"/>
                </w:tcPr>
                <w:p w14:paraId="08C4BC2D">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产废周期</w:t>
                  </w:r>
                </w:p>
              </w:tc>
              <w:tc>
                <w:tcPr>
                  <w:tcW w:w="287" w:type="pct"/>
                  <w:tcBorders>
                    <w:tl2br w:val="nil"/>
                    <w:tr2bl w:val="nil"/>
                  </w:tcBorders>
                  <w:vAlign w:val="center"/>
                </w:tcPr>
                <w:p w14:paraId="2497F960">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危险特性</w:t>
                  </w:r>
                </w:p>
              </w:tc>
              <w:tc>
                <w:tcPr>
                  <w:tcW w:w="348" w:type="pct"/>
                  <w:tcBorders>
                    <w:tl2br w:val="nil"/>
                    <w:tr2bl w:val="nil"/>
                  </w:tcBorders>
                  <w:vAlign w:val="center"/>
                </w:tcPr>
                <w:p w14:paraId="6C11B943">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包装方式</w:t>
                  </w:r>
                </w:p>
              </w:tc>
              <w:tc>
                <w:tcPr>
                  <w:tcW w:w="410" w:type="pct"/>
                  <w:tcBorders>
                    <w:tl2br w:val="nil"/>
                    <w:tr2bl w:val="nil"/>
                  </w:tcBorders>
                  <w:vAlign w:val="center"/>
                </w:tcPr>
                <w:p w14:paraId="413B6282">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污染防治措施</w:t>
                  </w:r>
                </w:p>
              </w:tc>
            </w:tr>
            <w:tr w14:paraId="54E95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vAlign w:val="center"/>
                </w:tcPr>
                <w:p w14:paraId="5E23EF0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78" w:type="pct"/>
                  <w:tcBorders>
                    <w:tl2br w:val="nil"/>
                    <w:tr2bl w:val="nil"/>
                  </w:tcBorders>
                  <w:shd w:val="clear" w:color="auto" w:fill="auto"/>
                  <w:vAlign w:val="center"/>
                </w:tcPr>
                <w:p w14:paraId="220CDBF7">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406" w:type="pct"/>
                  <w:tcBorders>
                    <w:tl2br w:val="nil"/>
                    <w:tr2bl w:val="nil"/>
                  </w:tcBorders>
                  <w:shd w:val="clear" w:color="auto" w:fill="auto"/>
                  <w:vAlign w:val="center"/>
                </w:tcPr>
                <w:p w14:paraId="59411C73">
                  <w:pPr>
                    <w:jc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HW09</w:t>
                  </w:r>
                </w:p>
              </w:tc>
              <w:tc>
                <w:tcPr>
                  <w:tcW w:w="623" w:type="pct"/>
                  <w:tcBorders>
                    <w:tl2br w:val="nil"/>
                    <w:tr2bl w:val="nil"/>
                  </w:tcBorders>
                  <w:shd w:val="clear" w:color="auto" w:fill="auto"/>
                  <w:vAlign w:val="center"/>
                </w:tcPr>
                <w:p w14:paraId="7B08F44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900-006-09</w:t>
                  </w:r>
                </w:p>
              </w:tc>
              <w:tc>
                <w:tcPr>
                  <w:tcW w:w="476" w:type="pct"/>
                  <w:tcBorders>
                    <w:tl2br w:val="nil"/>
                    <w:tr2bl w:val="nil"/>
                  </w:tcBorders>
                  <w:shd w:val="clear" w:color="auto" w:fill="auto"/>
                  <w:vAlign w:val="center"/>
                </w:tcPr>
                <w:p w14:paraId="442C9F0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0.44</w:t>
                  </w:r>
                </w:p>
              </w:tc>
              <w:tc>
                <w:tcPr>
                  <w:tcW w:w="337" w:type="pct"/>
                  <w:tcBorders>
                    <w:tl2br w:val="nil"/>
                    <w:tr2bl w:val="nil"/>
                  </w:tcBorders>
                  <w:shd w:val="clear" w:color="auto" w:fill="auto"/>
                  <w:vAlign w:val="center"/>
                </w:tcPr>
                <w:p w14:paraId="4B6840A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162" w:type="pct"/>
                  <w:tcBorders>
                    <w:tl2br w:val="nil"/>
                    <w:tr2bl w:val="nil"/>
                  </w:tcBorders>
                  <w:shd w:val="clear" w:color="auto" w:fill="auto"/>
                  <w:vAlign w:val="center"/>
                </w:tcPr>
                <w:p w14:paraId="1E90EC8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态</w:t>
                  </w:r>
                </w:p>
              </w:tc>
              <w:tc>
                <w:tcPr>
                  <w:tcW w:w="656" w:type="pct"/>
                  <w:tcBorders>
                    <w:tl2br w:val="nil"/>
                    <w:tr2bl w:val="nil"/>
                  </w:tcBorders>
                  <w:shd w:val="clear" w:color="auto" w:fill="auto"/>
                  <w:vAlign w:val="center"/>
                </w:tcPr>
                <w:p w14:paraId="09837B8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磨削液</w:t>
                  </w:r>
                </w:p>
              </w:tc>
              <w:tc>
                <w:tcPr>
                  <w:tcW w:w="459" w:type="pct"/>
                  <w:tcBorders>
                    <w:tl2br w:val="nil"/>
                    <w:tr2bl w:val="nil"/>
                  </w:tcBorders>
                  <w:shd w:val="clear" w:color="auto" w:fill="auto"/>
                  <w:vAlign w:val="center"/>
                </w:tcPr>
                <w:p w14:paraId="4BCAA64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磨削液</w:t>
                  </w:r>
                </w:p>
              </w:tc>
              <w:tc>
                <w:tcPr>
                  <w:tcW w:w="292" w:type="pct"/>
                  <w:tcBorders>
                    <w:tl2br w:val="nil"/>
                    <w:tr2bl w:val="nil"/>
                  </w:tcBorders>
                  <w:vAlign w:val="center"/>
                </w:tcPr>
                <w:p w14:paraId="7297186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287" w:type="pct"/>
                  <w:tcBorders>
                    <w:tl2br w:val="nil"/>
                    <w:tr2bl w:val="nil"/>
                  </w:tcBorders>
                  <w:shd w:val="clear" w:color="auto" w:fill="auto"/>
                  <w:vAlign w:val="center"/>
                </w:tcPr>
                <w:p w14:paraId="4A30E53C">
                  <w:pPr>
                    <w:tabs>
                      <w:tab w:val="left" w:pos="2340"/>
                    </w:tabs>
                    <w:autoSpaceDE w:val="0"/>
                    <w:autoSpaceDN w:val="0"/>
                    <w:jc w:val="center"/>
                    <w:textAlignment w:val="baseline"/>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p>
              </w:tc>
              <w:tc>
                <w:tcPr>
                  <w:tcW w:w="348" w:type="pct"/>
                  <w:tcBorders>
                    <w:tl2br w:val="nil"/>
                    <w:tr2bl w:val="nil"/>
                  </w:tcBorders>
                  <w:vAlign w:val="center"/>
                </w:tcPr>
                <w:p w14:paraId="19D44FC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桶装封口</w:t>
                  </w:r>
                </w:p>
              </w:tc>
              <w:tc>
                <w:tcPr>
                  <w:tcW w:w="410" w:type="pct"/>
                  <w:vMerge w:val="restart"/>
                  <w:tcBorders>
                    <w:tl2br w:val="nil"/>
                    <w:tr2bl w:val="nil"/>
                  </w:tcBorders>
                  <w:vAlign w:val="center"/>
                </w:tcPr>
                <w:p w14:paraId="7BC21A6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危废仓库暂存后委托有资质单位处置</w:t>
                  </w:r>
                </w:p>
              </w:tc>
            </w:tr>
            <w:tr w14:paraId="428B0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1140D065">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78" w:type="pct"/>
                  <w:tcBorders>
                    <w:tl2br w:val="nil"/>
                    <w:tr2bl w:val="nil"/>
                  </w:tcBorders>
                  <w:shd w:val="clear" w:color="auto" w:fill="auto"/>
                  <w:vAlign w:val="center"/>
                </w:tcPr>
                <w:p w14:paraId="63C986D8">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406" w:type="pct"/>
                  <w:tcBorders>
                    <w:tl2br w:val="nil"/>
                    <w:tr2bl w:val="nil"/>
                  </w:tcBorders>
                  <w:shd w:val="clear" w:color="auto" w:fill="auto"/>
                  <w:vAlign w:val="center"/>
                </w:tcPr>
                <w:p w14:paraId="0E0C55E7">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HW</w:t>
                  </w:r>
                  <w:r>
                    <w:rPr>
                      <w:rFonts w:hint="default" w:ascii="Times New Roman" w:hAnsi="Times New Roman" w:cs="Times New Roman"/>
                      <w:color w:val="000000" w:themeColor="text1"/>
                      <w:spacing w:val="-1"/>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8</w:t>
                  </w:r>
                </w:p>
              </w:tc>
              <w:tc>
                <w:tcPr>
                  <w:tcW w:w="623" w:type="pct"/>
                  <w:tcBorders>
                    <w:tl2br w:val="nil"/>
                    <w:tr2bl w:val="nil"/>
                  </w:tcBorders>
                  <w:shd w:val="clear" w:color="auto" w:fill="auto"/>
                  <w:vAlign w:val="center"/>
                </w:tcPr>
                <w:p w14:paraId="362E15B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900-213-08</w:t>
                  </w:r>
                </w:p>
              </w:tc>
              <w:tc>
                <w:tcPr>
                  <w:tcW w:w="476" w:type="pct"/>
                  <w:tcBorders>
                    <w:tl2br w:val="nil"/>
                    <w:tr2bl w:val="nil"/>
                  </w:tcBorders>
                  <w:shd w:val="clear" w:color="auto" w:fill="auto"/>
                  <w:vAlign w:val="center"/>
                </w:tcPr>
                <w:p w14:paraId="684244CD">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0.02</w:t>
                  </w:r>
                </w:p>
              </w:tc>
              <w:tc>
                <w:tcPr>
                  <w:tcW w:w="337" w:type="pct"/>
                  <w:tcBorders>
                    <w:tl2br w:val="nil"/>
                    <w:tr2bl w:val="nil"/>
                  </w:tcBorders>
                  <w:shd w:val="clear" w:color="auto" w:fill="auto"/>
                  <w:vAlign w:val="center"/>
                </w:tcPr>
                <w:p w14:paraId="27A5A49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162" w:type="pct"/>
                  <w:tcBorders>
                    <w:tl2br w:val="nil"/>
                    <w:tr2bl w:val="nil"/>
                  </w:tcBorders>
                  <w:shd w:val="clear" w:color="auto" w:fill="auto"/>
                  <w:vAlign w:val="center"/>
                </w:tcPr>
                <w:p w14:paraId="1418BB5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56" w:type="pct"/>
                  <w:tcBorders>
                    <w:tl2br w:val="nil"/>
                    <w:tr2bl w:val="nil"/>
                  </w:tcBorders>
                  <w:shd w:val="clear" w:color="auto" w:fill="auto"/>
                  <w:vAlign w:val="center"/>
                </w:tcPr>
                <w:p w14:paraId="4AE70343">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金属、磨削液</w:t>
                  </w:r>
                </w:p>
              </w:tc>
              <w:tc>
                <w:tcPr>
                  <w:tcW w:w="459" w:type="pct"/>
                  <w:tcBorders>
                    <w:tl2br w:val="nil"/>
                    <w:tr2bl w:val="nil"/>
                  </w:tcBorders>
                  <w:shd w:val="clear" w:color="auto" w:fill="auto"/>
                  <w:vAlign w:val="center"/>
                </w:tcPr>
                <w:p w14:paraId="173DA1E3">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磨削液</w:t>
                  </w:r>
                </w:p>
              </w:tc>
              <w:tc>
                <w:tcPr>
                  <w:tcW w:w="292" w:type="pct"/>
                  <w:tcBorders>
                    <w:tl2br w:val="nil"/>
                    <w:tr2bl w:val="nil"/>
                  </w:tcBorders>
                  <w:vAlign w:val="center"/>
                </w:tcPr>
                <w:p w14:paraId="393994C3">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287" w:type="pct"/>
                  <w:tcBorders>
                    <w:tl2br w:val="nil"/>
                    <w:tr2bl w:val="nil"/>
                  </w:tcBorders>
                  <w:shd w:val="clear" w:color="auto" w:fill="auto"/>
                  <w:vAlign w:val="center"/>
                </w:tcPr>
                <w:p w14:paraId="622518D6">
                  <w:pPr>
                    <w:tabs>
                      <w:tab w:val="left" w:pos="2340"/>
                    </w:tabs>
                    <w:autoSpaceDE w:val="0"/>
                    <w:autoSpaceDN w:val="0"/>
                    <w:jc w:val="center"/>
                    <w:textAlignment w:val="baseline"/>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hint="default" w:ascii="Times New Roman" w:hAnsi="Times New Roman" w:cs="Times New Roman"/>
                      <w:color w:val="000000" w:themeColor="text1"/>
                      <w:spacing w:val="-2"/>
                      <w:sz w:val="21"/>
                      <w:szCs w:val="21"/>
                      <w14:textFill>
                        <w14:solidFill>
                          <w14:schemeClr w14:val="tx1"/>
                        </w14:solidFill>
                      </w14:textFill>
                    </w:rPr>
                    <w:t>I</w:t>
                  </w:r>
                </w:p>
              </w:tc>
              <w:tc>
                <w:tcPr>
                  <w:tcW w:w="348" w:type="pct"/>
                  <w:tcBorders>
                    <w:tl2br w:val="nil"/>
                    <w:tr2bl w:val="nil"/>
                  </w:tcBorders>
                  <w:vAlign w:val="center"/>
                </w:tcPr>
                <w:p w14:paraId="58D52FC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袋装封口</w:t>
                  </w:r>
                </w:p>
              </w:tc>
              <w:tc>
                <w:tcPr>
                  <w:tcW w:w="410" w:type="pct"/>
                  <w:vMerge w:val="continue"/>
                  <w:tcBorders>
                    <w:tl2br w:val="nil"/>
                    <w:tr2bl w:val="nil"/>
                  </w:tcBorders>
                  <w:vAlign w:val="center"/>
                </w:tcPr>
                <w:p w14:paraId="5C9FD40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9A32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32F8241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78" w:type="pct"/>
                  <w:tcBorders>
                    <w:tl2br w:val="nil"/>
                    <w:tr2bl w:val="nil"/>
                  </w:tcBorders>
                  <w:shd w:val="clear" w:color="auto" w:fill="auto"/>
                  <w:vAlign w:val="center"/>
                </w:tcPr>
                <w:p w14:paraId="1538177F">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406" w:type="pct"/>
                  <w:tcBorders>
                    <w:tl2br w:val="nil"/>
                    <w:tr2bl w:val="nil"/>
                  </w:tcBorders>
                  <w:shd w:val="clear" w:color="auto" w:fill="auto"/>
                  <w:vAlign w:val="center"/>
                </w:tcPr>
                <w:p w14:paraId="6C9DF878">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623" w:type="pct"/>
                  <w:tcBorders>
                    <w:tl2br w:val="nil"/>
                    <w:tr2bl w:val="nil"/>
                  </w:tcBorders>
                  <w:shd w:val="clear" w:color="auto" w:fill="auto"/>
                  <w:vAlign w:val="center"/>
                </w:tcPr>
                <w:p w14:paraId="512CD7E2">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76" w:type="pct"/>
                  <w:tcBorders>
                    <w:tl2br w:val="nil"/>
                    <w:tr2bl w:val="nil"/>
                  </w:tcBorders>
                  <w:shd w:val="clear" w:color="auto" w:fill="auto"/>
                  <w:vAlign w:val="center"/>
                </w:tcPr>
                <w:p w14:paraId="76A0F83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19.8</w:t>
                  </w:r>
                </w:p>
              </w:tc>
              <w:tc>
                <w:tcPr>
                  <w:tcW w:w="337" w:type="pct"/>
                  <w:tcBorders>
                    <w:tl2br w:val="nil"/>
                    <w:tr2bl w:val="nil"/>
                  </w:tcBorders>
                  <w:shd w:val="clear" w:color="auto" w:fill="auto"/>
                  <w:vAlign w:val="center"/>
                </w:tcPr>
                <w:p w14:paraId="3DE0395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162" w:type="pct"/>
                  <w:tcBorders>
                    <w:tl2br w:val="nil"/>
                    <w:tr2bl w:val="nil"/>
                  </w:tcBorders>
                  <w:shd w:val="clear" w:color="auto" w:fill="auto"/>
                  <w:vAlign w:val="center"/>
                </w:tcPr>
                <w:p w14:paraId="002A930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56" w:type="pct"/>
                  <w:tcBorders>
                    <w:tl2br w:val="nil"/>
                    <w:tr2bl w:val="nil"/>
                  </w:tcBorders>
                  <w:shd w:val="clear" w:color="auto" w:fill="auto"/>
                  <w:vAlign w:val="center"/>
                </w:tcPr>
                <w:p w14:paraId="14E87085">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废除油液</w:t>
                  </w:r>
                </w:p>
              </w:tc>
              <w:tc>
                <w:tcPr>
                  <w:tcW w:w="459" w:type="pct"/>
                  <w:tcBorders>
                    <w:tl2br w:val="nil"/>
                    <w:tr2bl w:val="nil"/>
                  </w:tcBorders>
                  <w:shd w:val="clear" w:color="auto" w:fill="auto"/>
                  <w:vAlign w:val="center"/>
                </w:tcPr>
                <w:p w14:paraId="712E339F">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废除油液</w:t>
                  </w:r>
                </w:p>
              </w:tc>
              <w:tc>
                <w:tcPr>
                  <w:tcW w:w="292" w:type="pct"/>
                  <w:tcBorders>
                    <w:tl2br w:val="nil"/>
                    <w:tr2bl w:val="nil"/>
                  </w:tcBorders>
                  <w:vAlign w:val="center"/>
                </w:tcPr>
                <w:p w14:paraId="0F46D307">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287" w:type="pct"/>
                  <w:tcBorders>
                    <w:tl2br w:val="nil"/>
                    <w:tr2bl w:val="nil"/>
                  </w:tcBorders>
                  <w:shd w:val="clear" w:color="auto" w:fill="auto"/>
                  <w:vAlign w:val="center"/>
                </w:tcPr>
                <w:p w14:paraId="155637B9">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348" w:type="pct"/>
                  <w:tcBorders>
                    <w:tl2br w:val="nil"/>
                    <w:tr2bl w:val="nil"/>
                  </w:tcBorders>
                  <w:vAlign w:val="center"/>
                </w:tcPr>
                <w:p w14:paraId="3B2737C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袋装封口</w:t>
                  </w:r>
                </w:p>
              </w:tc>
              <w:tc>
                <w:tcPr>
                  <w:tcW w:w="410" w:type="pct"/>
                  <w:vMerge w:val="continue"/>
                  <w:tcBorders>
                    <w:tl2br w:val="nil"/>
                    <w:tr2bl w:val="nil"/>
                  </w:tcBorders>
                  <w:vAlign w:val="center"/>
                </w:tcPr>
                <w:p w14:paraId="05101357">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44BBB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23901E7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78" w:type="pct"/>
                  <w:tcBorders>
                    <w:tl2br w:val="nil"/>
                    <w:tr2bl w:val="nil"/>
                  </w:tcBorders>
                  <w:shd w:val="clear" w:color="auto" w:fill="auto"/>
                  <w:vAlign w:val="center"/>
                </w:tcPr>
                <w:p w14:paraId="5059C5DD">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406" w:type="pct"/>
                  <w:tcBorders>
                    <w:tl2br w:val="nil"/>
                    <w:tr2bl w:val="nil"/>
                  </w:tcBorders>
                  <w:shd w:val="clear" w:color="auto" w:fill="auto"/>
                  <w:vAlign w:val="center"/>
                </w:tcPr>
                <w:p w14:paraId="65844D7F">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623" w:type="pct"/>
                  <w:tcBorders>
                    <w:tl2br w:val="nil"/>
                    <w:tr2bl w:val="nil"/>
                  </w:tcBorders>
                  <w:shd w:val="clear" w:color="auto" w:fill="auto"/>
                  <w:vAlign w:val="center"/>
                </w:tcPr>
                <w:p w14:paraId="74926CC1">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76" w:type="pct"/>
                  <w:tcBorders>
                    <w:tl2br w:val="nil"/>
                    <w:tr2bl w:val="nil"/>
                  </w:tcBorders>
                  <w:shd w:val="clear" w:color="auto" w:fill="auto"/>
                  <w:vAlign w:val="center"/>
                </w:tcPr>
                <w:p w14:paraId="42885FA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6.8</w:t>
                  </w:r>
                </w:p>
              </w:tc>
              <w:tc>
                <w:tcPr>
                  <w:tcW w:w="337" w:type="pct"/>
                  <w:tcBorders>
                    <w:tl2br w:val="nil"/>
                    <w:tr2bl w:val="nil"/>
                  </w:tcBorders>
                  <w:shd w:val="clear" w:color="auto" w:fill="auto"/>
                  <w:vAlign w:val="center"/>
                </w:tcPr>
                <w:p w14:paraId="5A871E8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162" w:type="pct"/>
                  <w:tcBorders>
                    <w:tl2br w:val="nil"/>
                    <w:tr2bl w:val="nil"/>
                  </w:tcBorders>
                  <w:shd w:val="clear" w:color="auto" w:fill="auto"/>
                  <w:vAlign w:val="center"/>
                </w:tcPr>
                <w:p w14:paraId="5693A57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56" w:type="pct"/>
                  <w:tcBorders>
                    <w:tl2br w:val="nil"/>
                    <w:tr2bl w:val="nil"/>
                  </w:tcBorders>
                  <w:shd w:val="clear" w:color="auto" w:fill="auto"/>
                  <w:vAlign w:val="center"/>
                </w:tcPr>
                <w:p w14:paraId="5EEB193B">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废酸洗液</w:t>
                  </w:r>
                </w:p>
              </w:tc>
              <w:tc>
                <w:tcPr>
                  <w:tcW w:w="459" w:type="pct"/>
                  <w:tcBorders>
                    <w:tl2br w:val="nil"/>
                    <w:tr2bl w:val="nil"/>
                  </w:tcBorders>
                  <w:shd w:val="clear" w:color="auto" w:fill="auto"/>
                  <w:vAlign w:val="center"/>
                </w:tcPr>
                <w:p w14:paraId="123BAC77">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废酸洗液</w:t>
                  </w:r>
                </w:p>
              </w:tc>
              <w:tc>
                <w:tcPr>
                  <w:tcW w:w="292" w:type="pct"/>
                  <w:tcBorders>
                    <w:tl2br w:val="nil"/>
                    <w:tr2bl w:val="nil"/>
                  </w:tcBorders>
                  <w:vAlign w:val="center"/>
                </w:tcPr>
                <w:p w14:paraId="4273C50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287" w:type="pct"/>
                  <w:tcBorders>
                    <w:tl2br w:val="nil"/>
                    <w:tr2bl w:val="nil"/>
                  </w:tcBorders>
                  <w:shd w:val="clear" w:color="auto" w:fill="auto"/>
                  <w:vAlign w:val="center"/>
                </w:tcPr>
                <w:p w14:paraId="030E0CF4">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348" w:type="pct"/>
                  <w:tcBorders>
                    <w:tl2br w:val="nil"/>
                    <w:tr2bl w:val="nil"/>
                  </w:tcBorders>
                  <w:vAlign w:val="center"/>
                </w:tcPr>
                <w:p w14:paraId="56F2841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袋装封口</w:t>
                  </w:r>
                </w:p>
              </w:tc>
              <w:tc>
                <w:tcPr>
                  <w:tcW w:w="410" w:type="pct"/>
                  <w:vMerge w:val="continue"/>
                  <w:tcBorders>
                    <w:tl2br w:val="nil"/>
                    <w:tr2bl w:val="nil"/>
                  </w:tcBorders>
                  <w:vAlign w:val="center"/>
                </w:tcPr>
                <w:p w14:paraId="016D2D88">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D282E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79A2A7B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78" w:type="pct"/>
                  <w:tcBorders>
                    <w:tl2br w:val="nil"/>
                    <w:tr2bl w:val="nil"/>
                  </w:tcBorders>
                  <w:shd w:val="clear" w:color="auto" w:fill="auto"/>
                  <w:vAlign w:val="center"/>
                </w:tcPr>
                <w:p w14:paraId="091E9EA0">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406" w:type="pct"/>
                  <w:tcBorders>
                    <w:tl2br w:val="nil"/>
                    <w:tr2bl w:val="nil"/>
                  </w:tcBorders>
                  <w:shd w:val="clear" w:color="auto" w:fill="auto"/>
                  <w:vAlign w:val="center"/>
                </w:tcPr>
                <w:p w14:paraId="4D722392">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623" w:type="pct"/>
                  <w:tcBorders>
                    <w:tl2br w:val="nil"/>
                    <w:tr2bl w:val="nil"/>
                  </w:tcBorders>
                  <w:shd w:val="clear" w:color="auto" w:fill="auto"/>
                  <w:vAlign w:val="center"/>
                </w:tcPr>
                <w:p w14:paraId="14625DDB">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76" w:type="pct"/>
                  <w:tcBorders>
                    <w:tl2br w:val="nil"/>
                    <w:tr2bl w:val="nil"/>
                  </w:tcBorders>
                  <w:shd w:val="clear" w:color="auto" w:fill="auto"/>
                  <w:vAlign w:val="center"/>
                </w:tcPr>
                <w:p w14:paraId="4D72FEF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17.28</w:t>
                  </w:r>
                </w:p>
              </w:tc>
              <w:tc>
                <w:tcPr>
                  <w:tcW w:w="337" w:type="pct"/>
                  <w:tcBorders>
                    <w:tl2br w:val="nil"/>
                    <w:tr2bl w:val="nil"/>
                  </w:tcBorders>
                  <w:shd w:val="clear" w:color="auto" w:fill="auto"/>
                  <w:vAlign w:val="center"/>
                </w:tcPr>
                <w:p w14:paraId="2BC76BE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162" w:type="pct"/>
                  <w:tcBorders>
                    <w:tl2br w:val="nil"/>
                    <w:tr2bl w:val="nil"/>
                  </w:tcBorders>
                  <w:shd w:val="clear" w:color="auto" w:fill="auto"/>
                  <w:vAlign w:val="center"/>
                </w:tcPr>
                <w:p w14:paraId="7439DF9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56" w:type="pct"/>
                  <w:tcBorders>
                    <w:tl2br w:val="nil"/>
                    <w:tr2bl w:val="nil"/>
                  </w:tcBorders>
                  <w:shd w:val="clear" w:color="auto" w:fill="auto"/>
                  <w:vAlign w:val="center"/>
                </w:tcPr>
                <w:p w14:paraId="00D03E2E">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废铜保护液</w:t>
                  </w:r>
                </w:p>
              </w:tc>
              <w:tc>
                <w:tcPr>
                  <w:tcW w:w="459" w:type="pct"/>
                  <w:tcBorders>
                    <w:tl2br w:val="nil"/>
                    <w:tr2bl w:val="nil"/>
                  </w:tcBorders>
                  <w:shd w:val="clear" w:color="auto" w:fill="auto"/>
                  <w:vAlign w:val="center"/>
                </w:tcPr>
                <w:p w14:paraId="51FAED8D">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废铜保护液</w:t>
                  </w:r>
                </w:p>
              </w:tc>
              <w:tc>
                <w:tcPr>
                  <w:tcW w:w="292" w:type="pct"/>
                  <w:tcBorders>
                    <w:tl2br w:val="nil"/>
                    <w:tr2bl w:val="nil"/>
                  </w:tcBorders>
                  <w:vAlign w:val="center"/>
                </w:tcPr>
                <w:p w14:paraId="79BA260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287" w:type="pct"/>
                  <w:tcBorders>
                    <w:tl2br w:val="nil"/>
                    <w:tr2bl w:val="nil"/>
                  </w:tcBorders>
                  <w:shd w:val="clear" w:color="auto" w:fill="auto"/>
                  <w:vAlign w:val="center"/>
                </w:tcPr>
                <w:p w14:paraId="0D6F7312">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348" w:type="pct"/>
                  <w:tcBorders>
                    <w:tl2br w:val="nil"/>
                    <w:tr2bl w:val="nil"/>
                  </w:tcBorders>
                  <w:vAlign w:val="center"/>
                </w:tcPr>
                <w:p w14:paraId="44EACF4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袋装封口</w:t>
                  </w:r>
                </w:p>
              </w:tc>
              <w:tc>
                <w:tcPr>
                  <w:tcW w:w="410" w:type="pct"/>
                  <w:vMerge w:val="continue"/>
                  <w:tcBorders>
                    <w:tl2br w:val="nil"/>
                    <w:tr2bl w:val="nil"/>
                  </w:tcBorders>
                  <w:vAlign w:val="center"/>
                </w:tcPr>
                <w:p w14:paraId="7FB6E519">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68164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3D862D7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378" w:type="pct"/>
                  <w:tcBorders>
                    <w:tl2br w:val="nil"/>
                    <w:tr2bl w:val="nil"/>
                  </w:tcBorders>
                  <w:shd w:val="clear" w:color="auto" w:fill="auto"/>
                  <w:vAlign w:val="center"/>
                </w:tcPr>
                <w:p w14:paraId="26A8F6A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406" w:type="pct"/>
                  <w:tcBorders>
                    <w:tl2br w:val="nil"/>
                    <w:tr2bl w:val="nil"/>
                  </w:tcBorders>
                  <w:shd w:val="clear" w:color="auto" w:fill="auto"/>
                  <w:vAlign w:val="center"/>
                </w:tcPr>
                <w:p w14:paraId="2A6C390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623" w:type="pct"/>
                  <w:tcBorders>
                    <w:tl2br w:val="nil"/>
                    <w:tr2bl w:val="nil"/>
                  </w:tcBorders>
                  <w:shd w:val="clear" w:color="auto" w:fill="auto"/>
                  <w:vAlign w:val="center"/>
                </w:tcPr>
                <w:p w14:paraId="3C00565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476" w:type="pct"/>
                  <w:tcBorders>
                    <w:tl2br w:val="nil"/>
                    <w:tr2bl w:val="nil"/>
                  </w:tcBorders>
                  <w:shd w:val="clear" w:color="auto" w:fill="auto"/>
                  <w:vAlign w:val="center"/>
                </w:tcPr>
                <w:p w14:paraId="16F6B73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w:t>
                  </w:r>
                </w:p>
              </w:tc>
              <w:tc>
                <w:tcPr>
                  <w:tcW w:w="337" w:type="pct"/>
                  <w:tcBorders>
                    <w:tl2br w:val="nil"/>
                    <w:tr2bl w:val="nil"/>
                  </w:tcBorders>
                  <w:shd w:val="clear" w:color="auto" w:fill="auto"/>
                  <w:vAlign w:val="center"/>
                </w:tcPr>
                <w:p w14:paraId="441CC889">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162" w:type="pct"/>
                  <w:tcBorders>
                    <w:tl2br w:val="nil"/>
                    <w:tr2bl w:val="nil"/>
                  </w:tcBorders>
                  <w:shd w:val="clear" w:color="auto" w:fill="auto"/>
                  <w:vAlign w:val="center"/>
                </w:tcPr>
                <w:p w14:paraId="5F368D65">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固态</w:t>
                  </w:r>
                </w:p>
              </w:tc>
              <w:tc>
                <w:tcPr>
                  <w:tcW w:w="656" w:type="pct"/>
                  <w:tcBorders>
                    <w:tl2br w:val="nil"/>
                    <w:tr2bl w:val="nil"/>
                  </w:tcBorders>
                  <w:shd w:val="clear" w:color="auto" w:fill="auto"/>
                  <w:vAlign w:val="center"/>
                </w:tcPr>
                <w:p w14:paraId="059C9FD8">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布、油类</w:t>
                  </w:r>
                </w:p>
              </w:tc>
              <w:tc>
                <w:tcPr>
                  <w:tcW w:w="459" w:type="pct"/>
                  <w:tcBorders>
                    <w:tl2br w:val="nil"/>
                    <w:tr2bl w:val="nil"/>
                  </w:tcBorders>
                  <w:shd w:val="clear" w:color="auto" w:fill="auto"/>
                  <w:vAlign w:val="center"/>
                </w:tcPr>
                <w:p w14:paraId="49055703">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油类</w:t>
                  </w:r>
                </w:p>
              </w:tc>
              <w:tc>
                <w:tcPr>
                  <w:tcW w:w="292" w:type="pct"/>
                  <w:tcBorders>
                    <w:tl2br w:val="nil"/>
                    <w:tr2bl w:val="nil"/>
                  </w:tcBorders>
                  <w:vAlign w:val="center"/>
                </w:tcPr>
                <w:p w14:paraId="4C4BF70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1日</w:t>
                  </w:r>
                </w:p>
              </w:tc>
              <w:tc>
                <w:tcPr>
                  <w:tcW w:w="287" w:type="pct"/>
                  <w:tcBorders>
                    <w:tl2br w:val="nil"/>
                    <w:tr2bl w:val="nil"/>
                  </w:tcBorders>
                  <w:shd w:val="clear" w:color="auto" w:fill="auto"/>
                  <w:vAlign w:val="center"/>
                </w:tcPr>
                <w:p w14:paraId="0CFC6C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348" w:type="pct"/>
                  <w:tcBorders>
                    <w:tl2br w:val="nil"/>
                    <w:tr2bl w:val="nil"/>
                  </w:tcBorders>
                  <w:vAlign w:val="center"/>
                </w:tcPr>
                <w:p w14:paraId="7303C5A1">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袋装封口</w:t>
                  </w:r>
                </w:p>
              </w:tc>
              <w:tc>
                <w:tcPr>
                  <w:tcW w:w="410" w:type="pct"/>
                  <w:vMerge w:val="continue"/>
                  <w:tcBorders>
                    <w:tl2br w:val="nil"/>
                    <w:tr2bl w:val="nil"/>
                  </w:tcBorders>
                  <w:vAlign w:val="center"/>
                </w:tcPr>
                <w:p w14:paraId="4781537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74932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1ACFED1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378" w:type="pct"/>
                  <w:tcBorders>
                    <w:tl2br w:val="nil"/>
                    <w:tr2bl w:val="nil"/>
                  </w:tcBorders>
                  <w:shd w:val="clear" w:color="auto" w:fill="auto"/>
                  <w:vAlign w:val="center"/>
                </w:tcPr>
                <w:p w14:paraId="11CB81F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406" w:type="pct"/>
                  <w:tcBorders>
                    <w:tl2br w:val="nil"/>
                    <w:tr2bl w:val="nil"/>
                  </w:tcBorders>
                  <w:shd w:val="clear" w:color="auto" w:fill="auto"/>
                  <w:vAlign w:val="center"/>
                </w:tcPr>
                <w:p w14:paraId="42983D3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623" w:type="pct"/>
                  <w:tcBorders>
                    <w:tl2br w:val="nil"/>
                    <w:tr2bl w:val="nil"/>
                  </w:tcBorders>
                  <w:shd w:val="clear" w:color="auto" w:fill="auto"/>
                  <w:vAlign w:val="center"/>
                </w:tcPr>
                <w:p w14:paraId="4D1A4217">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476" w:type="pct"/>
                  <w:tcBorders>
                    <w:tl2br w:val="nil"/>
                    <w:tr2bl w:val="nil"/>
                  </w:tcBorders>
                  <w:shd w:val="clear" w:color="auto" w:fill="auto"/>
                  <w:vAlign w:val="center"/>
                </w:tcPr>
                <w:p w14:paraId="021A4CA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3.06</w:t>
                  </w:r>
                </w:p>
              </w:tc>
              <w:tc>
                <w:tcPr>
                  <w:tcW w:w="337" w:type="pct"/>
                  <w:tcBorders>
                    <w:tl2br w:val="nil"/>
                    <w:tr2bl w:val="nil"/>
                  </w:tcBorders>
                  <w:shd w:val="clear" w:color="auto" w:fill="auto"/>
                  <w:vAlign w:val="center"/>
                </w:tcPr>
                <w:p w14:paraId="19C804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162" w:type="pct"/>
                  <w:tcBorders>
                    <w:tl2br w:val="nil"/>
                    <w:tr2bl w:val="nil"/>
                  </w:tcBorders>
                  <w:shd w:val="clear" w:color="auto" w:fill="auto"/>
                  <w:vAlign w:val="center"/>
                </w:tcPr>
                <w:p w14:paraId="5375E56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56" w:type="pct"/>
                  <w:tcBorders>
                    <w:tl2br w:val="nil"/>
                    <w:tr2bl w:val="nil"/>
                  </w:tcBorders>
                  <w:shd w:val="clear" w:color="auto" w:fill="auto"/>
                  <w:vAlign w:val="center"/>
                </w:tcPr>
                <w:p w14:paraId="5206F48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459" w:type="pct"/>
                  <w:tcBorders>
                    <w:tl2br w:val="nil"/>
                    <w:tr2bl w:val="nil"/>
                  </w:tcBorders>
                  <w:shd w:val="clear" w:color="auto" w:fill="auto"/>
                  <w:vAlign w:val="center"/>
                </w:tcPr>
                <w:p w14:paraId="6C9C114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292" w:type="pct"/>
                  <w:tcBorders>
                    <w:tl2br w:val="nil"/>
                    <w:tr2bl w:val="nil"/>
                  </w:tcBorders>
                  <w:vAlign w:val="center"/>
                </w:tcPr>
                <w:p w14:paraId="5E599897">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三个月</w:t>
                  </w:r>
                </w:p>
              </w:tc>
              <w:tc>
                <w:tcPr>
                  <w:tcW w:w="287" w:type="pct"/>
                  <w:tcBorders>
                    <w:tl2br w:val="nil"/>
                    <w:tr2bl w:val="nil"/>
                  </w:tcBorders>
                  <w:shd w:val="clear" w:color="auto" w:fill="auto"/>
                  <w:vAlign w:val="center"/>
                </w:tcPr>
                <w:p w14:paraId="59A4C29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w:t>
                  </w:r>
                </w:p>
              </w:tc>
              <w:tc>
                <w:tcPr>
                  <w:tcW w:w="348" w:type="pct"/>
                  <w:tcBorders>
                    <w:tl2br w:val="nil"/>
                    <w:tr2bl w:val="nil"/>
                  </w:tcBorders>
                  <w:vAlign w:val="center"/>
                </w:tcPr>
                <w:p w14:paraId="17CABC9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桶装封口</w:t>
                  </w:r>
                </w:p>
              </w:tc>
              <w:tc>
                <w:tcPr>
                  <w:tcW w:w="410" w:type="pct"/>
                  <w:vMerge w:val="continue"/>
                  <w:tcBorders>
                    <w:tl2br w:val="nil"/>
                    <w:tr2bl w:val="nil"/>
                  </w:tcBorders>
                  <w:vAlign w:val="center"/>
                </w:tcPr>
                <w:p w14:paraId="3D404152">
                  <w:pPr>
                    <w:pStyle w:val="53"/>
                    <w:ind w:lef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501B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6740EDD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78" w:type="pct"/>
                  <w:tcBorders>
                    <w:tl2br w:val="nil"/>
                    <w:tr2bl w:val="nil"/>
                  </w:tcBorders>
                  <w:shd w:val="clear" w:color="auto" w:fill="auto"/>
                  <w:vAlign w:val="center"/>
                </w:tcPr>
                <w:p w14:paraId="31C154EB">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406" w:type="pct"/>
                  <w:tcBorders>
                    <w:tl2br w:val="nil"/>
                    <w:tr2bl w:val="nil"/>
                  </w:tcBorders>
                  <w:shd w:val="clear" w:color="auto" w:fill="auto"/>
                  <w:vAlign w:val="center"/>
                </w:tcPr>
                <w:p w14:paraId="14C92A3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623" w:type="pct"/>
                  <w:tcBorders>
                    <w:tl2br w:val="nil"/>
                    <w:tr2bl w:val="nil"/>
                  </w:tcBorders>
                  <w:shd w:val="clear" w:color="auto" w:fill="auto"/>
                  <w:vAlign w:val="center"/>
                </w:tcPr>
                <w:p w14:paraId="4492B1C0">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76" w:type="pct"/>
                  <w:tcBorders>
                    <w:tl2br w:val="nil"/>
                    <w:tr2bl w:val="nil"/>
                  </w:tcBorders>
                  <w:shd w:val="clear" w:color="auto" w:fill="auto"/>
                  <w:vAlign w:val="center"/>
                </w:tcPr>
                <w:p w14:paraId="7928CC7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37" w:type="pct"/>
                  <w:tcBorders>
                    <w:tl2br w:val="nil"/>
                    <w:tr2bl w:val="nil"/>
                  </w:tcBorders>
                  <w:shd w:val="clear" w:color="auto" w:fill="auto"/>
                  <w:vAlign w:val="center"/>
                </w:tcPr>
                <w:p w14:paraId="087B706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162" w:type="pct"/>
                  <w:tcBorders>
                    <w:tl2br w:val="nil"/>
                    <w:tr2bl w:val="nil"/>
                  </w:tcBorders>
                  <w:shd w:val="clear" w:color="auto" w:fill="auto"/>
                  <w:vAlign w:val="center"/>
                </w:tcPr>
                <w:p w14:paraId="41A13BE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半固</w:t>
                  </w:r>
                </w:p>
              </w:tc>
              <w:tc>
                <w:tcPr>
                  <w:tcW w:w="656" w:type="pct"/>
                  <w:tcBorders>
                    <w:tl2br w:val="nil"/>
                    <w:tr2bl w:val="nil"/>
                  </w:tcBorders>
                  <w:shd w:val="clear" w:color="auto" w:fill="auto"/>
                  <w:vAlign w:val="center"/>
                </w:tcPr>
                <w:p w14:paraId="4490A9B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有机物、杂质</w:t>
                  </w:r>
                </w:p>
              </w:tc>
              <w:tc>
                <w:tcPr>
                  <w:tcW w:w="459" w:type="pct"/>
                  <w:tcBorders>
                    <w:tl2br w:val="nil"/>
                    <w:tr2bl w:val="nil"/>
                  </w:tcBorders>
                  <w:shd w:val="clear" w:color="auto" w:fill="auto"/>
                  <w:vAlign w:val="center"/>
                </w:tcPr>
                <w:p w14:paraId="39C957B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有机物、杂质</w:t>
                  </w:r>
                </w:p>
              </w:tc>
              <w:tc>
                <w:tcPr>
                  <w:tcW w:w="292" w:type="pct"/>
                  <w:tcBorders>
                    <w:tl2br w:val="nil"/>
                    <w:tr2bl w:val="nil"/>
                  </w:tcBorders>
                  <w:vAlign w:val="center"/>
                </w:tcPr>
                <w:p w14:paraId="0AE24A0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1日</w:t>
                  </w:r>
                </w:p>
              </w:tc>
              <w:tc>
                <w:tcPr>
                  <w:tcW w:w="287" w:type="pct"/>
                  <w:tcBorders>
                    <w:tl2br w:val="nil"/>
                    <w:tr2bl w:val="nil"/>
                  </w:tcBorders>
                  <w:shd w:val="clear" w:color="auto" w:fill="auto"/>
                  <w:vAlign w:val="center"/>
                </w:tcPr>
                <w:p w14:paraId="050757FC">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348" w:type="pct"/>
                  <w:tcBorders>
                    <w:tl2br w:val="nil"/>
                    <w:tr2bl w:val="nil"/>
                  </w:tcBorders>
                  <w:vAlign w:val="center"/>
                </w:tcPr>
                <w:p w14:paraId="66700BB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桶装封口</w:t>
                  </w:r>
                </w:p>
              </w:tc>
              <w:tc>
                <w:tcPr>
                  <w:tcW w:w="410" w:type="pct"/>
                  <w:vMerge w:val="continue"/>
                  <w:tcBorders>
                    <w:tl2br w:val="nil"/>
                    <w:tr2bl w:val="nil"/>
                  </w:tcBorders>
                  <w:vAlign w:val="center"/>
                </w:tcPr>
                <w:p w14:paraId="4DC997EF">
                  <w:pPr>
                    <w:pStyle w:val="53"/>
                    <w:ind w:lef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D0141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7DC956F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378" w:type="pct"/>
                  <w:tcBorders>
                    <w:tl2br w:val="nil"/>
                    <w:tr2bl w:val="nil"/>
                  </w:tcBorders>
                  <w:shd w:val="clear" w:color="auto" w:fill="auto"/>
                  <w:vAlign w:val="center"/>
                </w:tcPr>
                <w:p w14:paraId="7B2CA203">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406" w:type="pct"/>
                  <w:tcBorders>
                    <w:tl2br w:val="nil"/>
                    <w:tr2bl w:val="nil"/>
                  </w:tcBorders>
                  <w:shd w:val="clear" w:color="auto" w:fill="auto"/>
                  <w:vAlign w:val="center"/>
                </w:tcPr>
                <w:p w14:paraId="0D07A881">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623" w:type="pct"/>
                  <w:tcBorders>
                    <w:tl2br w:val="nil"/>
                    <w:tr2bl w:val="nil"/>
                  </w:tcBorders>
                  <w:shd w:val="clear" w:color="auto" w:fill="auto"/>
                  <w:vAlign w:val="center"/>
                </w:tcPr>
                <w:p w14:paraId="63F65092">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76" w:type="pct"/>
                  <w:tcBorders>
                    <w:tl2br w:val="nil"/>
                    <w:tr2bl w:val="nil"/>
                  </w:tcBorders>
                  <w:shd w:val="clear" w:color="auto" w:fill="auto"/>
                  <w:vAlign w:val="center"/>
                </w:tcPr>
                <w:p w14:paraId="5473ACD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37" w:type="pct"/>
                  <w:tcBorders>
                    <w:tl2br w:val="nil"/>
                    <w:tr2bl w:val="nil"/>
                  </w:tcBorders>
                  <w:shd w:val="clear" w:color="auto" w:fill="auto"/>
                  <w:vAlign w:val="center"/>
                </w:tcPr>
                <w:p w14:paraId="561D2C0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162" w:type="pct"/>
                  <w:tcBorders>
                    <w:tl2br w:val="nil"/>
                    <w:tr2bl w:val="nil"/>
                  </w:tcBorders>
                  <w:shd w:val="clear" w:color="auto" w:fill="auto"/>
                  <w:vAlign w:val="center"/>
                </w:tcPr>
                <w:p w14:paraId="104771B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656" w:type="pct"/>
                  <w:tcBorders>
                    <w:tl2br w:val="nil"/>
                    <w:tr2bl w:val="nil"/>
                  </w:tcBorders>
                  <w:shd w:val="clear" w:color="auto" w:fill="auto"/>
                  <w:vAlign w:val="center"/>
                </w:tcPr>
                <w:p w14:paraId="6D099A1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459" w:type="pct"/>
                  <w:tcBorders>
                    <w:tl2br w:val="nil"/>
                    <w:tr2bl w:val="nil"/>
                  </w:tcBorders>
                  <w:shd w:val="clear" w:color="auto" w:fill="auto"/>
                  <w:vAlign w:val="center"/>
                </w:tcPr>
                <w:p w14:paraId="36AC2DE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292" w:type="pct"/>
                  <w:tcBorders>
                    <w:tl2br w:val="nil"/>
                    <w:tr2bl w:val="nil"/>
                  </w:tcBorders>
                  <w:vAlign w:val="center"/>
                </w:tcPr>
                <w:p w14:paraId="16B460B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1日</w:t>
                  </w:r>
                </w:p>
              </w:tc>
              <w:tc>
                <w:tcPr>
                  <w:tcW w:w="287" w:type="pct"/>
                  <w:tcBorders>
                    <w:tl2br w:val="nil"/>
                    <w:tr2bl w:val="nil"/>
                  </w:tcBorders>
                  <w:shd w:val="clear" w:color="auto" w:fill="auto"/>
                  <w:vAlign w:val="center"/>
                </w:tcPr>
                <w:p w14:paraId="22E5DF7A">
                  <w:pPr>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C</w:t>
                  </w:r>
                </w:p>
              </w:tc>
              <w:tc>
                <w:tcPr>
                  <w:tcW w:w="348" w:type="pct"/>
                  <w:tcBorders>
                    <w:tl2br w:val="nil"/>
                    <w:tr2bl w:val="nil"/>
                  </w:tcBorders>
                  <w:vAlign w:val="center"/>
                </w:tcPr>
                <w:p w14:paraId="6851434B">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桶装封口</w:t>
                  </w:r>
                </w:p>
              </w:tc>
              <w:tc>
                <w:tcPr>
                  <w:tcW w:w="410" w:type="pct"/>
                  <w:vMerge w:val="continue"/>
                  <w:tcBorders>
                    <w:tl2br w:val="nil"/>
                    <w:tr2bl w:val="nil"/>
                  </w:tcBorders>
                  <w:vAlign w:val="center"/>
                </w:tcPr>
                <w:p w14:paraId="445D31BF">
                  <w:pPr>
                    <w:pStyle w:val="53"/>
                    <w:ind w:lef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E4F3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shd w:val="clear" w:color="auto" w:fill="auto"/>
                  <w:vAlign w:val="center"/>
                </w:tcPr>
                <w:p w14:paraId="5176D76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78" w:type="pct"/>
                  <w:tcBorders>
                    <w:tl2br w:val="nil"/>
                    <w:tr2bl w:val="nil"/>
                  </w:tcBorders>
                  <w:shd w:val="clear" w:color="auto" w:fill="auto"/>
                  <w:vAlign w:val="center"/>
                </w:tcPr>
                <w:p w14:paraId="2A11B41D">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406" w:type="pct"/>
                  <w:tcBorders>
                    <w:tl2br w:val="nil"/>
                    <w:tr2bl w:val="nil"/>
                  </w:tcBorders>
                  <w:shd w:val="clear" w:color="auto" w:fill="auto"/>
                  <w:vAlign w:val="center"/>
                </w:tcPr>
                <w:p w14:paraId="3E2F075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623" w:type="pct"/>
                  <w:tcBorders>
                    <w:tl2br w:val="nil"/>
                    <w:tr2bl w:val="nil"/>
                  </w:tcBorders>
                  <w:shd w:val="clear" w:color="auto" w:fill="auto"/>
                  <w:vAlign w:val="center"/>
                </w:tcPr>
                <w:p w14:paraId="07ECFD3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476" w:type="pct"/>
                  <w:tcBorders>
                    <w:tl2br w:val="nil"/>
                    <w:tr2bl w:val="nil"/>
                  </w:tcBorders>
                  <w:shd w:val="clear" w:color="auto" w:fill="auto"/>
                  <w:vAlign w:val="center"/>
                </w:tcPr>
                <w:p w14:paraId="65266A6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c>
                <w:tcPr>
                  <w:tcW w:w="337" w:type="pct"/>
                  <w:tcBorders>
                    <w:tl2br w:val="nil"/>
                    <w:tr2bl w:val="nil"/>
                  </w:tcBorders>
                  <w:shd w:val="clear" w:color="auto" w:fill="auto"/>
                  <w:vAlign w:val="center"/>
                </w:tcPr>
                <w:p w14:paraId="4DE5A60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162" w:type="pct"/>
                  <w:tcBorders>
                    <w:tl2br w:val="nil"/>
                    <w:tr2bl w:val="nil"/>
                  </w:tcBorders>
                  <w:shd w:val="clear" w:color="auto" w:fill="auto"/>
                  <w:vAlign w:val="center"/>
                </w:tcPr>
                <w:p w14:paraId="7510A5A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56" w:type="pct"/>
                  <w:tcBorders>
                    <w:tl2br w:val="nil"/>
                    <w:tr2bl w:val="nil"/>
                  </w:tcBorders>
                  <w:shd w:val="clear" w:color="auto" w:fill="auto"/>
                  <w:vAlign w:val="center"/>
                </w:tcPr>
                <w:p w14:paraId="422E6B6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石英砂、活性炭、滤芯、RO膜</w:t>
                  </w:r>
                </w:p>
              </w:tc>
              <w:tc>
                <w:tcPr>
                  <w:tcW w:w="459" w:type="pct"/>
                  <w:tcBorders>
                    <w:tl2br w:val="nil"/>
                    <w:tr2bl w:val="nil"/>
                  </w:tcBorders>
                  <w:shd w:val="clear" w:color="auto" w:fill="auto"/>
                  <w:vAlign w:val="center"/>
                </w:tcPr>
                <w:p w14:paraId="112AC50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292" w:type="pct"/>
                  <w:tcBorders>
                    <w:tl2br w:val="nil"/>
                    <w:tr2bl w:val="nil"/>
                  </w:tcBorders>
                  <w:vAlign w:val="center"/>
                </w:tcPr>
                <w:p w14:paraId="40E91E7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287" w:type="pct"/>
                  <w:tcBorders>
                    <w:tl2br w:val="nil"/>
                    <w:tr2bl w:val="nil"/>
                  </w:tcBorders>
                  <w:shd w:val="clear" w:color="auto" w:fill="auto"/>
                  <w:vAlign w:val="center"/>
                </w:tcPr>
                <w:p w14:paraId="3CC8F88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348" w:type="pct"/>
                  <w:tcBorders>
                    <w:tl2br w:val="nil"/>
                    <w:tr2bl w:val="nil"/>
                  </w:tcBorders>
                  <w:vAlign w:val="center"/>
                </w:tcPr>
                <w:p w14:paraId="03B8CA3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桶装封口</w:t>
                  </w:r>
                </w:p>
              </w:tc>
              <w:tc>
                <w:tcPr>
                  <w:tcW w:w="410" w:type="pct"/>
                  <w:vMerge w:val="continue"/>
                  <w:tcBorders>
                    <w:tl2br w:val="nil"/>
                    <w:tr2bl w:val="nil"/>
                  </w:tcBorders>
                  <w:vAlign w:val="center"/>
                </w:tcPr>
                <w:p w14:paraId="1DC6CB37">
                  <w:pPr>
                    <w:pStyle w:val="53"/>
                    <w:ind w:lef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557B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9" w:type="pct"/>
                  <w:tcBorders>
                    <w:tl2br w:val="nil"/>
                    <w:tr2bl w:val="nil"/>
                  </w:tcBorders>
                  <w:vAlign w:val="center"/>
                </w:tcPr>
                <w:p w14:paraId="42EC161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378" w:type="pct"/>
                  <w:tcBorders>
                    <w:tl2br w:val="nil"/>
                    <w:tr2bl w:val="nil"/>
                  </w:tcBorders>
                  <w:shd w:val="clear" w:color="auto" w:fill="auto"/>
                  <w:vAlign w:val="center"/>
                </w:tcPr>
                <w:p w14:paraId="0AF18E59">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406" w:type="pct"/>
                  <w:tcBorders>
                    <w:tl2br w:val="nil"/>
                    <w:tr2bl w:val="nil"/>
                  </w:tcBorders>
                  <w:shd w:val="clear" w:color="auto" w:fill="auto"/>
                  <w:vAlign w:val="center"/>
                </w:tcPr>
                <w:p w14:paraId="0BB10B8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623" w:type="pct"/>
                  <w:tcBorders>
                    <w:tl2br w:val="nil"/>
                    <w:tr2bl w:val="nil"/>
                  </w:tcBorders>
                  <w:shd w:val="clear" w:color="auto" w:fill="auto"/>
                  <w:vAlign w:val="center"/>
                </w:tcPr>
                <w:p w14:paraId="3D93F6E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476" w:type="pct"/>
                  <w:tcBorders>
                    <w:tl2br w:val="nil"/>
                    <w:tr2bl w:val="nil"/>
                  </w:tcBorders>
                  <w:shd w:val="clear" w:color="auto" w:fill="auto"/>
                  <w:vAlign w:val="center"/>
                </w:tcPr>
                <w:p w14:paraId="6034934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w:t>
                  </w:r>
                </w:p>
              </w:tc>
              <w:tc>
                <w:tcPr>
                  <w:tcW w:w="337" w:type="pct"/>
                  <w:tcBorders>
                    <w:tl2br w:val="nil"/>
                    <w:tr2bl w:val="nil"/>
                  </w:tcBorders>
                  <w:shd w:val="clear" w:color="auto" w:fill="auto"/>
                  <w:vAlign w:val="center"/>
                </w:tcPr>
                <w:p w14:paraId="2CB7662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162" w:type="pct"/>
                  <w:tcBorders>
                    <w:tl2br w:val="nil"/>
                    <w:tr2bl w:val="nil"/>
                  </w:tcBorders>
                  <w:shd w:val="clear" w:color="auto" w:fill="auto"/>
                  <w:vAlign w:val="center"/>
                </w:tcPr>
                <w:p w14:paraId="47B5DED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56" w:type="pct"/>
                  <w:tcBorders>
                    <w:tl2br w:val="nil"/>
                    <w:tr2bl w:val="nil"/>
                  </w:tcBorders>
                  <w:shd w:val="clear" w:color="auto" w:fill="auto"/>
                  <w:vAlign w:val="center"/>
                </w:tcPr>
                <w:p w14:paraId="18AECE5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酸、有机物、</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油类</w:t>
                  </w:r>
                </w:p>
              </w:tc>
              <w:tc>
                <w:tcPr>
                  <w:tcW w:w="459" w:type="pct"/>
                  <w:tcBorders>
                    <w:tl2br w:val="nil"/>
                    <w:tr2bl w:val="nil"/>
                  </w:tcBorders>
                  <w:shd w:val="clear" w:color="auto" w:fill="auto"/>
                  <w:vAlign w:val="center"/>
                </w:tcPr>
                <w:p w14:paraId="1A3207F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酸、有机物、</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油类</w:t>
                  </w:r>
                </w:p>
              </w:tc>
              <w:tc>
                <w:tcPr>
                  <w:tcW w:w="292" w:type="pct"/>
                  <w:tcBorders>
                    <w:tl2br w:val="nil"/>
                    <w:tr2bl w:val="nil"/>
                  </w:tcBorders>
                  <w:vAlign w:val="center"/>
                </w:tcPr>
                <w:p w14:paraId="144BFC71">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287" w:type="pct"/>
                  <w:tcBorders>
                    <w:tl2br w:val="nil"/>
                    <w:tr2bl w:val="nil"/>
                  </w:tcBorders>
                  <w:shd w:val="clear" w:color="auto" w:fill="auto"/>
                  <w:vAlign w:val="center"/>
                </w:tcPr>
                <w:p w14:paraId="055B169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T/In</w:t>
                  </w:r>
                </w:p>
              </w:tc>
              <w:tc>
                <w:tcPr>
                  <w:tcW w:w="348" w:type="pct"/>
                  <w:tcBorders>
                    <w:tl2br w:val="nil"/>
                    <w:tr2bl w:val="nil"/>
                  </w:tcBorders>
                  <w:vAlign w:val="center"/>
                </w:tcPr>
                <w:p w14:paraId="5C32C867">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袋装封口</w:t>
                  </w:r>
                </w:p>
              </w:tc>
              <w:tc>
                <w:tcPr>
                  <w:tcW w:w="410" w:type="pct"/>
                  <w:vMerge w:val="continue"/>
                  <w:tcBorders>
                    <w:tl2br w:val="nil"/>
                    <w:tr2bl w:val="nil"/>
                  </w:tcBorders>
                  <w:vAlign w:val="center"/>
                </w:tcPr>
                <w:p w14:paraId="1A43C09D">
                  <w:pPr>
                    <w:pStyle w:val="53"/>
                    <w:ind w:lef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655B2704">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、固体废物贮存和处置方式</w:t>
            </w:r>
          </w:p>
          <w:p w14:paraId="00288A3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全厂</w:t>
            </w:r>
            <w:r>
              <w:rPr>
                <w:rFonts w:hint="default" w:ascii="Times New Roman" w:hAnsi="Times New Roman" w:eastAsia="宋体" w:cs="Times New Roman"/>
                <w:color w:val="000000" w:themeColor="text1"/>
                <w:sz w:val="24"/>
                <w14:textFill>
                  <w14:solidFill>
                    <w14:schemeClr w14:val="tx1"/>
                  </w14:solidFill>
                </w14:textFill>
              </w:rPr>
              <w:t>生产的固体废物应分类收集、分类贮存、并张贴标签贮存在专门的场所内，危险固废、一般固废和生活垃圾分开，不得混放。</w:t>
            </w:r>
            <w:r>
              <w:rPr>
                <w:rFonts w:hint="eastAsia" w:ascii="Times New Roman" w:hAnsi="Times New Roman" w:eastAsia="宋体" w:cs="Times New Roman"/>
                <w:color w:val="000000" w:themeColor="text1"/>
                <w:sz w:val="24"/>
                <w:lang w:val="en-US" w:eastAsia="zh-CN"/>
                <w14:textFill>
                  <w14:solidFill>
                    <w14:schemeClr w14:val="tx1"/>
                  </w14:solidFill>
                </w14:textFill>
              </w:rPr>
              <w:t>全厂</w:t>
            </w:r>
            <w:r>
              <w:rPr>
                <w:rFonts w:hint="default" w:ascii="Times New Roman" w:hAnsi="Times New Roman" w:eastAsia="宋体" w:cs="Times New Roman"/>
                <w:color w:val="000000" w:themeColor="text1"/>
                <w:sz w:val="24"/>
                <w14:textFill>
                  <w14:solidFill>
                    <w14:schemeClr w14:val="tx1"/>
                  </w14:solidFill>
                </w14:textFill>
              </w:rPr>
              <w:t>产生的固废经安全收集，都得到妥善处理，不会对周围环境产生二次污染。</w:t>
            </w:r>
          </w:p>
          <w:p w14:paraId="78BEB82A">
            <w:pPr>
              <w:keepNext w:val="0"/>
              <w:keepLines w:val="0"/>
              <w:pageBreakBefore w:val="0"/>
              <w:widowControl w:val="0"/>
              <w:kinsoku/>
              <w:wordWrap/>
              <w:overflowPunct/>
              <w:topLinePunct w:val="0"/>
              <w:autoSpaceDE/>
              <w:autoSpaceDN/>
              <w:bidi w:val="0"/>
              <w:adjustRightInd/>
              <w:snapToGrid/>
              <w:spacing w:before="120"/>
              <w:jc w:val="center"/>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37 </w:t>
            </w:r>
            <w:r>
              <w:rPr>
                <w:rFonts w:hint="default" w:ascii="Times New Roman" w:hAnsi="Times New Roman" w:eastAsia="宋体" w:cs="Times New Roman"/>
                <w:b/>
                <w:color w:val="000000" w:themeColor="text1"/>
                <w:sz w:val="24"/>
                <w14:textFill>
                  <w14:solidFill>
                    <w14:schemeClr w14:val="tx1"/>
                  </w14:solidFill>
                </w14:textFill>
              </w:rPr>
              <w:t xml:space="preserve"> 本项目固体废物利用处置方式评价表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3"/>
              <w:gridCol w:w="1510"/>
              <w:gridCol w:w="1425"/>
              <w:gridCol w:w="683"/>
              <w:gridCol w:w="830"/>
              <w:gridCol w:w="1363"/>
              <w:gridCol w:w="903"/>
              <w:gridCol w:w="1443"/>
            </w:tblGrid>
            <w:tr w14:paraId="310E27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vAlign w:val="center"/>
                </w:tcPr>
                <w:p w14:paraId="410CA88D">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71" w:type="pct"/>
                  <w:vAlign w:val="center"/>
                </w:tcPr>
                <w:p w14:paraId="5C71E46C">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固废名称</w:t>
                  </w:r>
                </w:p>
              </w:tc>
              <w:tc>
                <w:tcPr>
                  <w:tcW w:w="822" w:type="pct"/>
                  <w:vAlign w:val="center"/>
                </w:tcPr>
                <w:p w14:paraId="399F0144">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产生工序</w:t>
                  </w:r>
                </w:p>
              </w:tc>
              <w:tc>
                <w:tcPr>
                  <w:tcW w:w="394" w:type="pct"/>
                  <w:vAlign w:val="center"/>
                </w:tcPr>
                <w:p w14:paraId="00DACF5A">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属性</w:t>
                  </w:r>
                </w:p>
              </w:tc>
              <w:tc>
                <w:tcPr>
                  <w:tcW w:w="479" w:type="pct"/>
                  <w:shd w:val="clear" w:color="auto" w:fill="auto"/>
                  <w:vAlign w:val="center"/>
                </w:tcPr>
                <w:p w14:paraId="6675D0DD">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786" w:type="pct"/>
                  <w:shd w:val="clear" w:color="auto" w:fill="auto"/>
                  <w:vAlign w:val="center"/>
                </w:tcPr>
                <w:p w14:paraId="36878CDF">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代码</w:t>
                  </w:r>
                </w:p>
              </w:tc>
              <w:tc>
                <w:tcPr>
                  <w:tcW w:w="521" w:type="pct"/>
                  <w:vAlign w:val="center"/>
                </w:tcPr>
                <w:p w14:paraId="11A59C3C">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产生量（t/a）</w:t>
                  </w:r>
                </w:p>
              </w:tc>
              <w:tc>
                <w:tcPr>
                  <w:tcW w:w="833" w:type="pct"/>
                  <w:vAlign w:val="center"/>
                </w:tcPr>
                <w:p w14:paraId="3AEDC27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利用处置方式</w:t>
                  </w:r>
                </w:p>
              </w:tc>
            </w:tr>
            <w:tr w14:paraId="5F27AA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169EE7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71" w:type="pct"/>
                  <w:shd w:val="clear" w:color="auto" w:fill="auto"/>
                  <w:vAlign w:val="center"/>
                </w:tcPr>
                <w:p w14:paraId="7DA528E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822" w:type="pct"/>
                  <w:shd w:val="clear" w:color="auto" w:fill="auto"/>
                  <w:vAlign w:val="center"/>
                </w:tcPr>
                <w:p w14:paraId="34F5023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394" w:type="pct"/>
                  <w:shd w:val="clear" w:color="auto" w:fill="auto"/>
                  <w:vAlign w:val="center"/>
                </w:tcPr>
                <w:p w14:paraId="2813AD4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79" w:type="pct"/>
                  <w:shd w:val="clear" w:color="auto" w:fill="auto"/>
                  <w:vAlign w:val="center"/>
                </w:tcPr>
                <w:p w14:paraId="11DB35F7">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SW64</w:t>
                  </w:r>
                </w:p>
              </w:tc>
              <w:tc>
                <w:tcPr>
                  <w:tcW w:w="786" w:type="pct"/>
                  <w:shd w:val="clear" w:color="auto" w:fill="auto"/>
                  <w:vAlign w:val="center"/>
                </w:tcPr>
                <w:p w14:paraId="05AE5C2F">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900-099-S64</w:t>
                  </w:r>
                </w:p>
              </w:tc>
              <w:tc>
                <w:tcPr>
                  <w:tcW w:w="521" w:type="pct"/>
                  <w:shd w:val="clear" w:color="auto" w:fill="auto"/>
                  <w:vAlign w:val="center"/>
                </w:tcPr>
                <w:p w14:paraId="6E532C0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33" w:type="pct"/>
                  <w:vAlign w:val="center"/>
                </w:tcPr>
                <w:p w14:paraId="3FBB59F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环卫部门统一清运</w:t>
                  </w:r>
                </w:p>
              </w:tc>
            </w:tr>
            <w:tr w14:paraId="70B097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51540A8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71" w:type="pct"/>
                  <w:shd w:val="clear" w:color="auto" w:fill="auto"/>
                  <w:vAlign w:val="center"/>
                </w:tcPr>
                <w:p w14:paraId="00E352A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1"/>
                      <w:szCs w:val="21"/>
                      <w14:textFill>
                        <w14:solidFill>
                          <w14:schemeClr w14:val="tx1"/>
                        </w14:solidFill>
                      </w14:textFill>
                    </w:rPr>
                    <w:t>边角料</w:t>
                  </w:r>
                </w:p>
              </w:tc>
              <w:tc>
                <w:tcPr>
                  <w:tcW w:w="822" w:type="pct"/>
                  <w:shd w:val="clear" w:color="auto" w:fill="auto"/>
                  <w:vAlign w:val="center"/>
                </w:tcPr>
                <w:p w14:paraId="02B9BCC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冲压、分切等</w:t>
                  </w:r>
                </w:p>
              </w:tc>
              <w:tc>
                <w:tcPr>
                  <w:tcW w:w="394" w:type="pct"/>
                  <w:vMerge w:val="restart"/>
                  <w:shd w:val="clear" w:color="auto" w:fill="auto"/>
                  <w:vAlign w:val="center"/>
                </w:tcPr>
                <w:p w14:paraId="6AAD923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tc>
              <w:tc>
                <w:tcPr>
                  <w:tcW w:w="479" w:type="pct"/>
                  <w:shd w:val="clear" w:color="auto" w:fill="auto"/>
                  <w:vAlign w:val="center"/>
                </w:tcPr>
                <w:p w14:paraId="229E9B9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786" w:type="pct"/>
                  <w:shd w:val="clear" w:color="auto" w:fill="auto"/>
                  <w:vAlign w:val="center"/>
                </w:tcPr>
                <w:p w14:paraId="03E1BA3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521" w:type="pct"/>
                  <w:shd w:val="clear" w:color="auto" w:fill="auto"/>
                  <w:vAlign w:val="center"/>
                </w:tcPr>
                <w:p w14:paraId="56C8729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33" w:type="pct"/>
                  <w:vMerge w:val="restart"/>
                  <w:vAlign w:val="center"/>
                </w:tcPr>
                <w:p w14:paraId="6196C3B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外售综合利用</w:t>
                  </w:r>
                </w:p>
              </w:tc>
            </w:tr>
            <w:tr w14:paraId="240AC9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6FC2D1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71" w:type="pct"/>
                  <w:shd w:val="clear" w:color="auto" w:fill="auto"/>
                  <w:vAlign w:val="center"/>
                </w:tcPr>
                <w:p w14:paraId="338D33BB">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不合格品</w:t>
                  </w:r>
                </w:p>
              </w:tc>
              <w:tc>
                <w:tcPr>
                  <w:tcW w:w="822" w:type="pct"/>
                  <w:shd w:val="clear" w:color="auto" w:fill="auto"/>
                  <w:vAlign w:val="center"/>
                </w:tcPr>
                <w:p w14:paraId="24BB5DC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394" w:type="pct"/>
                  <w:vMerge w:val="continue"/>
                  <w:vAlign w:val="center"/>
                </w:tcPr>
                <w:p w14:paraId="7EE7222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5F118E8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786" w:type="pct"/>
                  <w:shd w:val="clear" w:color="auto" w:fill="auto"/>
                  <w:vAlign w:val="center"/>
                </w:tcPr>
                <w:p w14:paraId="0CC00FF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521" w:type="pct"/>
                  <w:shd w:val="clear" w:color="auto" w:fill="auto"/>
                  <w:vAlign w:val="center"/>
                </w:tcPr>
                <w:p w14:paraId="25F5736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10.426</w:t>
                  </w:r>
                </w:p>
              </w:tc>
              <w:tc>
                <w:tcPr>
                  <w:tcW w:w="833" w:type="pct"/>
                  <w:vMerge w:val="continue"/>
                  <w:vAlign w:val="center"/>
                </w:tcPr>
                <w:p w14:paraId="2686DAFC">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345BF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49E91CE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71" w:type="pct"/>
                  <w:shd w:val="clear" w:color="auto" w:fill="auto"/>
                  <w:vAlign w:val="center"/>
                </w:tcPr>
                <w:p w14:paraId="5FD0EC30">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纯水制备耗材</w:t>
                  </w:r>
                </w:p>
              </w:tc>
              <w:tc>
                <w:tcPr>
                  <w:tcW w:w="822" w:type="pct"/>
                  <w:shd w:val="clear" w:color="auto" w:fill="auto"/>
                  <w:vAlign w:val="center"/>
                </w:tcPr>
                <w:p w14:paraId="561DC97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c>
                <w:tcPr>
                  <w:tcW w:w="394" w:type="pct"/>
                  <w:vMerge w:val="continue"/>
                  <w:vAlign w:val="center"/>
                </w:tcPr>
                <w:p w14:paraId="1C4CB62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3F3CC59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SW59</w:t>
                  </w:r>
                </w:p>
              </w:tc>
              <w:tc>
                <w:tcPr>
                  <w:tcW w:w="786" w:type="pct"/>
                  <w:shd w:val="clear" w:color="auto" w:fill="auto"/>
                  <w:vAlign w:val="center"/>
                </w:tcPr>
                <w:p w14:paraId="2FCEEF5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900-009-S59</w:t>
                  </w:r>
                </w:p>
              </w:tc>
              <w:tc>
                <w:tcPr>
                  <w:tcW w:w="521" w:type="pct"/>
                  <w:shd w:val="clear" w:color="auto" w:fill="auto"/>
                  <w:vAlign w:val="center"/>
                </w:tcPr>
                <w:p w14:paraId="49AB510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0.2/2a</w:t>
                  </w:r>
                </w:p>
              </w:tc>
              <w:tc>
                <w:tcPr>
                  <w:tcW w:w="833" w:type="pct"/>
                  <w:vMerge w:val="continue"/>
                  <w:vAlign w:val="center"/>
                </w:tcPr>
                <w:p w14:paraId="4B29C10B">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8B46C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ACBBED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871" w:type="pct"/>
                  <w:shd w:val="clear" w:color="auto" w:fill="auto"/>
                  <w:vAlign w:val="center"/>
                </w:tcPr>
                <w:p w14:paraId="57DF758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822" w:type="pct"/>
                  <w:shd w:val="clear" w:color="auto" w:fill="auto"/>
                  <w:vAlign w:val="center"/>
                </w:tcPr>
                <w:p w14:paraId="089B512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394" w:type="pct"/>
                  <w:vMerge w:val="restart"/>
                  <w:shd w:val="clear" w:color="auto" w:fill="auto"/>
                  <w:vAlign w:val="center"/>
                </w:tcPr>
                <w:p w14:paraId="227E051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479" w:type="pct"/>
                  <w:shd w:val="clear" w:color="auto" w:fill="auto"/>
                  <w:vAlign w:val="center"/>
                </w:tcPr>
                <w:p w14:paraId="254C8717">
                  <w:pPr>
                    <w:jc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HW09</w:t>
                  </w:r>
                </w:p>
              </w:tc>
              <w:tc>
                <w:tcPr>
                  <w:tcW w:w="786" w:type="pct"/>
                  <w:shd w:val="clear" w:color="auto" w:fill="auto"/>
                  <w:vAlign w:val="center"/>
                </w:tcPr>
                <w:p w14:paraId="467EFD6B">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900-006-09</w:t>
                  </w:r>
                </w:p>
              </w:tc>
              <w:tc>
                <w:tcPr>
                  <w:tcW w:w="521" w:type="pct"/>
                  <w:shd w:val="clear" w:color="auto" w:fill="auto"/>
                  <w:vAlign w:val="center"/>
                </w:tcPr>
                <w:p w14:paraId="79900FBC">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w:t>
                  </w:r>
                </w:p>
              </w:tc>
              <w:tc>
                <w:tcPr>
                  <w:tcW w:w="833" w:type="pct"/>
                  <w:vMerge w:val="restart"/>
                  <w:vAlign w:val="center"/>
                </w:tcPr>
                <w:p w14:paraId="5E0BBBD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委托有资质单位处置</w:t>
                  </w:r>
                </w:p>
              </w:tc>
            </w:tr>
            <w:tr w14:paraId="1DA69F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19C9685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871" w:type="pct"/>
                  <w:shd w:val="clear" w:color="auto" w:fill="auto"/>
                  <w:vAlign w:val="center"/>
                </w:tcPr>
                <w:p w14:paraId="1744528A">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822" w:type="pct"/>
                  <w:shd w:val="clear" w:color="auto" w:fill="auto"/>
                  <w:vAlign w:val="center"/>
                </w:tcPr>
                <w:p w14:paraId="462C3EE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394" w:type="pct"/>
                  <w:vMerge w:val="continue"/>
                  <w:shd w:val="clear" w:color="auto" w:fill="auto"/>
                  <w:vAlign w:val="center"/>
                </w:tcPr>
                <w:p w14:paraId="08B5BE5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79" w:type="pct"/>
                  <w:shd w:val="clear" w:color="auto" w:fill="auto"/>
                  <w:vAlign w:val="center"/>
                </w:tcPr>
                <w:p w14:paraId="00E311D8">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HW</w:t>
                  </w:r>
                  <w:r>
                    <w:rPr>
                      <w:rFonts w:hint="default" w:ascii="Times New Roman" w:hAnsi="Times New Roman" w:cs="Times New Roman"/>
                      <w:color w:val="000000" w:themeColor="text1"/>
                      <w:spacing w:val="-1"/>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8</w:t>
                  </w:r>
                </w:p>
              </w:tc>
              <w:tc>
                <w:tcPr>
                  <w:tcW w:w="786" w:type="pct"/>
                  <w:shd w:val="clear" w:color="auto" w:fill="auto"/>
                  <w:vAlign w:val="center"/>
                </w:tcPr>
                <w:p w14:paraId="19671FBB">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900-213-08</w:t>
                  </w:r>
                </w:p>
              </w:tc>
              <w:tc>
                <w:tcPr>
                  <w:tcW w:w="521" w:type="pct"/>
                  <w:shd w:val="clear" w:color="auto" w:fill="auto"/>
                  <w:vAlign w:val="center"/>
                </w:tcPr>
                <w:p w14:paraId="28C9CA7E">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0.01</w:t>
                  </w:r>
                </w:p>
              </w:tc>
              <w:tc>
                <w:tcPr>
                  <w:tcW w:w="833" w:type="pct"/>
                  <w:vMerge w:val="continue"/>
                  <w:vAlign w:val="center"/>
                </w:tcPr>
                <w:p w14:paraId="7ECEB3EB">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93744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4BA747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71" w:type="pct"/>
                  <w:shd w:val="clear" w:color="auto" w:fill="auto"/>
                  <w:vAlign w:val="center"/>
                </w:tcPr>
                <w:p w14:paraId="126514BD">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822" w:type="pct"/>
                  <w:shd w:val="clear" w:color="auto" w:fill="auto"/>
                  <w:vAlign w:val="center"/>
                </w:tcPr>
                <w:p w14:paraId="5C14D56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394" w:type="pct"/>
                  <w:vMerge w:val="continue"/>
                  <w:vAlign w:val="center"/>
                </w:tcPr>
                <w:p w14:paraId="4A69CDF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577FADA3">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5AD5A17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3E49477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19.8</w:t>
                  </w:r>
                </w:p>
              </w:tc>
              <w:tc>
                <w:tcPr>
                  <w:tcW w:w="833" w:type="pct"/>
                  <w:vMerge w:val="continue"/>
                  <w:vAlign w:val="center"/>
                </w:tcPr>
                <w:p w14:paraId="306F632A">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1E095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567B205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71" w:type="pct"/>
                  <w:shd w:val="clear" w:color="auto" w:fill="auto"/>
                  <w:vAlign w:val="center"/>
                </w:tcPr>
                <w:p w14:paraId="3C2D8F3E">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822" w:type="pct"/>
                  <w:shd w:val="clear" w:color="auto" w:fill="auto"/>
                  <w:vAlign w:val="center"/>
                </w:tcPr>
                <w:p w14:paraId="108CD94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394" w:type="pct"/>
                  <w:vMerge w:val="continue"/>
                  <w:vAlign w:val="center"/>
                </w:tcPr>
                <w:p w14:paraId="7055694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7EE4DBEC">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65F1FBF3">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4BE6907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6.8</w:t>
                  </w:r>
                </w:p>
              </w:tc>
              <w:tc>
                <w:tcPr>
                  <w:tcW w:w="833" w:type="pct"/>
                  <w:vMerge w:val="continue"/>
                  <w:vAlign w:val="center"/>
                </w:tcPr>
                <w:p w14:paraId="354B9885">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D5D6F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1267C8D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71" w:type="pct"/>
                  <w:shd w:val="clear" w:color="auto" w:fill="auto"/>
                  <w:vAlign w:val="center"/>
                </w:tcPr>
                <w:p w14:paraId="1EE4A0D5">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822" w:type="pct"/>
                  <w:shd w:val="clear" w:color="auto" w:fill="auto"/>
                  <w:vAlign w:val="center"/>
                </w:tcPr>
                <w:p w14:paraId="0A91079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394" w:type="pct"/>
                  <w:vMerge w:val="continue"/>
                  <w:vAlign w:val="center"/>
                </w:tcPr>
                <w:p w14:paraId="04CD438F">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7A3750C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724E1B3F">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676AE14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17.28</w:t>
                  </w:r>
                </w:p>
              </w:tc>
              <w:tc>
                <w:tcPr>
                  <w:tcW w:w="833" w:type="pct"/>
                  <w:vMerge w:val="continue"/>
                  <w:vAlign w:val="center"/>
                </w:tcPr>
                <w:p w14:paraId="085C49A1">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470D7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5F0329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871" w:type="pct"/>
                  <w:shd w:val="clear" w:color="auto" w:fill="auto"/>
                  <w:vAlign w:val="center"/>
                </w:tcPr>
                <w:p w14:paraId="65D0D23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822" w:type="pct"/>
                  <w:shd w:val="clear" w:color="auto" w:fill="auto"/>
                  <w:vAlign w:val="center"/>
                </w:tcPr>
                <w:p w14:paraId="14A28AEE">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394" w:type="pct"/>
                  <w:vMerge w:val="continue"/>
                  <w:vAlign w:val="center"/>
                </w:tcPr>
                <w:p w14:paraId="6DD16AA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3D2D0F1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86" w:type="pct"/>
                  <w:shd w:val="clear" w:color="auto" w:fill="auto"/>
                  <w:vAlign w:val="center"/>
                </w:tcPr>
                <w:p w14:paraId="0208493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521" w:type="pct"/>
                  <w:shd w:val="clear" w:color="auto" w:fill="auto"/>
                  <w:vAlign w:val="center"/>
                </w:tcPr>
                <w:p w14:paraId="0C454718">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0.01</w:t>
                  </w:r>
                </w:p>
              </w:tc>
              <w:tc>
                <w:tcPr>
                  <w:tcW w:w="833" w:type="pct"/>
                  <w:vMerge w:val="continue"/>
                  <w:vAlign w:val="center"/>
                </w:tcPr>
                <w:p w14:paraId="1522C9AE">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87B35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644883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11</w:t>
                  </w:r>
                </w:p>
              </w:tc>
              <w:tc>
                <w:tcPr>
                  <w:tcW w:w="871" w:type="pct"/>
                  <w:shd w:val="clear" w:color="auto" w:fill="auto"/>
                  <w:vAlign w:val="center"/>
                </w:tcPr>
                <w:p w14:paraId="599E6FB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822" w:type="pct"/>
                  <w:shd w:val="clear" w:color="auto" w:fill="auto"/>
                  <w:vAlign w:val="center"/>
                </w:tcPr>
                <w:p w14:paraId="1713C80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394" w:type="pct"/>
                  <w:vMerge w:val="continue"/>
                  <w:vAlign w:val="center"/>
                </w:tcPr>
                <w:p w14:paraId="35C04A3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7B50976C">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786" w:type="pct"/>
                  <w:shd w:val="clear" w:color="auto" w:fill="auto"/>
                  <w:vAlign w:val="center"/>
                </w:tcPr>
                <w:p w14:paraId="03DD596C">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521" w:type="pct"/>
                  <w:shd w:val="clear" w:color="auto" w:fill="auto"/>
                  <w:vAlign w:val="center"/>
                </w:tcPr>
                <w:p w14:paraId="2F60BA4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3.06</w:t>
                  </w:r>
                </w:p>
              </w:tc>
              <w:tc>
                <w:tcPr>
                  <w:tcW w:w="833" w:type="pct"/>
                  <w:vMerge w:val="continue"/>
                  <w:vAlign w:val="center"/>
                </w:tcPr>
                <w:p w14:paraId="2981A7A6">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4F40C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4F22CD1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w:t>
                  </w:r>
                </w:p>
              </w:tc>
              <w:tc>
                <w:tcPr>
                  <w:tcW w:w="871" w:type="pct"/>
                  <w:shd w:val="clear" w:color="auto" w:fill="auto"/>
                  <w:vAlign w:val="center"/>
                </w:tcPr>
                <w:p w14:paraId="0791851F">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822" w:type="pct"/>
                  <w:shd w:val="clear" w:color="auto" w:fill="auto"/>
                  <w:vAlign w:val="center"/>
                </w:tcPr>
                <w:p w14:paraId="3EA48DA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394" w:type="pct"/>
                  <w:vMerge w:val="continue"/>
                  <w:vAlign w:val="center"/>
                </w:tcPr>
                <w:p w14:paraId="3889EB6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010EE1C2">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7DE02CA4">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4620A5C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33" w:type="pct"/>
                  <w:vMerge w:val="continue"/>
                  <w:vAlign w:val="center"/>
                </w:tcPr>
                <w:p w14:paraId="4A67EF92">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0012E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B104A6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871" w:type="pct"/>
                  <w:shd w:val="clear" w:color="auto" w:fill="auto"/>
                  <w:vAlign w:val="center"/>
                </w:tcPr>
                <w:p w14:paraId="1CB29537">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822" w:type="pct"/>
                  <w:shd w:val="clear" w:color="auto" w:fill="auto"/>
                  <w:vAlign w:val="center"/>
                </w:tcPr>
                <w:p w14:paraId="1E9B6FD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394" w:type="pct"/>
                  <w:vMerge w:val="continue"/>
                  <w:vAlign w:val="center"/>
                </w:tcPr>
                <w:p w14:paraId="7CF412E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00DC6ED6">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7BD57D32">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1B93D44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833" w:type="pct"/>
                  <w:vMerge w:val="continue"/>
                  <w:vAlign w:val="center"/>
                </w:tcPr>
                <w:p w14:paraId="3A464B60">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12FC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290" w:type="pct"/>
                  <w:shd w:val="clear" w:color="auto" w:fill="auto"/>
                  <w:vAlign w:val="center"/>
                </w:tcPr>
                <w:p w14:paraId="1A7E5CE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14</w:t>
                  </w:r>
                </w:p>
              </w:tc>
              <w:tc>
                <w:tcPr>
                  <w:tcW w:w="871" w:type="pct"/>
                  <w:shd w:val="clear" w:color="auto" w:fill="auto"/>
                  <w:vAlign w:val="center"/>
                </w:tcPr>
                <w:p w14:paraId="0579747A">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822" w:type="pct"/>
                  <w:shd w:val="clear" w:color="auto" w:fill="auto"/>
                  <w:vAlign w:val="center"/>
                </w:tcPr>
                <w:p w14:paraId="649B62B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394" w:type="pct"/>
                  <w:vMerge w:val="continue"/>
                  <w:vAlign w:val="center"/>
                </w:tcPr>
                <w:p w14:paraId="18EA7CB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348BF76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86" w:type="pct"/>
                  <w:shd w:val="clear" w:color="auto" w:fill="auto"/>
                  <w:vAlign w:val="center"/>
                </w:tcPr>
                <w:p w14:paraId="6E26755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521" w:type="pct"/>
                  <w:shd w:val="clear" w:color="auto" w:fill="auto"/>
                  <w:vAlign w:val="center"/>
                </w:tcPr>
                <w:p w14:paraId="13F7820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c>
                <w:tcPr>
                  <w:tcW w:w="833" w:type="pct"/>
                  <w:vMerge w:val="continue"/>
                  <w:vAlign w:val="center"/>
                </w:tcPr>
                <w:p w14:paraId="6EF3E857">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440D0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14426C0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w:t>
                  </w:r>
                </w:p>
              </w:tc>
              <w:tc>
                <w:tcPr>
                  <w:tcW w:w="871" w:type="pct"/>
                  <w:shd w:val="clear" w:color="auto" w:fill="auto"/>
                  <w:vAlign w:val="center"/>
                </w:tcPr>
                <w:p w14:paraId="0669322B">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822" w:type="pct"/>
                  <w:shd w:val="clear" w:color="auto" w:fill="auto"/>
                  <w:vAlign w:val="center"/>
                </w:tcPr>
                <w:p w14:paraId="414D7D5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394" w:type="pct"/>
                  <w:vMerge w:val="continue"/>
                  <w:vAlign w:val="center"/>
                </w:tcPr>
                <w:p w14:paraId="3F574AB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295D3F5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86" w:type="pct"/>
                  <w:shd w:val="clear" w:color="auto" w:fill="auto"/>
                  <w:vAlign w:val="center"/>
                </w:tcPr>
                <w:p w14:paraId="78D2AC9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521" w:type="pct"/>
                  <w:shd w:val="clear" w:color="auto" w:fill="auto"/>
                  <w:vAlign w:val="center"/>
                </w:tcPr>
                <w:p w14:paraId="702D04EB">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c>
              <w:tc>
                <w:tcPr>
                  <w:tcW w:w="833" w:type="pct"/>
                  <w:vMerge w:val="continue"/>
                  <w:vAlign w:val="center"/>
                </w:tcPr>
                <w:p w14:paraId="4A89786C">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121E344C">
            <w:pPr>
              <w:keepNext w:val="0"/>
              <w:keepLines w:val="0"/>
              <w:pageBreakBefore w:val="0"/>
              <w:widowControl w:val="0"/>
              <w:kinsoku/>
              <w:wordWrap/>
              <w:overflowPunct/>
              <w:topLinePunct w:val="0"/>
              <w:autoSpaceDE/>
              <w:autoSpaceDN/>
              <w:bidi w:val="0"/>
              <w:adjustRightInd/>
              <w:snapToGrid/>
              <w:spacing w:before="120"/>
              <w:jc w:val="center"/>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38 </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全厂</w:t>
            </w:r>
            <w:r>
              <w:rPr>
                <w:rFonts w:hint="default" w:ascii="Times New Roman" w:hAnsi="Times New Roman" w:eastAsia="宋体" w:cs="Times New Roman"/>
                <w:b/>
                <w:color w:val="000000" w:themeColor="text1"/>
                <w:sz w:val="24"/>
                <w14:textFill>
                  <w14:solidFill>
                    <w14:schemeClr w14:val="tx1"/>
                  </w14:solidFill>
                </w14:textFill>
              </w:rPr>
              <w:t>固体废物利用处置方式评价表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3"/>
              <w:gridCol w:w="1510"/>
              <w:gridCol w:w="1425"/>
              <w:gridCol w:w="683"/>
              <w:gridCol w:w="830"/>
              <w:gridCol w:w="1363"/>
              <w:gridCol w:w="903"/>
              <w:gridCol w:w="1443"/>
            </w:tblGrid>
            <w:tr w14:paraId="2EB59C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vAlign w:val="center"/>
                </w:tcPr>
                <w:p w14:paraId="69B48F3E">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71" w:type="pct"/>
                  <w:vAlign w:val="center"/>
                </w:tcPr>
                <w:p w14:paraId="6FDD5265">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固废名称</w:t>
                  </w:r>
                </w:p>
              </w:tc>
              <w:tc>
                <w:tcPr>
                  <w:tcW w:w="822" w:type="pct"/>
                  <w:vAlign w:val="center"/>
                </w:tcPr>
                <w:p w14:paraId="0754C43F">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产生工序</w:t>
                  </w:r>
                </w:p>
              </w:tc>
              <w:tc>
                <w:tcPr>
                  <w:tcW w:w="394" w:type="pct"/>
                  <w:vAlign w:val="center"/>
                </w:tcPr>
                <w:p w14:paraId="4AD9A0E8">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属性</w:t>
                  </w:r>
                </w:p>
              </w:tc>
              <w:tc>
                <w:tcPr>
                  <w:tcW w:w="479" w:type="pct"/>
                  <w:shd w:val="clear" w:color="auto" w:fill="auto"/>
                  <w:vAlign w:val="center"/>
                </w:tcPr>
                <w:p w14:paraId="0F6AE2C4">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786" w:type="pct"/>
                  <w:shd w:val="clear" w:color="auto" w:fill="auto"/>
                  <w:vAlign w:val="center"/>
                </w:tcPr>
                <w:p w14:paraId="150F82B7">
                  <w:pPr>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代码</w:t>
                  </w:r>
                </w:p>
              </w:tc>
              <w:tc>
                <w:tcPr>
                  <w:tcW w:w="521" w:type="pct"/>
                  <w:vAlign w:val="center"/>
                </w:tcPr>
                <w:p w14:paraId="1F36691B">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产生量（t/a）</w:t>
                  </w:r>
                </w:p>
              </w:tc>
              <w:tc>
                <w:tcPr>
                  <w:tcW w:w="832" w:type="pct"/>
                  <w:vAlign w:val="center"/>
                </w:tcPr>
                <w:p w14:paraId="009D6A96">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利用处置方式</w:t>
                  </w:r>
                </w:p>
              </w:tc>
            </w:tr>
            <w:tr w14:paraId="02774B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360D62F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71" w:type="pct"/>
                  <w:shd w:val="clear" w:color="auto" w:fill="auto"/>
                  <w:vAlign w:val="center"/>
                </w:tcPr>
                <w:p w14:paraId="20328E4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822" w:type="pct"/>
                  <w:shd w:val="clear" w:color="auto" w:fill="auto"/>
                  <w:vAlign w:val="center"/>
                </w:tcPr>
                <w:p w14:paraId="0A2D24B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394" w:type="pct"/>
                  <w:shd w:val="clear" w:color="auto" w:fill="auto"/>
                  <w:vAlign w:val="center"/>
                </w:tcPr>
                <w:p w14:paraId="6F059E5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79" w:type="pct"/>
                  <w:shd w:val="clear" w:color="auto" w:fill="auto"/>
                  <w:vAlign w:val="center"/>
                </w:tcPr>
                <w:p w14:paraId="553F665D">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SW64</w:t>
                  </w:r>
                </w:p>
              </w:tc>
              <w:tc>
                <w:tcPr>
                  <w:tcW w:w="786" w:type="pct"/>
                  <w:shd w:val="clear" w:color="auto" w:fill="auto"/>
                  <w:vAlign w:val="center"/>
                </w:tcPr>
                <w:p w14:paraId="5DC3C0A0">
                  <w:pPr>
                    <w:pStyle w:val="24"/>
                    <w:widowControl w:val="0"/>
                    <w:adjustRightInd w:val="0"/>
                    <w:snapToGrid w:val="0"/>
                    <w:spacing w:before="0" w:beforeAutospacing="0" w:after="0" w:afterAutospacing="0"/>
                    <w:ind w:left="-30" w:leftChars="0" w:right="-3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900-099-S64</w:t>
                  </w:r>
                </w:p>
              </w:tc>
              <w:tc>
                <w:tcPr>
                  <w:tcW w:w="521" w:type="pct"/>
                  <w:shd w:val="clear" w:color="auto" w:fill="auto"/>
                  <w:vAlign w:val="center"/>
                </w:tcPr>
                <w:p w14:paraId="2240018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832" w:type="pct"/>
                  <w:vAlign w:val="center"/>
                </w:tcPr>
                <w:p w14:paraId="4AD72FE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环卫部门统一清运</w:t>
                  </w:r>
                </w:p>
              </w:tc>
            </w:tr>
            <w:tr w14:paraId="77096F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5EEFB8B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71" w:type="pct"/>
                  <w:shd w:val="clear" w:color="auto" w:fill="auto"/>
                  <w:vAlign w:val="center"/>
                </w:tcPr>
                <w:p w14:paraId="1A030DE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1"/>
                      <w:szCs w:val="21"/>
                      <w14:textFill>
                        <w14:solidFill>
                          <w14:schemeClr w14:val="tx1"/>
                        </w14:solidFill>
                      </w14:textFill>
                    </w:rPr>
                    <w:t>边角料</w:t>
                  </w:r>
                </w:p>
              </w:tc>
              <w:tc>
                <w:tcPr>
                  <w:tcW w:w="822" w:type="pct"/>
                  <w:shd w:val="clear" w:color="auto" w:fill="auto"/>
                  <w:vAlign w:val="center"/>
                </w:tcPr>
                <w:p w14:paraId="6A0794D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冲压、分切等</w:t>
                  </w:r>
                </w:p>
              </w:tc>
              <w:tc>
                <w:tcPr>
                  <w:tcW w:w="394" w:type="pct"/>
                  <w:vMerge w:val="restart"/>
                  <w:shd w:val="clear" w:color="auto" w:fill="auto"/>
                  <w:vAlign w:val="center"/>
                </w:tcPr>
                <w:p w14:paraId="4CBA676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tc>
              <w:tc>
                <w:tcPr>
                  <w:tcW w:w="479" w:type="pct"/>
                  <w:shd w:val="clear" w:color="auto" w:fill="auto"/>
                  <w:vAlign w:val="center"/>
                </w:tcPr>
                <w:p w14:paraId="74D24EF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786" w:type="pct"/>
                  <w:shd w:val="clear" w:color="auto" w:fill="auto"/>
                  <w:vAlign w:val="center"/>
                </w:tcPr>
                <w:p w14:paraId="3E23ECA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521" w:type="pct"/>
                  <w:shd w:val="clear" w:color="auto" w:fill="auto"/>
                  <w:vAlign w:val="center"/>
                </w:tcPr>
                <w:p w14:paraId="5AF5692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32" w:type="pct"/>
                  <w:vMerge w:val="restart"/>
                  <w:vAlign w:val="center"/>
                </w:tcPr>
                <w:p w14:paraId="22D47BA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外售综合利用</w:t>
                  </w:r>
                </w:p>
              </w:tc>
            </w:tr>
            <w:tr w14:paraId="2CAE9A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4B6218E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71" w:type="pct"/>
                  <w:shd w:val="clear" w:color="auto" w:fill="auto"/>
                  <w:vAlign w:val="center"/>
                </w:tcPr>
                <w:p w14:paraId="1A8E2D69">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不合格品</w:t>
                  </w:r>
                </w:p>
              </w:tc>
              <w:tc>
                <w:tcPr>
                  <w:tcW w:w="822" w:type="pct"/>
                  <w:shd w:val="clear" w:color="auto" w:fill="auto"/>
                  <w:vAlign w:val="center"/>
                </w:tcPr>
                <w:p w14:paraId="4218EEE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394" w:type="pct"/>
                  <w:vMerge w:val="continue"/>
                  <w:vAlign w:val="center"/>
                </w:tcPr>
                <w:p w14:paraId="6CBFF04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5A556A3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SW17</w:t>
                  </w:r>
                </w:p>
              </w:tc>
              <w:tc>
                <w:tcPr>
                  <w:tcW w:w="786" w:type="pct"/>
                  <w:shd w:val="clear" w:color="auto" w:fill="auto"/>
                  <w:vAlign w:val="center"/>
                </w:tcPr>
                <w:p w14:paraId="319D239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-S17</w:t>
                  </w:r>
                </w:p>
              </w:tc>
              <w:tc>
                <w:tcPr>
                  <w:tcW w:w="521" w:type="pct"/>
                  <w:shd w:val="clear" w:color="auto" w:fill="auto"/>
                  <w:vAlign w:val="center"/>
                </w:tcPr>
                <w:p w14:paraId="4281ECF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19.426</w:t>
                  </w:r>
                </w:p>
              </w:tc>
              <w:tc>
                <w:tcPr>
                  <w:tcW w:w="832" w:type="pct"/>
                  <w:vMerge w:val="continue"/>
                  <w:vAlign w:val="center"/>
                </w:tcPr>
                <w:p w14:paraId="206F5BA3">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3492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A87F22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71" w:type="pct"/>
                  <w:shd w:val="clear" w:color="auto" w:fill="auto"/>
                  <w:vAlign w:val="center"/>
                </w:tcPr>
                <w:p w14:paraId="4011FAE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纯水制备耗材</w:t>
                  </w:r>
                </w:p>
              </w:tc>
              <w:tc>
                <w:tcPr>
                  <w:tcW w:w="822" w:type="pct"/>
                  <w:shd w:val="clear" w:color="auto" w:fill="auto"/>
                  <w:vAlign w:val="center"/>
                </w:tcPr>
                <w:p w14:paraId="4FD9FED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c>
                <w:tcPr>
                  <w:tcW w:w="394" w:type="pct"/>
                  <w:vMerge w:val="continue"/>
                  <w:vAlign w:val="center"/>
                </w:tcPr>
                <w:p w14:paraId="5A52A7EB">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07C9999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SW59</w:t>
                  </w:r>
                </w:p>
              </w:tc>
              <w:tc>
                <w:tcPr>
                  <w:tcW w:w="786" w:type="pct"/>
                  <w:shd w:val="clear" w:color="auto" w:fill="auto"/>
                  <w:vAlign w:val="center"/>
                </w:tcPr>
                <w:p w14:paraId="40465E0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900-009-S59</w:t>
                  </w:r>
                </w:p>
              </w:tc>
              <w:tc>
                <w:tcPr>
                  <w:tcW w:w="521" w:type="pct"/>
                  <w:shd w:val="clear" w:color="auto" w:fill="auto"/>
                  <w:vAlign w:val="center"/>
                </w:tcPr>
                <w:p w14:paraId="1B57BE73">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0.2/2a</w:t>
                  </w:r>
                </w:p>
              </w:tc>
              <w:tc>
                <w:tcPr>
                  <w:tcW w:w="832" w:type="pct"/>
                  <w:vMerge w:val="continue"/>
                  <w:vAlign w:val="center"/>
                </w:tcPr>
                <w:p w14:paraId="4F89A773">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9D3BC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5632056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871" w:type="pct"/>
                  <w:shd w:val="clear" w:color="auto" w:fill="auto"/>
                  <w:vAlign w:val="center"/>
                </w:tcPr>
                <w:p w14:paraId="39BDC1B4">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822" w:type="pct"/>
                  <w:shd w:val="clear" w:color="auto" w:fill="auto"/>
                  <w:vAlign w:val="center"/>
                </w:tcPr>
                <w:p w14:paraId="2931D06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394" w:type="pct"/>
                  <w:vMerge w:val="restart"/>
                  <w:shd w:val="clear" w:color="auto" w:fill="auto"/>
                  <w:vAlign w:val="center"/>
                </w:tcPr>
                <w:p w14:paraId="37820BD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479" w:type="pct"/>
                  <w:shd w:val="clear" w:color="auto" w:fill="auto"/>
                  <w:vAlign w:val="center"/>
                </w:tcPr>
                <w:p w14:paraId="4EDD485C">
                  <w:pPr>
                    <w:jc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HW09</w:t>
                  </w:r>
                </w:p>
              </w:tc>
              <w:tc>
                <w:tcPr>
                  <w:tcW w:w="786" w:type="pct"/>
                  <w:shd w:val="clear" w:color="auto" w:fill="auto"/>
                  <w:vAlign w:val="center"/>
                </w:tcPr>
                <w:p w14:paraId="7B4AF0CB">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900-006-09</w:t>
                  </w:r>
                </w:p>
              </w:tc>
              <w:tc>
                <w:tcPr>
                  <w:tcW w:w="521" w:type="pct"/>
                  <w:shd w:val="clear" w:color="auto" w:fill="auto"/>
                  <w:vAlign w:val="center"/>
                </w:tcPr>
                <w:p w14:paraId="1E42354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0.44</w:t>
                  </w:r>
                </w:p>
              </w:tc>
              <w:tc>
                <w:tcPr>
                  <w:tcW w:w="832" w:type="pct"/>
                  <w:vMerge w:val="restart"/>
                  <w:vAlign w:val="center"/>
                </w:tcPr>
                <w:p w14:paraId="02BDEC5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委托有资质单位处置</w:t>
                  </w:r>
                </w:p>
              </w:tc>
            </w:tr>
            <w:tr w14:paraId="607067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2ED70F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871" w:type="pct"/>
                  <w:shd w:val="clear" w:color="auto" w:fill="auto"/>
                  <w:vAlign w:val="center"/>
                </w:tcPr>
                <w:p w14:paraId="745E630F">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822" w:type="pct"/>
                  <w:shd w:val="clear" w:color="auto" w:fill="auto"/>
                  <w:vAlign w:val="center"/>
                </w:tcPr>
                <w:p w14:paraId="3BDF14F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394" w:type="pct"/>
                  <w:vMerge w:val="continue"/>
                  <w:shd w:val="clear" w:color="auto" w:fill="auto"/>
                  <w:vAlign w:val="center"/>
                </w:tcPr>
                <w:p w14:paraId="4482C2D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79" w:type="pct"/>
                  <w:shd w:val="clear" w:color="auto" w:fill="auto"/>
                  <w:vAlign w:val="center"/>
                </w:tcPr>
                <w:p w14:paraId="7064C31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HW</w:t>
                  </w:r>
                  <w:r>
                    <w:rPr>
                      <w:rFonts w:hint="default" w:ascii="Times New Roman" w:hAnsi="Times New Roman" w:cs="Times New Roman"/>
                      <w:color w:val="000000" w:themeColor="text1"/>
                      <w:spacing w:val="-1"/>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8</w:t>
                  </w:r>
                </w:p>
              </w:tc>
              <w:tc>
                <w:tcPr>
                  <w:tcW w:w="786" w:type="pct"/>
                  <w:shd w:val="clear" w:color="auto" w:fill="auto"/>
                  <w:vAlign w:val="center"/>
                </w:tcPr>
                <w:p w14:paraId="60C88896">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900-213-08</w:t>
                  </w:r>
                </w:p>
              </w:tc>
              <w:tc>
                <w:tcPr>
                  <w:tcW w:w="521" w:type="pct"/>
                  <w:shd w:val="clear" w:color="auto" w:fill="auto"/>
                  <w:vAlign w:val="center"/>
                </w:tcPr>
                <w:p w14:paraId="451D860B">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0.02</w:t>
                  </w:r>
                </w:p>
              </w:tc>
              <w:tc>
                <w:tcPr>
                  <w:tcW w:w="832" w:type="pct"/>
                  <w:vMerge w:val="continue"/>
                  <w:vAlign w:val="center"/>
                </w:tcPr>
                <w:p w14:paraId="61147847">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8630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7B8C651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71" w:type="pct"/>
                  <w:shd w:val="clear" w:color="auto" w:fill="auto"/>
                  <w:vAlign w:val="center"/>
                </w:tcPr>
                <w:p w14:paraId="3F8F539A">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822" w:type="pct"/>
                  <w:shd w:val="clear" w:color="auto" w:fill="auto"/>
                  <w:vAlign w:val="center"/>
                </w:tcPr>
                <w:p w14:paraId="0A277E2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394" w:type="pct"/>
                  <w:vMerge w:val="continue"/>
                  <w:vAlign w:val="center"/>
                </w:tcPr>
                <w:p w14:paraId="0182D890">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50265CF0">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12898FD5">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1217515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19.8</w:t>
                  </w:r>
                </w:p>
              </w:tc>
              <w:tc>
                <w:tcPr>
                  <w:tcW w:w="832" w:type="pct"/>
                  <w:vMerge w:val="continue"/>
                  <w:vAlign w:val="center"/>
                </w:tcPr>
                <w:p w14:paraId="5E1BF16B">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F006E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613C42A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71" w:type="pct"/>
                  <w:shd w:val="clear" w:color="auto" w:fill="auto"/>
                  <w:vAlign w:val="center"/>
                </w:tcPr>
                <w:p w14:paraId="65C19B52">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822" w:type="pct"/>
                  <w:shd w:val="clear" w:color="auto" w:fill="auto"/>
                  <w:vAlign w:val="center"/>
                </w:tcPr>
                <w:p w14:paraId="670916E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394" w:type="pct"/>
                  <w:vMerge w:val="continue"/>
                  <w:vAlign w:val="center"/>
                </w:tcPr>
                <w:p w14:paraId="3A85BC5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0D3713A3">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0F7DD878">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33C2FE8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6.8</w:t>
                  </w:r>
                </w:p>
              </w:tc>
              <w:tc>
                <w:tcPr>
                  <w:tcW w:w="832" w:type="pct"/>
                  <w:vMerge w:val="continue"/>
                  <w:vAlign w:val="center"/>
                </w:tcPr>
                <w:p w14:paraId="0B2E31E1">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F0B7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358191F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71" w:type="pct"/>
                  <w:shd w:val="clear" w:color="auto" w:fill="auto"/>
                  <w:vAlign w:val="center"/>
                </w:tcPr>
                <w:p w14:paraId="0E75D5B7">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822" w:type="pct"/>
                  <w:shd w:val="clear" w:color="auto" w:fill="auto"/>
                  <w:vAlign w:val="center"/>
                </w:tcPr>
                <w:p w14:paraId="67CC88DE">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394" w:type="pct"/>
                  <w:vMerge w:val="continue"/>
                  <w:vAlign w:val="center"/>
                </w:tcPr>
                <w:p w14:paraId="30EA950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28ECCFF8">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5182157E">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27F961B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17.28</w:t>
                  </w:r>
                </w:p>
              </w:tc>
              <w:tc>
                <w:tcPr>
                  <w:tcW w:w="832" w:type="pct"/>
                  <w:vMerge w:val="continue"/>
                  <w:vAlign w:val="center"/>
                </w:tcPr>
                <w:p w14:paraId="284274B3">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0BABD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553302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871" w:type="pct"/>
                  <w:shd w:val="clear" w:color="auto" w:fill="auto"/>
                  <w:vAlign w:val="center"/>
                </w:tcPr>
                <w:p w14:paraId="2BD6FBD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822" w:type="pct"/>
                  <w:shd w:val="clear" w:color="auto" w:fill="auto"/>
                  <w:vAlign w:val="center"/>
                </w:tcPr>
                <w:p w14:paraId="3BBF04DD">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394" w:type="pct"/>
                  <w:vMerge w:val="continue"/>
                  <w:vAlign w:val="center"/>
                </w:tcPr>
                <w:p w14:paraId="2FCC6C9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5561248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86" w:type="pct"/>
                  <w:shd w:val="clear" w:color="auto" w:fill="auto"/>
                  <w:vAlign w:val="center"/>
                </w:tcPr>
                <w:p w14:paraId="6017B86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521" w:type="pct"/>
                  <w:shd w:val="clear" w:color="auto" w:fill="auto"/>
                  <w:vAlign w:val="center"/>
                </w:tcPr>
                <w:p w14:paraId="0B9AF4A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w:t>
                  </w:r>
                </w:p>
              </w:tc>
              <w:tc>
                <w:tcPr>
                  <w:tcW w:w="832" w:type="pct"/>
                  <w:vMerge w:val="continue"/>
                  <w:vAlign w:val="center"/>
                </w:tcPr>
                <w:p w14:paraId="690161A5">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FA99D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A11523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11</w:t>
                  </w:r>
                </w:p>
              </w:tc>
              <w:tc>
                <w:tcPr>
                  <w:tcW w:w="871" w:type="pct"/>
                  <w:shd w:val="clear" w:color="auto" w:fill="auto"/>
                  <w:vAlign w:val="center"/>
                </w:tcPr>
                <w:p w14:paraId="6DB48D9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822" w:type="pct"/>
                  <w:shd w:val="clear" w:color="auto" w:fill="auto"/>
                  <w:vAlign w:val="center"/>
                </w:tcPr>
                <w:p w14:paraId="0E31B9F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394" w:type="pct"/>
                  <w:vMerge w:val="continue"/>
                  <w:vAlign w:val="center"/>
                </w:tcPr>
                <w:p w14:paraId="6E963931">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25300038">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786" w:type="pct"/>
                  <w:shd w:val="clear" w:color="auto" w:fill="auto"/>
                  <w:vAlign w:val="center"/>
                </w:tcPr>
                <w:p w14:paraId="22AF53B7">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521" w:type="pct"/>
                  <w:shd w:val="clear" w:color="auto" w:fill="auto"/>
                  <w:vAlign w:val="center"/>
                </w:tcPr>
                <w:p w14:paraId="4AC55E5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3.06</w:t>
                  </w:r>
                </w:p>
              </w:tc>
              <w:tc>
                <w:tcPr>
                  <w:tcW w:w="832" w:type="pct"/>
                  <w:vMerge w:val="continue"/>
                  <w:vAlign w:val="center"/>
                </w:tcPr>
                <w:p w14:paraId="40FFC72D">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1D253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5EED7F2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w:t>
                  </w:r>
                </w:p>
              </w:tc>
              <w:tc>
                <w:tcPr>
                  <w:tcW w:w="871" w:type="pct"/>
                  <w:shd w:val="clear" w:color="auto" w:fill="auto"/>
                  <w:vAlign w:val="center"/>
                </w:tcPr>
                <w:p w14:paraId="4BF057BD">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822" w:type="pct"/>
                  <w:shd w:val="clear" w:color="auto" w:fill="auto"/>
                  <w:vAlign w:val="center"/>
                </w:tcPr>
                <w:p w14:paraId="1CB3061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394" w:type="pct"/>
                  <w:vMerge w:val="continue"/>
                  <w:vAlign w:val="center"/>
                </w:tcPr>
                <w:p w14:paraId="53BF8D1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718AF2CD">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2374BA4D">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0F00048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32" w:type="pct"/>
                  <w:vMerge w:val="continue"/>
                  <w:vAlign w:val="center"/>
                </w:tcPr>
                <w:p w14:paraId="308E1597">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C0D7C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102F32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871" w:type="pct"/>
                  <w:shd w:val="clear" w:color="auto" w:fill="auto"/>
                  <w:vAlign w:val="center"/>
                </w:tcPr>
                <w:p w14:paraId="423D294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822" w:type="pct"/>
                  <w:shd w:val="clear" w:color="auto" w:fill="auto"/>
                  <w:vAlign w:val="center"/>
                </w:tcPr>
                <w:p w14:paraId="60E8C73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394" w:type="pct"/>
                  <w:vMerge w:val="continue"/>
                  <w:vAlign w:val="center"/>
                </w:tcPr>
                <w:p w14:paraId="1A66C510">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02199E44">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86" w:type="pct"/>
                  <w:shd w:val="clear" w:color="auto" w:fill="auto"/>
                  <w:vAlign w:val="center"/>
                </w:tcPr>
                <w:p w14:paraId="1A0DFB0D">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521" w:type="pct"/>
                  <w:shd w:val="clear" w:color="auto" w:fill="auto"/>
                  <w:vAlign w:val="center"/>
                </w:tcPr>
                <w:p w14:paraId="0DBF83F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832" w:type="pct"/>
                  <w:vMerge w:val="continue"/>
                  <w:vAlign w:val="center"/>
                </w:tcPr>
                <w:p w14:paraId="6B5735F6">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C9BF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023C016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14</w:t>
                  </w:r>
                </w:p>
              </w:tc>
              <w:tc>
                <w:tcPr>
                  <w:tcW w:w="871" w:type="pct"/>
                  <w:shd w:val="clear" w:color="auto" w:fill="auto"/>
                  <w:vAlign w:val="center"/>
                </w:tcPr>
                <w:p w14:paraId="0F768EAA">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822" w:type="pct"/>
                  <w:shd w:val="clear" w:color="auto" w:fill="auto"/>
                  <w:vAlign w:val="center"/>
                </w:tcPr>
                <w:p w14:paraId="073E8D6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394" w:type="pct"/>
                  <w:vMerge w:val="continue"/>
                  <w:vAlign w:val="center"/>
                </w:tcPr>
                <w:p w14:paraId="4DB2008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5255693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86" w:type="pct"/>
                  <w:shd w:val="clear" w:color="auto" w:fill="auto"/>
                  <w:vAlign w:val="center"/>
                </w:tcPr>
                <w:p w14:paraId="102FE9D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521" w:type="pct"/>
                  <w:shd w:val="clear" w:color="auto" w:fill="auto"/>
                  <w:vAlign w:val="center"/>
                </w:tcPr>
                <w:p w14:paraId="21396F1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c>
                <w:tcPr>
                  <w:tcW w:w="832" w:type="pct"/>
                  <w:vMerge w:val="continue"/>
                  <w:vAlign w:val="center"/>
                </w:tcPr>
                <w:p w14:paraId="44FD6AEB">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AE199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0" w:type="pct"/>
                  <w:shd w:val="clear" w:color="auto" w:fill="auto"/>
                  <w:vAlign w:val="center"/>
                </w:tcPr>
                <w:p w14:paraId="281F2A6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w:t>
                  </w:r>
                </w:p>
              </w:tc>
              <w:tc>
                <w:tcPr>
                  <w:tcW w:w="871" w:type="pct"/>
                  <w:shd w:val="clear" w:color="auto" w:fill="auto"/>
                  <w:vAlign w:val="center"/>
                </w:tcPr>
                <w:p w14:paraId="337C7FDD">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822" w:type="pct"/>
                  <w:shd w:val="clear" w:color="auto" w:fill="auto"/>
                  <w:vAlign w:val="center"/>
                </w:tcPr>
                <w:p w14:paraId="3BB296DE">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394" w:type="pct"/>
                  <w:vMerge w:val="continue"/>
                  <w:vAlign w:val="center"/>
                </w:tcPr>
                <w:p w14:paraId="71C1156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9" w:type="pct"/>
                  <w:shd w:val="clear" w:color="auto" w:fill="auto"/>
                  <w:vAlign w:val="center"/>
                </w:tcPr>
                <w:p w14:paraId="39E6E3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86" w:type="pct"/>
                  <w:shd w:val="clear" w:color="auto" w:fill="auto"/>
                  <w:vAlign w:val="center"/>
                </w:tcPr>
                <w:p w14:paraId="720444F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521" w:type="pct"/>
                  <w:shd w:val="clear" w:color="auto" w:fill="auto"/>
                  <w:vAlign w:val="center"/>
                </w:tcPr>
                <w:p w14:paraId="0F6041F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w:t>
                  </w:r>
                </w:p>
              </w:tc>
              <w:tc>
                <w:tcPr>
                  <w:tcW w:w="832" w:type="pct"/>
                  <w:vMerge w:val="continue"/>
                  <w:vAlign w:val="center"/>
                </w:tcPr>
                <w:p w14:paraId="4F56964D">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7CDE3EA2">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5、固体废物污染防治措施</w:t>
            </w:r>
          </w:p>
          <w:p w14:paraId="71BAD2A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（1）危险固体废物</w:t>
            </w:r>
          </w:p>
          <w:p w14:paraId="4558A51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1）危险废物处置方式</w:t>
            </w:r>
          </w:p>
          <w:p w14:paraId="6407753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根据《国家危险废物名录》（202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年版）以及危险废物鉴别标准，本项目危险废物为废磨削液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电解除油废液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酸洗废液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铜保护废液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废含油抹布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废活性炭</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污泥</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浓水</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污水处理站耗材</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废包装材料，须委托具备处置资质和处置能力的单位进行无害化处置，并在本项目正式投产前落实危险废物处置途径，签订危废处置协议。</w:t>
            </w:r>
          </w:p>
          <w:p w14:paraId="4F1B548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2）贮存场所（设施）污染防治措施</w:t>
            </w:r>
          </w:p>
          <w:p w14:paraId="353D699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本项目在生产</w:t>
            </w:r>
            <w:r>
              <w:rPr>
                <w:rFonts w:hint="eastAsia" w:ascii="Times New Roman" w:hAnsi="Times New Roman" w:eastAsia="宋体" w:cs="Times New Roman"/>
                <w:color w:val="000000" w:themeColor="text1"/>
                <w:sz w:val="24"/>
                <w:lang w:val="en-US" w:eastAsia="zh-CN"/>
                <w14:textFill>
                  <w14:solidFill>
                    <w14:schemeClr w14:val="tx1"/>
                  </w14:solidFill>
                </w14:textFill>
              </w:rPr>
              <w:t>厂房三层新建</w:t>
            </w:r>
            <w:r>
              <w:rPr>
                <w:rFonts w:hint="default" w:ascii="Times New Roman" w:hAnsi="Times New Roman" w:eastAsia="宋体" w:cs="Times New Roman"/>
                <w:color w:val="000000" w:themeColor="text1"/>
                <w:sz w:val="24"/>
                <w14:textFill>
                  <w14:solidFill>
                    <w14:schemeClr w14:val="tx1"/>
                  </w14:solidFill>
                </w14:textFill>
              </w:rPr>
              <w:t>一个占地面积</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vertAlign w:val="baseline"/>
                <w14:textFill>
                  <w14:solidFill>
                    <w14:schemeClr w14:val="tx1"/>
                  </w14:solidFill>
                </w14:textFill>
              </w:rPr>
              <w:t>危废</w:t>
            </w:r>
            <w: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t>暂存间</w:t>
            </w:r>
            <w:r>
              <w:rPr>
                <w:rFonts w:hint="default" w:ascii="Times New Roman" w:hAnsi="Times New Roman" w:eastAsia="宋体" w:cs="Times New Roman"/>
                <w:color w:val="000000" w:themeColor="text1"/>
                <w:sz w:val="24"/>
                <w14:textFill>
                  <w14:solidFill>
                    <w14:schemeClr w14:val="tx1"/>
                  </w14:solidFill>
                </w14:textFill>
              </w:rPr>
              <w:t>对各类危险废物进行安全暂存。</w:t>
            </w:r>
            <w:r>
              <w:rPr>
                <w:rFonts w:hint="eastAsia" w:ascii="Times New Roman" w:hAnsi="Times New Roman" w:eastAsia="宋体" w:cs="Times New Roman"/>
                <w:color w:val="000000" w:themeColor="text1"/>
                <w:sz w:val="24"/>
                <w:lang w:eastAsia="zh-CN"/>
                <w14:textFill>
                  <w14:solidFill>
                    <w14:schemeClr w14:val="tx1"/>
                  </w14:solidFill>
                </w14:textFill>
              </w:rPr>
              <w:t>危废暂存间</w:t>
            </w:r>
            <w:r>
              <w:rPr>
                <w:rFonts w:hint="default" w:ascii="Times New Roman" w:hAnsi="Times New Roman" w:eastAsia="宋体" w:cs="Times New Roman"/>
                <w:color w:val="000000" w:themeColor="text1"/>
                <w:sz w:val="24"/>
                <w14:textFill>
                  <w14:solidFill>
                    <w14:schemeClr w14:val="tx1"/>
                  </w14:solidFill>
                </w14:textFill>
              </w:rPr>
              <w:t>应按《危险废物贮存污染控制标准》（GB18597-2023）、《危险废物识别标志设置技术规范》（HJ1276-2022）、省生态环境厅关于印发《江苏省固体废物全过程环境监管工作意见》的通知&gt;（苏环办</w:t>
            </w:r>
            <w:r>
              <w:rPr>
                <w:rFonts w:hint="eastAsia" w:ascii="Times New Roman" w:hAnsi="Times New Roman" w:eastAsia="宋体" w:cs="Times New Roman"/>
                <w:color w:val="000000" w:themeColor="text1"/>
                <w:sz w:val="24"/>
                <w:lang w:eastAsia="zh-CN"/>
                <w14:textFill>
                  <w14:solidFill>
                    <w14:schemeClr w14:val="tx1"/>
                  </w14:solidFill>
                </w14:textFill>
              </w:rPr>
              <w:t>〔2024〕16号</w:t>
            </w:r>
            <w:r>
              <w:rPr>
                <w:rFonts w:hint="default" w:ascii="Times New Roman" w:hAnsi="Times New Roman" w:eastAsia="宋体" w:cs="Times New Roman"/>
                <w:color w:val="000000" w:themeColor="text1"/>
                <w:sz w:val="24"/>
                <w14:textFill>
                  <w14:solidFill>
                    <w14:schemeClr w14:val="tx1"/>
                  </w14:solidFill>
                </w14:textFill>
              </w:rPr>
              <w:t>）等要求进行设置</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0EFAA2D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①按照《环境保护图形标志—固体废物贮存（处置）场》（GB15562.2-1995）（2023年修订）和《危险废物识别标志设置技术规范》（HJ1276-2022）设置标志，并配备通讯设备、照明设施和消防设施。</w:t>
            </w:r>
          </w:p>
          <w:p w14:paraId="7E18E93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②贮存设施应根据危险废物的形态、物理化学性质、包装形式和污染物迁移途径，采取必要的防风、防晒、防雨、防漏、防渗、防腐以及其他环境污染防治措施，不应露天堆放危险废物。</w:t>
            </w:r>
          </w:p>
          <w:p w14:paraId="190E567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③贮存设施应根据危险废物的类别、数量、形态、物理化学性质和污染防治等要求设置必要的贮存分区，避免不相容的危险废物接触、混合。</w:t>
            </w:r>
          </w:p>
          <w:p w14:paraId="17906BB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④贮存设施或贮存分区内地面、墙面裙脚、堵截泄漏的围堰、接触危险废物的隔板和墙体等应采用坚固的材料建造，表面无裂缝。</w:t>
            </w:r>
          </w:p>
          <w:p w14:paraId="7D7C126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cm/s</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，或至少2mm厚高密度聚乙烯膜等人工防渗材料(渗透系数不大于10</w:t>
            </w:r>
            <w:r>
              <w:rPr>
                <w:rFonts w:hint="default" w:ascii="Times New Roman" w:hAnsi="Times New Roman" w:eastAsia="宋体" w:cs="Times New Roman"/>
                <w:color w:val="000000" w:themeColor="text1"/>
                <w:sz w:val="24"/>
                <w:vertAlign w:val="super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cm/s），或其他防渗性能等效的材料。</w:t>
            </w:r>
          </w:p>
          <w:p w14:paraId="1FD8E29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⑥同一贮存设施宜采用相同的防渗、防腐工艺（包括防渗、防腐结构或材料），防渗、防腐材料应覆盖所有可能与废物及其渗滤液、渗漏液等接触的构筑物表面；采用不同防渗、防腐工艺应分别建设贮存分区。</w:t>
            </w:r>
          </w:p>
          <w:p w14:paraId="53B8C56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⑦贮存设施应采取技术和管理措施防止无关人员进入。</w:t>
            </w:r>
          </w:p>
          <w:p w14:paraId="1686610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⑧贮存库内不同贮存分区之间应采取隔离措施。隔离措施可根据危险废物特性采用过道、隔板或隔墙等方式。</w:t>
            </w:r>
          </w:p>
          <w:p w14:paraId="47F48EB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41C7E75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⑩贮存易产生粉尘、VOCs、酸雾、有毒有害大气污染物和刺激性气味气体的危险废物贮存库，应设置气体收集装置和气体净化设施；气体净化设施的排气筒高度应符合GB 16297要求。</w:t>
            </w:r>
          </w:p>
          <w:p w14:paraId="02F26DF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⑪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09BB04A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考虑3条清洗线同时运行，全厂</w:t>
            </w:r>
            <w:r>
              <w:rPr>
                <w:rFonts w:hint="default" w:ascii="Times New Roman" w:hAnsi="Times New Roman" w:eastAsia="宋体" w:cs="Times New Roman"/>
                <w:color w:val="000000" w:themeColor="text1"/>
                <w:sz w:val="24"/>
                <w14:textFill>
                  <w14:solidFill>
                    <w14:schemeClr w14:val="tx1"/>
                  </w14:solidFill>
                </w14:textFill>
              </w:rPr>
              <w:t>危险废物贮存场所基本情况详见下表：</w:t>
            </w:r>
          </w:p>
          <w:p w14:paraId="152BB368">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39</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全厂</w:t>
            </w:r>
            <w:r>
              <w:rPr>
                <w:rFonts w:hint="default" w:ascii="Times New Roman" w:hAnsi="Times New Roman" w:eastAsia="宋体" w:cs="Times New Roman"/>
                <w:b/>
                <w:color w:val="000000" w:themeColor="text1"/>
                <w:sz w:val="24"/>
                <w14:textFill>
                  <w14:solidFill>
                    <w14:schemeClr w14:val="tx1"/>
                  </w14:solidFill>
                </w14:textFill>
              </w:rPr>
              <w:t>危险废物贮存场所（设施）基本情况表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6"/>
              <w:gridCol w:w="871"/>
              <w:gridCol w:w="1071"/>
              <w:gridCol w:w="806"/>
              <w:gridCol w:w="1324"/>
              <w:gridCol w:w="645"/>
              <w:gridCol w:w="913"/>
              <w:gridCol w:w="934"/>
              <w:gridCol w:w="800"/>
              <w:gridCol w:w="858"/>
            </w:tblGrid>
            <w:tr w14:paraId="3EA67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vAlign w:val="center"/>
                </w:tcPr>
                <w:p w14:paraId="47DA74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序号</w:t>
                  </w:r>
                </w:p>
              </w:tc>
              <w:tc>
                <w:tcPr>
                  <w:tcW w:w="503" w:type="pct"/>
                  <w:vAlign w:val="center"/>
                </w:tcPr>
                <w:p w14:paraId="440143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贮存场所（设施）</w:t>
                  </w:r>
                </w:p>
              </w:tc>
              <w:tc>
                <w:tcPr>
                  <w:tcW w:w="618" w:type="pct"/>
                  <w:vAlign w:val="center"/>
                </w:tcPr>
                <w:p w14:paraId="061F0B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危险废物</w:t>
                  </w:r>
                </w:p>
                <w:p w14:paraId="75EF18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名称</w:t>
                  </w:r>
                </w:p>
              </w:tc>
              <w:tc>
                <w:tcPr>
                  <w:tcW w:w="465" w:type="pct"/>
                  <w:vAlign w:val="center"/>
                </w:tcPr>
                <w:p w14:paraId="3997596C">
                  <w:pPr>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废物类别</w:t>
                  </w:r>
                </w:p>
              </w:tc>
              <w:tc>
                <w:tcPr>
                  <w:tcW w:w="764" w:type="pct"/>
                  <w:vAlign w:val="center"/>
                </w:tcPr>
                <w:p w14:paraId="345180C8">
                  <w:pPr>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废物代码</w:t>
                  </w:r>
                </w:p>
              </w:tc>
              <w:tc>
                <w:tcPr>
                  <w:tcW w:w="372" w:type="pct"/>
                  <w:vAlign w:val="center"/>
                </w:tcPr>
                <w:p w14:paraId="21E687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位置</w:t>
                  </w:r>
                </w:p>
              </w:tc>
              <w:tc>
                <w:tcPr>
                  <w:tcW w:w="527" w:type="pct"/>
                  <w:shd w:val="clear" w:color="auto" w:fill="auto"/>
                  <w:vAlign w:val="center"/>
                </w:tcPr>
                <w:p w14:paraId="372254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占地</w:t>
                  </w:r>
                </w:p>
                <w:p w14:paraId="1D31A9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面积</w:t>
                  </w:r>
                  <w:r>
                    <w:rPr>
                      <w:rFonts w:hint="default"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m</w:t>
                  </w:r>
                  <w:r>
                    <w:rPr>
                      <w:rFonts w:hint="default" w:ascii="Times New Roman" w:hAnsi="Times New Roman" w:eastAsia="宋体" w:cs="Times New Roman"/>
                      <w:b/>
                      <w:color w:val="000000" w:themeColor="text1"/>
                      <w:vertAlign w:val="superscript"/>
                      <w14:textFill>
                        <w14:solidFill>
                          <w14:schemeClr w14:val="tx1"/>
                        </w14:solidFill>
                      </w14:textFill>
                    </w:rPr>
                    <w:t>2</w:t>
                  </w:r>
                  <w:r>
                    <w:rPr>
                      <w:rFonts w:hint="default" w:ascii="Times New Roman" w:hAnsi="Times New Roman" w:eastAsia="宋体" w:cs="Times New Roman"/>
                      <w:b/>
                      <w:color w:val="000000" w:themeColor="text1"/>
                      <w:lang w:eastAsia="zh-CN"/>
                      <w14:textFill>
                        <w14:solidFill>
                          <w14:schemeClr w14:val="tx1"/>
                        </w14:solidFill>
                      </w14:textFill>
                    </w:rPr>
                    <w:t>）</w:t>
                  </w:r>
                </w:p>
              </w:tc>
              <w:tc>
                <w:tcPr>
                  <w:tcW w:w="539" w:type="pct"/>
                  <w:shd w:val="clear" w:color="auto" w:fill="auto"/>
                  <w:vAlign w:val="center"/>
                </w:tcPr>
                <w:p w14:paraId="7F749D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贮存能力</w:t>
                  </w:r>
                </w:p>
                <w:p w14:paraId="5411B5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吨</w:t>
                  </w:r>
                  <w:r>
                    <w:rPr>
                      <w:rFonts w:hint="default" w:ascii="Times New Roman" w:hAnsi="Times New Roman" w:eastAsia="宋体" w:cs="Times New Roman"/>
                      <w:b/>
                      <w:color w:val="000000" w:themeColor="text1"/>
                      <w:lang w:eastAsia="zh-CN"/>
                      <w14:textFill>
                        <w14:solidFill>
                          <w14:schemeClr w14:val="tx1"/>
                        </w14:solidFill>
                      </w14:textFill>
                    </w:rPr>
                    <w:t>）</w:t>
                  </w:r>
                </w:p>
              </w:tc>
              <w:tc>
                <w:tcPr>
                  <w:tcW w:w="462" w:type="pct"/>
                  <w:vAlign w:val="center"/>
                </w:tcPr>
                <w:p w14:paraId="33C5D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包装方式</w:t>
                  </w:r>
                </w:p>
              </w:tc>
              <w:tc>
                <w:tcPr>
                  <w:tcW w:w="494" w:type="pct"/>
                  <w:vAlign w:val="center"/>
                </w:tcPr>
                <w:p w14:paraId="42EB8C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贮存</w:t>
                  </w:r>
                </w:p>
                <w:p w14:paraId="3771D2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周期</w:t>
                  </w:r>
                </w:p>
              </w:tc>
            </w:tr>
            <w:tr w14:paraId="0A319C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5DE362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503" w:type="pct"/>
                  <w:vMerge w:val="restart"/>
                  <w:vAlign w:val="center"/>
                </w:tcPr>
                <w:p w14:paraId="455248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危废</w:t>
                  </w:r>
                  <w:r>
                    <w:rPr>
                      <w:rFonts w:hint="default" w:ascii="Times New Roman" w:hAnsi="Times New Roman" w:eastAsia="宋体" w:cs="Times New Roman"/>
                      <w:color w:val="000000" w:themeColor="text1"/>
                      <w:lang w:val="en-US" w:eastAsia="zh-CN"/>
                      <w14:textFill>
                        <w14:solidFill>
                          <w14:schemeClr w14:val="tx1"/>
                        </w14:solidFill>
                      </w14:textFill>
                    </w:rPr>
                    <w:t>暂存间</w:t>
                  </w:r>
                </w:p>
              </w:tc>
              <w:tc>
                <w:tcPr>
                  <w:tcW w:w="618" w:type="pct"/>
                  <w:shd w:val="clear" w:color="auto" w:fill="auto"/>
                  <w:vAlign w:val="center"/>
                </w:tcPr>
                <w:p w14:paraId="44A3468E">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465" w:type="pct"/>
                  <w:shd w:val="clear" w:color="auto" w:fill="auto"/>
                  <w:vAlign w:val="center"/>
                </w:tcPr>
                <w:p w14:paraId="271BE9FF">
                  <w:pPr>
                    <w:jc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HW09</w:t>
                  </w:r>
                </w:p>
              </w:tc>
              <w:tc>
                <w:tcPr>
                  <w:tcW w:w="764" w:type="pct"/>
                  <w:shd w:val="clear" w:color="auto" w:fill="auto"/>
                  <w:vAlign w:val="center"/>
                </w:tcPr>
                <w:p w14:paraId="395E653B">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900-006-09</w:t>
                  </w:r>
                </w:p>
              </w:tc>
              <w:tc>
                <w:tcPr>
                  <w:tcW w:w="372" w:type="pct"/>
                  <w:vMerge w:val="restart"/>
                  <w:shd w:val="clear" w:color="auto" w:fill="auto"/>
                  <w:vAlign w:val="center"/>
                </w:tcPr>
                <w:p w14:paraId="41A5A71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eastAsia" w:ascii="Times New Roman" w:hAnsi="Times New Roman" w:eastAsia="宋体" w:cs="Times New Roman"/>
                      <w:color w:val="000000" w:themeColor="text1"/>
                      <w:lang w:val="en-US" w:eastAsia="zh-CN"/>
                      <w14:textFill>
                        <w14:solidFill>
                          <w14:schemeClr w14:val="tx1"/>
                        </w14:solidFill>
                      </w14:textFill>
                    </w:rPr>
                    <w:t>厂房三层</w:t>
                  </w:r>
                </w:p>
              </w:tc>
              <w:tc>
                <w:tcPr>
                  <w:tcW w:w="527" w:type="pct"/>
                  <w:shd w:val="clear" w:color="auto" w:fill="auto"/>
                  <w:vAlign w:val="center"/>
                </w:tcPr>
                <w:p w14:paraId="68782D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539" w:type="pct"/>
                  <w:shd w:val="clear" w:color="auto" w:fill="auto"/>
                  <w:vAlign w:val="center"/>
                </w:tcPr>
                <w:p w14:paraId="5C4F2A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w:t>
                  </w:r>
                </w:p>
              </w:tc>
              <w:tc>
                <w:tcPr>
                  <w:tcW w:w="462" w:type="pct"/>
                  <w:vAlign w:val="center"/>
                </w:tcPr>
                <w:p w14:paraId="70F3F9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桶</w:t>
                  </w:r>
                  <w:r>
                    <w:rPr>
                      <w:rFonts w:hint="default" w:ascii="Times New Roman" w:hAnsi="Times New Roman" w:eastAsia="宋体" w:cs="Times New Roman"/>
                      <w:color w:val="000000" w:themeColor="text1"/>
                      <w:lang w:val="en-US" w:eastAsia="zh-CN"/>
                      <w14:textFill>
                        <w14:solidFill>
                          <w14:schemeClr w14:val="tx1"/>
                        </w14:solidFill>
                      </w14:textFill>
                    </w:rPr>
                    <w:t>装</w:t>
                  </w:r>
                </w:p>
              </w:tc>
              <w:tc>
                <w:tcPr>
                  <w:tcW w:w="494" w:type="pct"/>
                  <w:shd w:val="clear" w:color="auto" w:fill="auto"/>
                  <w:vAlign w:val="center"/>
                </w:tcPr>
                <w:p w14:paraId="0EA785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446D80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2F38B0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503" w:type="pct"/>
                  <w:vMerge w:val="continue"/>
                  <w:vAlign w:val="center"/>
                </w:tcPr>
                <w:p w14:paraId="3F55C2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263CF1D1">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465" w:type="pct"/>
                  <w:shd w:val="clear" w:color="auto" w:fill="auto"/>
                  <w:vAlign w:val="center"/>
                </w:tcPr>
                <w:p w14:paraId="54DB8A61">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en-US"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HW</w:t>
                  </w:r>
                  <w:r>
                    <w:rPr>
                      <w:rFonts w:hint="default" w:ascii="Times New Roman" w:hAnsi="Times New Roman" w:cs="Times New Roman"/>
                      <w:color w:val="000000" w:themeColor="text1"/>
                      <w:spacing w:val="-1"/>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8</w:t>
                  </w:r>
                </w:p>
              </w:tc>
              <w:tc>
                <w:tcPr>
                  <w:tcW w:w="764" w:type="pct"/>
                  <w:shd w:val="clear" w:color="auto" w:fill="auto"/>
                  <w:vAlign w:val="center"/>
                </w:tcPr>
                <w:p w14:paraId="5EBA49F2">
                  <w:pPr>
                    <w:pStyle w:val="8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900-213-08</w:t>
                  </w:r>
                </w:p>
              </w:tc>
              <w:tc>
                <w:tcPr>
                  <w:tcW w:w="372" w:type="pct"/>
                  <w:vMerge w:val="continue"/>
                  <w:shd w:val="clear" w:color="auto" w:fill="auto"/>
                  <w:vAlign w:val="center"/>
                </w:tcPr>
                <w:p w14:paraId="50015928">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718792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539" w:type="pct"/>
                  <w:shd w:val="clear" w:color="auto" w:fill="auto"/>
                  <w:vAlign w:val="center"/>
                </w:tcPr>
                <w:p w14:paraId="191446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0.005</w:t>
                  </w:r>
                </w:p>
              </w:tc>
              <w:tc>
                <w:tcPr>
                  <w:tcW w:w="462" w:type="pct"/>
                  <w:vAlign w:val="center"/>
                </w:tcPr>
                <w:p w14:paraId="04910CA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袋装</w:t>
                  </w:r>
                </w:p>
              </w:tc>
              <w:tc>
                <w:tcPr>
                  <w:tcW w:w="494" w:type="pct"/>
                  <w:shd w:val="clear" w:color="auto" w:fill="auto"/>
                  <w:vAlign w:val="center"/>
                </w:tcPr>
                <w:p w14:paraId="2E1895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18395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38CECB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503" w:type="pct"/>
                  <w:vMerge w:val="continue"/>
                  <w:vAlign w:val="center"/>
                </w:tcPr>
                <w:p w14:paraId="738ACB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52B617F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465" w:type="pct"/>
                  <w:shd w:val="clear" w:color="auto" w:fill="auto"/>
                  <w:vAlign w:val="center"/>
                </w:tcPr>
                <w:p w14:paraId="20C6B985">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64" w:type="pct"/>
                  <w:shd w:val="clear" w:color="auto" w:fill="auto"/>
                  <w:vAlign w:val="center"/>
                </w:tcPr>
                <w:p w14:paraId="7BE77ED6">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72" w:type="pct"/>
                  <w:vMerge w:val="continue"/>
                  <w:shd w:val="clear" w:color="auto" w:fill="auto"/>
                  <w:vAlign w:val="center"/>
                </w:tcPr>
                <w:p w14:paraId="6D51D311">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17AD3F6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539" w:type="pct"/>
                  <w:shd w:val="clear" w:color="auto" w:fill="auto"/>
                  <w:vAlign w:val="center"/>
                </w:tcPr>
                <w:p w14:paraId="090EBF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4.2</w:t>
                  </w:r>
                </w:p>
              </w:tc>
              <w:tc>
                <w:tcPr>
                  <w:tcW w:w="462" w:type="pct"/>
                  <w:vAlign w:val="center"/>
                </w:tcPr>
                <w:p w14:paraId="6A718C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桶</w:t>
                  </w:r>
                  <w:r>
                    <w:rPr>
                      <w:rFonts w:hint="default" w:ascii="Times New Roman" w:hAnsi="Times New Roman" w:eastAsia="宋体" w:cs="Times New Roman"/>
                      <w:color w:val="000000" w:themeColor="text1"/>
                      <w:lang w:val="en-US" w:eastAsia="zh-CN"/>
                      <w14:textFill>
                        <w14:solidFill>
                          <w14:schemeClr w14:val="tx1"/>
                        </w14:solidFill>
                      </w14:textFill>
                    </w:rPr>
                    <w:t>装</w:t>
                  </w:r>
                </w:p>
              </w:tc>
              <w:tc>
                <w:tcPr>
                  <w:tcW w:w="494" w:type="pct"/>
                  <w:shd w:val="clear" w:color="auto" w:fill="auto"/>
                  <w:vAlign w:val="center"/>
                </w:tcPr>
                <w:p w14:paraId="37EBFB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06E32D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67E774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503" w:type="pct"/>
                  <w:vMerge w:val="continue"/>
                  <w:vAlign w:val="center"/>
                </w:tcPr>
                <w:p w14:paraId="55710B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2ACBF065">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465" w:type="pct"/>
                  <w:shd w:val="clear" w:color="auto" w:fill="auto"/>
                  <w:vAlign w:val="center"/>
                </w:tcPr>
                <w:p w14:paraId="596CC6A6">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64" w:type="pct"/>
                  <w:shd w:val="clear" w:color="auto" w:fill="auto"/>
                  <w:vAlign w:val="center"/>
                </w:tcPr>
                <w:p w14:paraId="6E8C7D27">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72" w:type="pct"/>
                  <w:vMerge w:val="continue"/>
                  <w:shd w:val="clear" w:color="auto" w:fill="auto"/>
                  <w:vAlign w:val="center"/>
                </w:tcPr>
                <w:p w14:paraId="287EF4A5">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7200A37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539" w:type="pct"/>
                  <w:shd w:val="clear" w:color="auto" w:fill="auto"/>
                  <w:vAlign w:val="center"/>
                </w:tcPr>
                <w:p w14:paraId="376682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462" w:type="pct"/>
                  <w:vAlign w:val="center"/>
                </w:tcPr>
                <w:p w14:paraId="0C291C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桶</w:t>
                  </w:r>
                  <w:r>
                    <w:rPr>
                      <w:rFonts w:hint="default" w:ascii="Times New Roman" w:hAnsi="Times New Roman" w:eastAsia="宋体" w:cs="Times New Roman"/>
                      <w:color w:val="000000" w:themeColor="text1"/>
                      <w:lang w:val="en-US" w:eastAsia="zh-CN"/>
                      <w14:textFill>
                        <w14:solidFill>
                          <w14:schemeClr w14:val="tx1"/>
                        </w14:solidFill>
                      </w14:textFill>
                    </w:rPr>
                    <w:t>装</w:t>
                  </w:r>
                </w:p>
              </w:tc>
              <w:tc>
                <w:tcPr>
                  <w:tcW w:w="494" w:type="pct"/>
                  <w:shd w:val="clear" w:color="auto" w:fill="auto"/>
                  <w:vAlign w:val="center"/>
                </w:tcPr>
                <w:p w14:paraId="6F6E9D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3个月</w:t>
                  </w:r>
                </w:p>
              </w:tc>
            </w:tr>
            <w:tr w14:paraId="064540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1A07FF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503" w:type="pct"/>
                  <w:vMerge w:val="continue"/>
                  <w:vAlign w:val="center"/>
                </w:tcPr>
                <w:p w14:paraId="27B64D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634CB9E9">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465" w:type="pct"/>
                  <w:shd w:val="clear" w:color="auto" w:fill="auto"/>
                  <w:vAlign w:val="center"/>
                </w:tcPr>
                <w:p w14:paraId="06594EFB">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64" w:type="pct"/>
                  <w:shd w:val="clear" w:color="auto" w:fill="auto"/>
                  <w:vAlign w:val="center"/>
                </w:tcPr>
                <w:p w14:paraId="59F7408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72" w:type="pct"/>
                  <w:vMerge w:val="continue"/>
                  <w:shd w:val="clear" w:color="auto" w:fill="auto"/>
                  <w:vAlign w:val="center"/>
                </w:tcPr>
                <w:p w14:paraId="0B4A941C">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1EF7B7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539" w:type="pct"/>
                  <w:shd w:val="clear" w:color="auto" w:fill="auto"/>
                  <w:vAlign w:val="center"/>
                </w:tcPr>
                <w:p w14:paraId="6FB821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4.95</w:t>
                  </w:r>
                </w:p>
              </w:tc>
              <w:tc>
                <w:tcPr>
                  <w:tcW w:w="462" w:type="pct"/>
                  <w:vAlign w:val="center"/>
                </w:tcPr>
                <w:p w14:paraId="0FB046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桶</w:t>
                  </w:r>
                  <w:r>
                    <w:rPr>
                      <w:rFonts w:hint="default" w:ascii="Times New Roman" w:hAnsi="Times New Roman" w:eastAsia="宋体" w:cs="Times New Roman"/>
                      <w:color w:val="000000" w:themeColor="text1"/>
                      <w:lang w:val="en-US" w:eastAsia="zh-CN"/>
                      <w14:textFill>
                        <w14:solidFill>
                          <w14:schemeClr w14:val="tx1"/>
                        </w14:solidFill>
                      </w14:textFill>
                    </w:rPr>
                    <w:t>装</w:t>
                  </w:r>
                </w:p>
              </w:tc>
              <w:tc>
                <w:tcPr>
                  <w:tcW w:w="494" w:type="pct"/>
                  <w:shd w:val="clear" w:color="auto" w:fill="auto"/>
                  <w:vAlign w:val="center"/>
                </w:tcPr>
                <w:p w14:paraId="6F9369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3个月</w:t>
                  </w:r>
                </w:p>
              </w:tc>
            </w:tr>
            <w:tr w14:paraId="5EC13F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79A41D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503" w:type="pct"/>
                  <w:vMerge w:val="continue"/>
                  <w:vAlign w:val="center"/>
                </w:tcPr>
                <w:p w14:paraId="32B352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2AB2E7E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465" w:type="pct"/>
                  <w:shd w:val="clear" w:color="auto" w:fill="auto"/>
                  <w:vAlign w:val="center"/>
                </w:tcPr>
                <w:p w14:paraId="553A52B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64" w:type="pct"/>
                  <w:shd w:val="clear" w:color="auto" w:fill="auto"/>
                  <w:vAlign w:val="center"/>
                </w:tcPr>
                <w:p w14:paraId="0689972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372" w:type="pct"/>
                  <w:vMerge w:val="continue"/>
                  <w:shd w:val="clear" w:color="auto" w:fill="auto"/>
                  <w:vAlign w:val="center"/>
                </w:tcPr>
                <w:p w14:paraId="4FCA78A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34D287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539" w:type="pct"/>
                  <w:shd w:val="clear" w:color="auto" w:fill="auto"/>
                  <w:vAlign w:val="center"/>
                </w:tcPr>
                <w:p w14:paraId="2FDB36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0.005</w:t>
                  </w:r>
                </w:p>
              </w:tc>
              <w:tc>
                <w:tcPr>
                  <w:tcW w:w="462" w:type="pct"/>
                  <w:vAlign w:val="center"/>
                </w:tcPr>
                <w:p w14:paraId="584178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p>
              </w:tc>
              <w:tc>
                <w:tcPr>
                  <w:tcW w:w="494" w:type="pct"/>
                  <w:shd w:val="clear" w:color="auto" w:fill="auto"/>
                  <w:vAlign w:val="center"/>
                </w:tcPr>
                <w:p w14:paraId="70F6C3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4636A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513924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503" w:type="pct"/>
                  <w:vMerge w:val="continue"/>
                  <w:vAlign w:val="center"/>
                </w:tcPr>
                <w:p w14:paraId="1582BB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51991F2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465" w:type="pct"/>
                  <w:shd w:val="clear" w:color="auto" w:fill="auto"/>
                  <w:vAlign w:val="center"/>
                </w:tcPr>
                <w:p w14:paraId="54AF184E">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764" w:type="pct"/>
                  <w:shd w:val="clear" w:color="auto" w:fill="auto"/>
                  <w:vAlign w:val="center"/>
                </w:tcPr>
                <w:p w14:paraId="74204F6D">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372" w:type="pct"/>
                  <w:vMerge w:val="continue"/>
                  <w:shd w:val="clear" w:color="auto" w:fill="auto"/>
                  <w:vAlign w:val="center"/>
                </w:tcPr>
                <w:p w14:paraId="57F9953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283798E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539" w:type="pct"/>
                  <w:shd w:val="clear" w:color="auto" w:fill="auto"/>
                  <w:vAlign w:val="center"/>
                </w:tcPr>
                <w:p w14:paraId="060454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0.765</w:t>
                  </w:r>
                </w:p>
              </w:tc>
              <w:tc>
                <w:tcPr>
                  <w:tcW w:w="462" w:type="pct"/>
                  <w:vAlign w:val="center"/>
                </w:tcPr>
                <w:p w14:paraId="53408D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p>
              </w:tc>
              <w:tc>
                <w:tcPr>
                  <w:tcW w:w="494" w:type="pct"/>
                  <w:shd w:val="clear" w:color="auto" w:fill="auto"/>
                  <w:vAlign w:val="center"/>
                </w:tcPr>
                <w:p w14:paraId="399CE7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2B5334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3338B0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p>
              </w:tc>
              <w:tc>
                <w:tcPr>
                  <w:tcW w:w="503" w:type="pct"/>
                  <w:vMerge w:val="continue"/>
                  <w:vAlign w:val="center"/>
                </w:tcPr>
                <w:p w14:paraId="3C5AF0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707630C3">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465" w:type="pct"/>
                  <w:shd w:val="clear" w:color="auto" w:fill="auto"/>
                  <w:vAlign w:val="center"/>
                </w:tcPr>
                <w:p w14:paraId="320F51C2">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64" w:type="pct"/>
                  <w:shd w:val="clear" w:color="auto" w:fill="auto"/>
                  <w:vAlign w:val="center"/>
                </w:tcPr>
                <w:p w14:paraId="20F27B30">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72" w:type="pct"/>
                  <w:vMerge w:val="continue"/>
                  <w:shd w:val="clear" w:color="auto" w:fill="auto"/>
                  <w:vAlign w:val="center"/>
                </w:tcPr>
                <w:p w14:paraId="44B8980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0095F6E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539" w:type="pct"/>
                  <w:shd w:val="clear" w:color="auto" w:fill="auto"/>
                  <w:vAlign w:val="center"/>
                </w:tcPr>
                <w:p w14:paraId="5BDC12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462" w:type="pct"/>
                  <w:vAlign w:val="center"/>
                </w:tcPr>
                <w:p w14:paraId="1B0F8E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p>
              </w:tc>
              <w:tc>
                <w:tcPr>
                  <w:tcW w:w="494" w:type="pct"/>
                  <w:shd w:val="clear" w:color="auto" w:fill="auto"/>
                  <w:vAlign w:val="center"/>
                </w:tcPr>
                <w:p w14:paraId="4BFCC0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346093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1F98A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w:t>
                  </w:r>
                </w:p>
              </w:tc>
              <w:tc>
                <w:tcPr>
                  <w:tcW w:w="503" w:type="pct"/>
                  <w:vMerge w:val="continue"/>
                  <w:vAlign w:val="center"/>
                </w:tcPr>
                <w:p w14:paraId="76E261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3FF87B8C">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465" w:type="pct"/>
                  <w:shd w:val="clear" w:color="auto" w:fill="auto"/>
                  <w:vAlign w:val="center"/>
                </w:tcPr>
                <w:p w14:paraId="4413E3AA">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64" w:type="pct"/>
                  <w:shd w:val="clear" w:color="auto" w:fill="auto"/>
                  <w:vAlign w:val="center"/>
                </w:tcPr>
                <w:p w14:paraId="438160D9">
                  <w:pPr>
                    <w:topLinePun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72" w:type="pct"/>
                  <w:vMerge w:val="continue"/>
                  <w:shd w:val="clear" w:color="auto" w:fill="auto"/>
                  <w:vAlign w:val="center"/>
                </w:tcPr>
                <w:p w14:paraId="4B2003A2">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3D756F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w:t>
                  </w:r>
                </w:p>
              </w:tc>
              <w:tc>
                <w:tcPr>
                  <w:tcW w:w="539" w:type="pct"/>
                  <w:shd w:val="clear" w:color="auto" w:fill="auto"/>
                  <w:vAlign w:val="center"/>
                </w:tcPr>
                <w:p w14:paraId="31F35A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12.5</w:t>
                  </w:r>
                </w:p>
              </w:tc>
              <w:tc>
                <w:tcPr>
                  <w:tcW w:w="462" w:type="pct"/>
                  <w:vAlign w:val="center"/>
                </w:tcPr>
                <w:p w14:paraId="3CA657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桶</w:t>
                  </w:r>
                  <w:r>
                    <w:rPr>
                      <w:rFonts w:hint="default" w:ascii="Times New Roman" w:hAnsi="Times New Roman" w:eastAsia="宋体" w:cs="Times New Roman"/>
                      <w:color w:val="000000" w:themeColor="text1"/>
                      <w:lang w:val="en-US" w:eastAsia="zh-CN"/>
                      <w14:textFill>
                        <w14:solidFill>
                          <w14:schemeClr w14:val="tx1"/>
                        </w14:solidFill>
                      </w14:textFill>
                    </w:rPr>
                    <w:t>装</w:t>
                  </w:r>
                </w:p>
              </w:tc>
              <w:tc>
                <w:tcPr>
                  <w:tcW w:w="494" w:type="pct"/>
                  <w:shd w:val="clear" w:color="auto" w:fill="auto"/>
                  <w:vAlign w:val="center"/>
                </w:tcPr>
                <w:p w14:paraId="3179A0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16C17D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0F32EC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p>
              </w:tc>
              <w:tc>
                <w:tcPr>
                  <w:tcW w:w="503" w:type="pct"/>
                  <w:vMerge w:val="continue"/>
                  <w:vAlign w:val="center"/>
                </w:tcPr>
                <w:p w14:paraId="341BA7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6884D217">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465" w:type="pct"/>
                  <w:shd w:val="clear" w:color="auto" w:fill="auto"/>
                  <w:vAlign w:val="center"/>
                </w:tcPr>
                <w:p w14:paraId="209CAE5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64" w:type="pct"/>
                  <w:shd w:val="clear" w:color="auto" w:fill="auto"/>
                  <w:vAlign w:val="center"/>
                </w:tcPr>
                <w:p w14:paraId="2F65329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372" w:type="pct"/>
                  <w:vMerge w:val="continue"/>
                  <w:shd w:val="clear" w:color="auto" w:fill="auto"/>
                  <w:vAlign w:val="center"/>
                </w:tcPr>
                <w:p w14:paraId="6F67CF0D">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53939B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539" w:type="pct"/>
                  <w:shd w:val="clear" w:color="auto" w:fill="auto"/>
                  <w:vAlign w:val="center"/>
                </w:tcPr>
                <w:p w14:paraId="3DA939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0.075</w:t>
                  </w:r>
                </w:p>
              </w:tc>
              <w:tc>
                <w:tcPr>
                  <w:tcW w:w="462" w:type="pct"/>
                  <w:vAlign w:val="center"/>
                </w:tcPr>
                <w:p w14:paraId="4125AE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p>
              </w:tc>
              <w:tc>
                <w:tcPr>
                  <w:tcW w:w="494" w:type="pct"/>
                  <w:shd w:val="clear" w:color="auto" w:fill="auto"/>
                  <w:vAlign w:val="center"/>
                </w:tcPr>
                <w:p w14:paraId="5818C5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474638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shd w:val="clear" w:color="auto" w:fill="auto"/>
                  <w:vAlign w:val="center"/>
                </w:tcPr>
                <w:p w14:paraId="060B6E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11</w:t>
                  </w:r>
                </w:p>
              </w:tc>
              <w:tc>
                <w:tcPr>
                  <w:tcW w:w="503" w:type="pct"/>
                  <w:vMerge w:val="continue"/>
                  <w:vAlign w:val="center"/>
                </w:tcPr>
                <w:p w14:paraId="07DA69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618" w:type="pct"/>
                  <w:shd w:val="clear" w:color="auto" w:fill="auto"/>
                  <w:vAlign w:val="center"/>
                </w:tcPr>
                <w:p w14:paraId="31764D81">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465" w:type="pct"/>
                  <w:shd w:val="clear" w:color="auto" w:fill="auto"/>
                  <w:vAlign w:val="center"/>
                </w:tcPr>
                <w:p w14:paraId="2ED381D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764" w:type="pct"/>
                  <w:shd w:val="clear" w:color="auto" w:fill="auto"/>
                  <w:vAlign w:val="center"/>
                </w:tcPr>
                <w:p w14:paraId="63F8A56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900-041-49</w:t>
                  </w:r>
                </w:p>
              </w:tc>
              <w:tc>
                <w:tcPr>
                  <w:tcW w:w="372" w:type="pct"/>
                  <w:vMerge w:val="continue"/>
                  <w:shd w:val="clear" w:color="auto" w:fill="auto"/>
                  <w:vAlign w:val="center"/>
                </w:tcPr>
                <w:p w14:paraId="2F0E06EA">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7" w:type="pct"/>
                  <w:shd w:val="clear" w:color="auto" w:fill="auto"/>
                  <w:vAlign w:val="center"/>
                </w:tcPr>
                <w:p w14:paraId="114FEE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539" w:type="pct"/>
                  <w:shd w:val="clear" w:color="auto" w:fill="auto"/>
                  <w:vAlign w:val="center"/>
                </w:tcPr>
                <w:p w14:paraId="2DC537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0.04</w:t>
                  </w:r>
                </w:p>
              </w:tc>
              <w:tc>
                <w:tcPr>
                  <w:tcW w:w="462" w:type="pct"/>
                  <w:vAlign w:val="center"/>
                </w:tcPr>
                <w:p w14:paraId="6AD6A7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袋装</w:t>
                  </w:r>
                  <w:r>
                    <w:rPr>
                      <w:rFonts w:hint="eastAsia" w:ascii="Times New Roman" w:hAnsi="Times New Roman" w:eastAsia="宋体" w:cs="Times New Roman"/>
                      <w:color w:val="000000" w:themeColor="text1"/>
                      <w:lang w:val="en-US" w:eastAsia="zh-CN"/>
                      <w14:textFill>
                        <w14:solidFill>
                          <w14:schemeClr w14:val="tx1"/>
                        </w14:solidFill>
                      </w14:textFill>
                    </w:rPr>
                    <w:t>、堆放</w:t>
                  </w:r>
                </w:p>
              </w:tc>
              <w:tc>
                <w:tcPr>
                  <w:tcW w:w="494" w:type="pct"/>
                  <w:shd w:val="clear" w:color="auto" w:fill="auto"/>
                  <w:vAlign w:val="center"/>
                </w:tcPr>
                <w:p w14:paraId="49E9B6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3个月</w:t>
                  </w:r>
                </w:p>
              </w:tc>
            </w:tr>
            <w:tr w14:paraId="71157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2" w:type="pct"/>
                  <w:vAlign w:val="center"/>
                </w:tcPr>
                <w:p w14:paraId="3B8C7A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p>
              </w:tc>
              <w:tc>
                <w:tcPr>
                  <w:tcW w:w="503" w:type="pct"/>
                  <w:vAlign w:val="center"/>
                </w:tcPr>
                <w:p w14:paraId="4C17CC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618" w:type="pct"/>
                  <w:shd w:val="clear" w:color="auto" w:fill="auto"/>
                  <w:vAlign w:val="center"/>
                </w:tcPr>
                <w:p w14:paraId="5BE3EF96">
                  <w:pPr>
                    <w:adjustRightInd w:val="0"/>
                    <w:snapToGrid w:val="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465" w:type="pct"/>
                  <w:shd w:val="clear" w:color="auto" w:fill="auto"/>
                  <w:vAlign w:val="center"/>
                </w:tcPr>
                <w:p w14:paraId="0FDB0079">
                  <w:pPr>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764" w:type="pct"/>
                  <w:shd w:val="clear" w:color="auto" w:fill="auto"/>
                  <w:vAlign w:val="center"/>
                </w:tcPr>
                <w:p w14:paraId="52AAAF6B">
                  <w:pPr>
                    <w:topLinePun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372" w:type="pct"/>
                  <w:vMerge w:val="continue"/>
                  <w:vAlign w:val="center"/>
                </w:tcPr>
                <w:p w14:paraId="343699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2023" w:type="pct"/>
                  <w:gridSpan w:val="4"/>
                  <w:shd w:val="clear" w:color="auto" w:fill="auto"/>
                  <w:vAlign w:val="center"/>
                </w:tcPr>
                <w:p w14:paraId="692957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29.5</w:t>
                  </w:r>
                  <w:r>
                    <w:rPr>
                      <w:rFonts w:hint="default" w:ascii="Times New Roman" w:hAnsi="Times New Roman" w:eastAsia="宋体" w:cs="Times New Roman"/>
                      <w:b w:val="0"/>
                      <w:bCs/>
                      <w:color w:val="000000" w:themeColor="text1"/>
                      <w14:textFill>
                        <w14:solidFill>
                          <w14:schemeClr w14:val="tx1"/>
                        </w14:solidFill>
                      </w14:textFill>
                    </w:rPr>
                    <w:t>m</w:t>
                  </w:r>
                  <w:r>
                    <w:rPr>
                      <w:rFonts w:hint="default" w:ascii="Times New Roman" w:hAnsi="Times New Roman" w:eastAsia="宋体" w:cs="Times New Roman"/>
                      <w:b w:val="0"/>
                      <w:bCs/>
                      <w:color w:val="000000" w:themeColor="text1"/>
                      <w:vertAlign w:val="superscript"/>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＜50</w:t>
                  </w:r>
                  <w:r>
                    <w:rPr>
                      <w:rFonts w:hint="default" w:ascii="Times New Roman" w:hAnsi="Times New Roman" w:eastAsia="宋体" w:cs="Times New Roman"/>
                      <w:b w:val="0"/>
                      <w:bCs/>
                      <w:color w:val="000000" w:themeColor="text1"/>
                      <w14:textFill>
                        <w14:solidFill>
                          <w14:schemeClr w14:val="tx1"/>
                        </w14:solidFill>
                      </w14:textFill>
                    </w:rPr>
                    <w:t>m</w:t>
                  </w:r>
                  <w:r>
                    <w:rPr>
                      <w:rFonts w:hint="default" w:ascii="Times New Roman" w:hAnsi="Times New Roman" w:eastAsia="宋体" w:cs="Times New Roman"/>
                      <w:b w:val="0"/>
                      <w:bCs/>
                      <w:color w:val="000000" w:themeColor="text1"/>
                      <w:vertAlign w:val="superscript"/>
                      <w14:textFill>
                        <w14:solidFill>
                          <w14:schemeClr w14:val="tx1"/>
                        </w14:solidFill>
                      </w14:textFill>
                    </w:rPr>
                    <w:t>2</w:t>
                  </w:r>
                </w:p>
              </w:tc>
            </w:tr>
          </w:tbl>
          <w:p w14:paraId="73B2EA5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贮存能力可行性分析：</w:t>
            </w:r>
          </w:p>
          <w:p w14:paraId="1FC30E0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全厂设置5</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z w:val="24"/>
                <w:lang w:val="en-US" w:eastAsia="zh-CN"/>
                <w14:textFill>
                  <w14:solidFill>
                    <w14:schemeClr w14:val="tx1"/>
                  </w14:solidFill>
                </w14:textFill>
              </w:rPr>
              <w:t>危废暂存间</w:t>
            </w:r>
            <w:r>
              <w:rPr>
                <w:rFonts w:hint="default" w:ascii="Times New Roman" w:hAnsi="Times New Roman" w:eastAsia="宋体" w:cs="Times New Roman"/>
                <w:color w:val="000000" w:themeColor="text1"/>
                <w:sz w:val="24"/>
                <w14:textFill>
                  <w14:solidFill>
                    <w14:schemeClr w14:val="tx1"/>
                  </w14:solidFill>
                </w14:textFill>
              </w:rPr>
              <w:t>，最多可容纳约</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t危险废物，项目一个贮存周期的危险废物的产生量约为</w:t>
            </w:r>
            <w:r>
              <w:rPr>
                <w:rFonts w:hint="eastAsia" w:ascii="Times New Roman" w:hAnsi="Times New Roman" w:eastAsia="宋体" w:cs="Times New Roman"/>
                <w:color w:val="000000" w:themeColor="text1"/>
                <w:sz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14:textFill>
                  <w14:solidFill>
                    <w14:schemeClr w14:val="tx1"/>
                  </w14:solidFill>
                </w14:textFill>
              </w:rPr>
              <w:t>t，因此企业危废暂存</w:t>
            </w:r>
            <w:r>
              <w:rPr>
                <w:rFonts w:hint="default" w:ascii="Times New Roman" w:hAnsi="Times New Roman" w:eastAsia="宋体" w:cs="Times New Roman"/>
                <w:color w:val="000000" w:themeColor="text1"/>
                <w:sz w:val="24"/>
                <w:lang w:val="en-US" w:eastAsia="zh-CN"/>
                <w14:textFill>
                  <w14:solidFill>
                    <w14:schemeClr w14:val="tx1"/>
                  </w14:solidFill>
                </w14:textFill>
              </w:rPr>
              <w:t>间</w:t>
            </w:r>
            <w:r>
              <w:rPr>
                <w:rFonts w:hint="default" w:ascii="Times New Roman" w:hAnsi="Times New Roman" w:eastAsia="宋体" w:cs="Times New Roman"/>
                <w:color w:val="000000" w:themeColor="text1"/>
                <w:sz w:val="24"/>
                <w14:textFill>
                  <w14:solidFill>
                    <w14:schemeClr w14:val="tx1"/>
                  </w14:solidFill>
                </w14:textFill>
              </w:rPr>
              <w:t>可以满足项目产生的危废暂存需求。</w:t>
            </w:r>
            <w:r>
              <w:rPr>
                <w:rFonts w:hint="eastAsia" w:ascii="Times New Roman" w:hAnsi="Times New Roman" w:eastAsia="宋体" w:cs="Times New Roman"/>
                <w:color w:val="000000" w:themeColor="text1"/>
                <w:sz w:val="24"/>
                <w:lang w:eastAsia="zh-CN"/>
                <w14:textFill>
                  <w14:solidFill>
                    <w14:schemeClr w14:val="tx1"/>
                  </w14:solidFill>
                </w14:textFill>
              </w:rPr>
              <w:t>危废暂存间</w:t>
            </w:r>
            <w:r>
              <w:rPr>
                <w:rFonts w:hint="default" w:ascii="Times New Roman" w:hAnsi="Times New Roman" w:eastAsia="宋体" w:cs="Times New Roman"/>
                <w:color w:val="000000" w:themeColor="text1"/>
                <w:sz w:val="24"/>
                <w14:textFill>
                  <w14:solidFill>
                    <w14:schemeClr w14:val="tx1"/>
                  </w14:solidFill>
                </w14:textFill>
              </w:rPr>
              <w:t>所应做到“四防”，即：防风、防雨、防晒、防渗漏，</w:t>
            </w:r>
            <w:r>
              <w:rPr>
                <w:rFonts w:hint="eastAsia" w:ascii="Times New Roman" w:hAnsi="Times New Roman" w:eastAsia="宋体" w:cs="Times New Roman"/>
                <w:color w:val="000000" w:themeColor="text1"/>
                <w:sz w:val="24"/>
                <w:lang w:eastAsia="zh-CN"/>
                <w14:textFill>
                  <w14:solidFill>
                    <w14:schemeClr w14:val="tx1"/>
                  </w14:solidFill>
                </w14:textFill>
              </w:rPr>
              <w:t>危废暂存间</w:t>
            </w:r>
            <w:r>
              <w:rPr>
                <w:rFonts w:hint="default" w:ascii="Times New Roman" w:hAnsi="Times New Roman" w:eastAsia="宋体" w:cs="Times New Roman"/>
                <w:color w:val="000000" w:themeColor="text1"/>
                <w:sz w:val="24"/>
                <w14:textFill>
                  <w14:solidFill>
                    <w14:schemeClr w14:val="tx1"/>
                  </w14:solidFill>
                </w14:textFill>
              </w:rPr>
              <w:t>地面与裙脚为坚固、防渗材料，建筑材料与危险废物相容。</w:t>
            </w:r>
          </w:p>
          <w:p w14:paraId="05EB5C8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贮存安全可行性分析：</w:t>
            </w:r>
          </w:p>
          <w:p w14:paraId="6316864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本项目产生并贮存于</w:t>
            </w:r>
            <w:r>
              <w:rPr>
                <w:rFonts w:hint="eastAsia" w:ascii="Times New Roman" w:hAnsi="Times New Roman" w:eastAsia="宋体" w:cs="Times New Roman"/>
                <w:color w:val="000000" w:themeColor="text1"/>
                <w:sz w:val="24"/>
                <w:lang w:eastAsia="zh-CN"/>
                <w14:textFill>
                  <w14:solidFill>
                    <w14:schemeClr w14:val="tx1"/>
                  </w14:solidFill>
                </w14:textFill>
              </w:rPr>
              <w:t>危废暂存间</w:t>
            </w:r>
            <w:r>
              <w:rPr>
                <w:rFonts w:hint="default" w:ascii="Times New Roman" w:hAnsi="Times New Roman" w:eastAsia="宋体" w:cs="Times New Roman"/>
                <w:color w:val="000000" w:themeColor="text1"/>
                <w:sz w:val="24"/>
                <w14:textFill>
                  <w14:solidFill>
                    <w14:schemeClr w14:val="tx1"/>
                  </w14:solidFill>
                </w14:textFill>
              </w:rPr>
              <w:t>的危险废物主要为废磨削液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电解除油废液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酸洗废液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铜保护废液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废含油抹布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废活性炭</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污泥</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浓水</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污水处理站耗材</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废包装材料，企业根据各危险废物的形态和危险特性，用专用编织袋</w:t>
            </w:r>
            <w:r>
              <w:rPr>
                <w:rFonts w:hint="default" w:ascii="Times New Roman" w:hAnsi="Times New Roman" w:eastAsia="宋体" w:cs="Times New Roman"/>
                <w:color w:val="000000" w:themeColor="text1"/>
                <w:sz w:val="24"/>
                <w:lang w:val="en-US" w:eastAsia="zh-CN"/>
                <w14:textFill>
                  <w14:solidFill>
                    <w14:schemeClr w14:val="tx1"/>
                  </w14:solidFill>
                </w14:textFill>
              </w:rPr>
              <w:t>和密封吨桶</w:t>
            </w:r>
            <w:r>
              <w:rPr>
                <w:rFonts w:hint="default" w:ascii="Times New Roman" w:hAnsi="Times New Roman" w:eastAsia="宋体" w:cs="Times New Roman"/>
                <w:color w:val="000000" w:themeColor="text1"/>
                <w:sz w:val="24"/>
                <w14:textFill>
                  <w14:solidFill>
                    <w14:schemeClr w14:val="tx1"/>
                  </w14:solidFill>
                </w14:textFill>
              </w:rPr>
              <w:t>等包装容器盛装，并在盛装容器上粘贴标签，分开存放。贮存场所内设有隔离间隔断，并设置危险废物识别标志，且应满足“四防”。综上所述，本项目危废按上述要求贮存于该</w:t>
            </w:r>
            <w:r>
              <w:rPr>
                <w:rFonts w:hint="eastAsia" w:ascii="Times New Roman" w:hAnsi="Times New Roman" w:eastAsia="宋体" w:cs="Times New Roman"/>
                <w:color w:val="000000" w:themeColor="text1"/>
                <w:sz w:val="24"/>
                <w:lang w:eastAsia="zh-CN"/>
                <w14:textFill>
                  <w14:solidFill>
                    <w14:schemeClr w14:val="tx1"/>
                  </w14:solidFill>
                </w14:textFill>
              </w:rPr>
              <w:t>危废暂存间</w:t>
            </w:r>
            <w:r>
              <w:rPr>
                <w:rFonts w:hint="default" w:ascii="Times New Roman" w:hAnsi="Times New Roman" w:eastAsia="宋体" w:cs="Times New Roman"/>
                <w:color w:val="000000" w:themeColor="text1"/>
                <w:sz w:val="24"/>
                <w14:textFill>
                  <w14:solidFill>
                    <w14:schemeClr w14:val="tx1"/>
                  </w14:solidFill>
                </w14:textFill>
              </w:rPr>
              <w:t>可行。</w:t>
            </w:r>
          </w:p>
          <w:p w14:paraId="2146569C">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委托处置可行性</w:t>
            </w:r>
            <w:r>
              <w:rPr>
                <w:rFonts w:hint="eastAsia" w:ascii="Times New Roman" w:hAnsi="Times New Roman" w:eastAsia="宋体" w:cs="Times New Roman"/>
                <w:color w:val="000000" w:themeColor="text1"/>
                <w:sz w:val="24"/>
                <w:lang w:val="en-US" w:eastAsia="zh-CN"/>
                <w14:textFill>
                  <w14:solidFill>
                    <w14:schemeClr w14:val="tx1"/>
                  </w14:solidFill>
                </w14:textFill>
              </w:rPr>
              <w:t>分析：</w:t>
            </w:r>
          </w:p>
          <w:p w14:paraId="7F7D4ACB">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本项目危废归类为HW09、HW17、HW49，建议可委托常州市金坛金东环保工程有限公司、常州市和润环保科技有限公司。以上公司均位于金坛区，处理方便，经范围及许可数量均满足本项目危废处置需求。</w:t>
            </w:r>
          </w:p>
          <w:p w14:paraId="2AB30CFD">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常州市金坛金东环保工程有限公司核准经营范围为预处理废矿物油（HW08）3000吨/年，处置油/水、烃/水混合物或乳化液（HW09）10000吨/年、清洗/喷涂废液（HW12，900-250-12、900-251-12、900-252-12、900-253-12）2000吨/年、表面处理废液（HW17，336-052-17、336-054-17、336-055-17、336-056-17、336-057-17、336-058-17、336-062-17、336-063-17、336-064-17、336-066-17）2000吨/年，合计17000吨/年。</w:t>
            </w:r>
          </w:p>
          <w:p w14:paraId="7F77190B">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常州市和润环保科技有限公司核准经营范围为处置含有机溶剂废液(HW06，900-401-06、900-402-06、900-404-06)、含有机卤化物废液(HW45，261-078-45、261-080-45、261-084-45) 4000吨/年；染料、涂料废液（HW12，264-009-12、264-010-12、264-011-12）2000吨/年；油/水、烃/水混合物或乳化液（HW09，900-005-09、900-006-09、900-007-09）9000吨/年；表面处理废液（HW17，336-052-17、336-053-17、336-054-17、336-055-17、336-056-17、336-057-17、336-058-17、336-060-17、336-062-17、336-063-17、336-064-17、336-066-17、336-069-17、336-101-17）、含铜废液（HW22，304-001-22、398-004-22、398-005-22、398-051-22）、含镍废液（HW46，261-087-46、900-037-46）23000吨/年；废酸（HW34）、废碱（HW35）15000吨/年；合计53000吨/年。焚烧处置医药废物（HW02）、废药物、药品（HW03）、农药废物（HW04）、木材防腐剂废物（HW05)、废有机溶剂与含有机溶剂废物（HW06）、热处理含氰废物（HW07）、废矿物油与含矿物油废物（HW08）、油/水、烃/水混合物或乳化液（HW09）、精（蒸）馏残渣（HW11）、染料、涂料废物（HW12）、有机树脂类废物（HW13）、新化学物质废物（HW14）、感光材料废物（HW16，仅限266-009-16、266-010-16、231-001-16、231-002-16、398-001-16、806-001-16、900-019-16）、表面处理废物（HW17）、含金属羰基化合物废物（HW19）、废酸（HW34，仅限251-014-34）、废碱（HW35，仅限251-015-35、261-059-35、900-399-35）、有机磷化合物废物（HW37）、有机氰化物废物（HW38）、含酚废物（HW39）、含醚废物（HW40）、含有机卤化物废物（HW45）、其他废物（HW49，仅限309-001-49、900-039-49、900-041-49、900-042-49、900-046-49、900-047-49、900-999-49）共计25000吨/年。</w:t>
            </w:r>
          </w:p>
          <w:p w14:paraId="4C726F3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3）容器和包装物污染控制要求</w:t>
            </w:r>
          </w:p>
          <w:p w14:paraId="0555E4E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根据《危险废物贮存污染控制标准》（GB 18597-2023），危险废物容器和包装物污染控制要求如下：</w:t>
            </w:r>
          </w:p>
          <w:p w14:paraId="67D1EEC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①容器和包装物材质、内衬应与盛装的危险废物相容。</w:t>
            </w:r>
          </w:p>
          <w:p w14:paraId="37BE1CA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②针对不同类别、形态、物理化学性质的危险废物，其容器和包装物应满足相应的防渗、防漏、防腐和强度等要求。</w:t>
            </w:r>
          </w:p>
          <w:p w14:paraId="666B0CF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③硬质容器和包装物及其支护结构堆叠码放时不应有明显变形，无破损泄漏。</w:t>
            </w:r>
          </w:p>
          <w:p w14:paraId="5B221DD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④柔性容器和包装物堆叠码放时应封口严密，无破损泄漏。</w:t>
            </w:r>
          </w:p>
          <w:p w14:paraId="78D0F5F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⑤使用容器盛装液态、半固态危险废物时，容器内部应留有适当的空间，以适应因温度变化等可能引发的收缩和膨胀，防止其导致容器渗漏或永久变形。</w:t>
            </w:r>
          </w:p>
          <w:p w14:paraId="716DCCA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⑥容器和包装物外表面应保持清洁。</w:t>
            </w:r>
          </w:p>
          <w:p w14:paraId="0A32859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4）贮存过程要求</w:t>
            </w:r>
          </w:p>
          <w:p w14:paraId="538E4FA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根据《危险废物贮存污染控制标准》（GB 18597-2023），危险废物贮存过程污染控制要求如下：</w:t>
            </w:r>
          </w:p>
          <w:p w14:paraId="092BEB0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①在常温常压下不易水解、不易挥发的固态危险废物可分类堆放贮存，其他固态危险废物应装入容器或包装物内贮存。</w:t>
            </w:r>
          </w:p>
          <w:p w14:paraId="6001499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②液态危险废物应装入容器内贮存，或直接采用贮存池、贮存罐区贮存。</w:t>
            </w:r>
          </w:p>
          <w:p w14:paraId="1770C88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③半固态危险废物应装入容器或包装袋内贮存，或者采用贮存池贮存。</w:t>
            </w:r>
          </w:p>
          <w:p w14:paraId="73FC0FC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④具有热塑性的危险废物应装入容器或包装袋内进行贮存。</w:t>
            </w:r>
          </w:p>
          <w:p w14:paraId="1D20D54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⑤</w:t>
            </w:r>
            <w:r>
              <w:rPr>
                <w:rFonts w:hint="default" w:ascii="Times New Roman" w:hAnsi="Times New Roman" w:eastAsia="宋体" w:cs="Times New Roman"/>
                <w:color w:val="000000" w:themeColor="text1"/>
                <w:sz w:val="24"/>
                <w14:textFill>
                  <w14:solidFill>
                    <w14:schemeClr w14:val="tx1"/>
                  </w14:solidFill>
                </w14:textFill>
              </w:rPr>
              <w:t>危险废物贮存过程中易产生粉尘等无组织排放的，应采取抑尘等有效措施。</w:t>
            </w:r>
          </w:p>
          <w:p w14:paraId="2C59DE4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5）运输过程的污染防治措施</w:t>
            </w:r>
          </w:p>
          <w:p w14:paraId="1EABE23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危险废物运输必须按照《危险废物收集 贮存 运输技术规范》（HJ2025-2012）的要求并做到以下几点：</w:t>
            </w:r>
          </w:p>
          <w:p w14:paraId="4827889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①危险废物运输应由持有危险废物经营许可证的单位按照其许可证的经营范围组织实施，承担危险废物运输的单位应获得交通运输部门颁发的危险货物运输资质。</w:t>
            </w:r>
          </w:p>
          <w:p w14:paraId="79677AF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②危险废物公路运输应按照《道路危险货物运输管理规定》（交通部令[2015年]第9号）、JT617以及JT618执行。</w:t>
            </w:r>
          </w:p>
          <w:p w14:paraId="404853E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③运输单位在承运危险废物时，应在危险废物包装上按照GB18597附录A设置标志。</w:t>
            </w:r>
          </w:p>
          <w:p w14:paraId="6814D05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④危险废物公路运输时，运输车辆按GB13392设置车辆标志。铁路运输和水路运输危险废物时应在集装箱外按GB190规定悬挂标志。</w:t>
            </w:r>
          </w:p>
          <w:p w14:paraId="2701638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⑤危险废物运输时的中转、装卸过程应遵守如下技术要求：</w:t>
            </w:r>
          </w:p>
          <w:p w14:paraId="011A3AC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装卸区的工作人员应熟悉废物的危险特性，并配备适当的个人防护装备，装卸剧毒废物应配备特殊的防护装备；</w:t>
            </w:r>
          </w:p>
          <w:p w14:paraId="423A398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装卸区应配备必要的消防设备和设施，并设置明显的指示标志；</w:t>
            </w:r>
          </w:p>
          <w:p w14:paraId="5FA24CA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危险废物装卸区应设置隔离设施，液态废物装卸区应设置收集槽和缓冲罐。</w:t>
            </w:r>
          </w:p>
          <w:p w14:paraId="1679D489">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（2）一般工业固体废物</w:t>
            </w:r>
          </w:p>
          <w:p w14:paraId="35E440E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全厂设置</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0m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的</w:t>
            </w:r>
            <w:r>
              <w:rPr>
                <w:rFonts w:hint="eastAsia" w:ascii="Times New Roman" w:hAnsi="Times New Roman" w:eastAsia="宋体" w:cs="Times New Roman"/>
                <w:color w:val="000000" w:themeColor="text1"/>
                <w:sz w:val="24"/>
                <w:lang w:val="en-US" w:eastAsia="zh-CN"/>
                <w14:textFill>
                  <w14:solidFill>
                    <w14:schemeClr w14:val="tx1"/>
                  </w14:solidFill>
                </w14:textFill>
              </w:rPr>
              <w:t>一般固废仓库，企业</w:t>
            </w:r>
            <w:r>
              <w:rPr>
                <w:rFonts w:hint="default" w:ascii="Times New Roman" w:hAnsi="Times New Roman" w:eastAsia="宋体" w:cs="Times New Roman"/>
                <w:color w:val="000000" w:themeColor="text1"/>
                <w:sz w:val="24"/>
                <w14:textFill>
                  <w14:solidFill>
                    <w14:schemeClr w14:val="tx1"/>
                  </w14:solidFill>
                </w14:textFill>
              </w:rPr>
              <w:t>一般工业固废主要为</w:t>
            </w:r>
            <w:r>
              <w:rPr>
                <w:rFonts w:hint="default" w:ascii="Times New Roman" w:hAnsi="Times New Roman" w:eastAsia="宋体" w:cs="Times New Roman"/>
                <w:color w:val="000000" w:themeColor="text1"/>
                <w:sz w:val="24"/>
                <w:lang w:val="en-US" w:eastAsia="zh-CN"/>
                <w14:textFill>
                  <w14:solidFill>
                    <w14:schemeClr w14:val="tx1"/>
                  </w14:solidFill>
                </w14:textFill>
              </w:rPr>
              <w:t>废</w:t>
            </w:r>
            <w:r>
              <w:rPr>
                <w:rFonts w:hint="default" w:ascii="Times New Roman" w:hAnsi="Times New Roman" w:eastAsia="宋体" w:cs="Times New Roman"/>
                <w:color w:val="000000" w:themeColor="text1"/>
                <w:sz w:val="24"/>
                <w14:textFill>
                  <w14:solidFill>
                    <w14:schemeClr w14:val="tx1"/>
                  </w14:solidFill>
                </w14:textFill>
              </w:rPr>
              <w:t>边角料</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不合格品</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纯水制备耗材，</w:t>
            </w:r>
            <w:r>
              <w:rPr>
                <w:rFonts w:hint="default" w:ascii="Times New Roman" w:hAnsi="Times New Roman" w:eastAsia="宋体" w:cs="Times New Roman"/>
                <w:color w:val="000000" w:themeColor="text1"/>
                <w:sz w:val="24"/>
                <w14:textFill>
                  <w14:solidFill>
                    <w14:schemeClr w14:val="tx1"/>
                  </w14:solidFill>
                </w14:textFill>
              </w:rPr>
              <w:t>均定期外卖综合利用。</w:t>
            </w:r>
            <w:r>
              <w:rPr>
                <w:rFonts w:hint="eastAsia" w:ascii="Times New Roman" w:hAnsi="Times New Roman" w:eastAsia="宋体" w:cs="Times New Roman"/>
                <w:color w:val="000000" w:themeColor="text1"/>
                <w:sz w:val="24"/>
                <w:lang w:val="en-US" w:eastAsia="zh-CN"/>
                <w14:textFill>
                  <w14:solidFill>
                    <w14:schemeClr w14:val="tx1"/>
                  </w14:solidFill>
                </w14:textFill>
              </w:rPr>
              <w:t>根据产废周期，一般固废仓库最大贮存量约4t，一般固废仓库可以满足全厂一般固废暂存需要。</w:t>
            </w:r>
            <w:r>
              <w:rPr>
                <w:rFonts w:hint="default" w:ascii="Times New Roman" w:hAnsi="Times New Roman" w:eastAsia="宋体" w:cs="Times New Roman"/>
                <w:color w:val="000000" w:themeColor="text1"/>
                <w:sz w:val="24"/>
                <w14:textFill>
                  <w14:solidFill>
                    <w14:schemeClr w14:val="tx1"/>
                  </w14:solidFill>
                </w14:textFill>
              </w:rPr>
              <w:t>一般固废仓库应</w:t>
            </w:r>
            <w:r>
              <w:rPr>
                <w:rFonts w:hint="eastAsia" w:ascii="Times New Roman" w:hAnsi="Times New Roman" w:eastAsia="宋体" w:cs="Times New Roman"/>
                <w:color w:val="000000" w:themeColor="text1"/>
                <w:sz w:val="24"/>
                <w:lang w:val="en-US" w:eastAsia="zh-CN"/>
                <w14:textFill>
                  <w14:solidFill>
                    <w14:schemeClr w14:val="tx1"/>
                  </w14:solidFill>
                </w14:textFill>
              </w:rPr>
              <w:t>参</w:t>
            </w:r>
            <w:r>
              <w:rPr>
                <w:rFonts w:hint="default" w:ascii="Times New Roman" w:hAnsi="Times New Roman" w:eastAsia="宋体" w:cs="Times New Roman"/>
                <w:color w:val="000000" w:themeColor="text1"/>
                <w:sz w:val="24"/>
                <w14:textFill>
                  <w14:solidFill>
                    <w14:schemeClr w14:val="tx1"/>
                  </w14:solidFill>
                </w14:textFill>
              </w:rPr>
              <w:t>照《一般工业固体废物贮存和填埋污染控制标准》（GB18599-2020）、《省生态环境厅关于进一步完善一般工业固体废物环境管理的通知》（苏环办</w:t>
            </w:r>
            <w:r>
              <w:rPr>
                <w:rFonts w:hint="eastAsia" w:ascii="Times New Roman" w:hAnsi="Times New Roman" w:eastAsia="宋体" w:cs="Times New Roman"/>
                <w:color w:val="000000" w:themeColor="text1"/>
                <w:sz w:val="24"/>
                <w:lang w:eastAsia="zh-CN"/>
                <w14:textFill>
                  <w14:solidFill>
                    <w14:schemeClr w14:val="tx1"/>
                  </w14:solidFill>
                </w14:textFill>
              </w:rPr>
              <w:t>〔2023〕327号</w:t>
            </w:r>
            <w:r>
              <w:rPr>
                <w:rFonts w:hint="default" w:ascii="Times New Roman" w:hAnsi="Times New Roman" w:eastAsia="宋体" w:cs="Times New Roman"/>
                <w:color w:val="000000" w:themeColor="text1"/>
                <w:sz w:val="24"/>
                <w14:textFill>
                  <w14:solidFill>
                    <w14:schemeClr w14:val="tx1"/>
                  </w14:solidFill>
                </w14:textFill>
              </w:rPr>
              <w:t>）要求建设，具体技术要求如下：</w:t>
            </w:r>
          </w:p>
          <w:p w14:paraId="332A355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ja-JP"/>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t>一般工业固体废物贮存、处置场，禁止危险废物和生活垃圾混入。</w:t>
            </w:r>
          </w:p>
          <w:p w14:paraId="387FEB07">
            <w:pPr>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②贮存、处置场使用单位，应建立检查维护制度。定期检查维护堤、坝、挡土墙、导流渠等设施，发现有损坏可能或异常，应及时采取必要措施，以保障正常运行。</w:t>
            </w:r>
          </w:p>
          <w:p w14:paraId="70F8073E">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（3）生活垃圾</w:t>
            </w:r>
          </w:p>
          <w:p w14:paraId="4DE0165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职工生活垃圾，由环卫部门定期清运，可得到有效处置。</w:t>
            </w:r>
          </w:p>
          <w:p w14:paraId="28DA193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综上，本项目产生的各类固废均可得到有效处置，固废污染防治措施可行，对周围环境影响较小。</w:t>
            </w:r>
          </w:p>
          <w:p w14:paraId="587CE317">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五、地下水、土壤</w:t>
            </w:r>
          </w:p>
          <w:p w14:paraId="5347F38F">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1、污染源、污染类型、污染途径</w:t>
            </w:r>
          </w:p>
          <w:p w14:paraId="71BC506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本项目土壤和地下水污染源主要为液态辅料（</w:t>
            </w:r>
            <w:r>
              <w:rPr>
                <w:rFonts w:hint="eastAsia" w:ascii="Times New Roman" w:hAnsi="Times New Roman" w:eastAsia="宋体" w:cs="Times New Roman"/>
                <w:color w:val="000000" w:themeColor="text1"/>
                <w:sz w:val="24"/>
                <w:lang w:val="en-US" w:eastAsia="zh-CN"/>
                <w14:textFill>
                  <w14:solidFill>
                    <w14:schemeClr w14:val="tx1"/>
                  </w14:solidFill>
                </w14:textFill>
              </w:rPr>
              <w:t>铜保护剂、润滑油、硫酸等</w:t>
            </w:r>
            <w:r>
              <w:rPr>
                <w:rFonts w:hint="default" w:ascii="Times New Roman" w:hAnsi="Times New Roman" w:eastAsia="宋体" w:cs="Times New Roman"/>
                <w:color w:val="000000" w:themeColor="text1"/>
                <w:sz w:val="24"/>
                <w14:textFill>
                  <w14:solidFill>
                    <w14:schemeClr w14:val="tx1"/>
                  </w14:solidFill>
                </w14:textFill>
              </w:rPr>
              <w:t>）、液态危险废物（废磨削液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电解除油废液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酸洗废液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铜保护废液</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浓水</w:t>
            </w:r>
            <w:r>
              <w:rPr>
                <w:rFonts w:hint="eastAsia" w:ascii="Times New Roman" w:hAnsi="Times New Roman" w:eastAsia="宋体" w:cs="Times New Roman"/>
                <w:color w:val="000000" w:themeColor="text1"/>
                <w:sz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14:textFill>
                  <w14:solidFill>
                    <w14:schemeClr w14:val="tx1"/>
                  </w14:solidFill>
                </w14:textFill>
              </w:rPr>
              <w:t>）；</w:t>
            </w:r>
          </w:p>
          <w:p w14:paraId="7CBC987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贮存仓库、事故应急池等。</w:t>
            </w:r>
          </w:p>
          <w:p w14:paraId="7740093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7EAB3608">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地下水、土壤污染分析</w:t>
            </w:r>
          </w:p>
          <w:p w14:paraId="753F71B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t>地下水、土壤污染源分析</w:t>
            </w:r>
          </w:p>
          <w:p w14:paraId="71C75A3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4C95027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t>地下水、土壤污染情景分析</w:t>
            </w:r>
          </w:p>
          <w:p w14:paraId="71764EC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事故情况下，若出现设施故障、管道破裂、防渗层损坏开裂等现象，物料</w:t>
            </w:r>
            <w:r>
              <w:rPr>
                <w:rFonts w:hint="eastAsia" w:ascii="Times New Roman" w:hAnsi="Times New Roman" w:eastAsia="宋体" w:cs="Times New Roman"/>
                <w:color w:val="000000" w:themeColor="text1"/>
                <w:sz w:val="24"/>
                <w:lang w:val="en-US" w:eastAsia="zh-CN"/>
                <w14:textFill>
                  <w14:solidFill>
                    <w14:schemeClr w14:val="tx1"/>
                  </w14:solidFill>
                </w14:textFill>
              </w:rPr>
              <w:t>或废水</w:t>
            </w:r>
            <w:r>
              <w:rPr>
                <w:rFonts w:hint="default" w:ascii="Times New Roman" w:hAnsi="Times New Roman" w:eastAsia="宋体" w:cs="Times New Roman"/>
                <w:color w:val="000000" w:themeColor="text1"/>
                <w:sz w:val="24"/>
                <w14:textFill>
                  <w14:solidFill>
                    <w14:schemeClr w14:val="tx1"/>
                  </w14:solidFill>
                </w14:textFill>
              </w:rPr>
              <w:t>将对地下水造成点源污染，污染物可能下渗至孔隙潜水及承压层中，从而在含水层中运移。</w:t>
            </w:r>
          </w:p>
          <w:p w14:paraId="176B766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t>地下水、土壤污染途径分析</w:t>
            </w:r>
          </w:p>
          <w:p w14:paraId="2A396E8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2D338F11">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、土壤、地下水环境保护污染防控措施</w:t>
            </w:r>
          </w:p>
          <w:p w14:paraId="3E479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4"/>
                <w14:textFill>
                  <w14:solidFill>
                    <w14:schemeClr w14:val="tx1"/>
                  </w14:solidFill>
                </w14:textFill>
              </w:rPr>
              <w:t>源头控制措施</w:t>
            </w:r>
          </w:p>
          <w:p w14:paraId="7485ED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车间内应进行建设基础防渗层，防止污染物的跑、冒、滴、漏，将污染物泄漏的可能性降到最低限度。对于危废贮存间、仓库周边设地沟、导流槽，确保泄漏物料统一收集。建立有效的事故废水收集系统，雨水排放口设置雨水截止阀。尽快将地面上的废水收集进入废水收集系统，减少废水在地面上的停留时间并防止废水进入雨水系统进而污染地下水。</w:t>
            </w:r>
          </w:p>
          <w:p w14:paraId="033AB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4"/>
                <w14:textFill>
                  <w14:solidFill>
                    <w14:schemeClr w14:val="tx1"/>
                  </w14:solidFill>
                </w14:textFill>
              </w:rPr>
              <w:t>分区防渗措施</w:t>
            </w:r>
          </w:p>
          <w:p w14:paraId="7A557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4EB9FC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重点防渗区：</w:t>
            </w:r>
          </w:p>
          <w:p w14:paraId="05AFCF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现有项目重点防渗区主要为原料仓库、危废暂存间。</w:t>
            </w:r>
          </w:p>
          <w:p w14:paraId="7B4B34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本项目涉及的重点防渗区主要为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清洗线、</w:t>
            </w:r>
            <w:r>
              <w:rPr>
                <w:rFonts w:hint="default" w:ascii="Times New Roman" w:hAnsi="Times New Roman" w:eastAsia="宋体" w:cs="Times New Roman"/>
                <w:b w:val="0"/>
                <w:bCs/>
                <w:color w:val="000000" w:themeColor="text1"/>
                <w:sz w:val="24"/>
                <w14:textFill>
                  <w14:solidFill>
                    <w14:schemeClr w14:val="tx1"/>
                  </w14:solidFill>
                </w14:textFill>
              </w:rPr>
              <w:t>危废仓库等，参照《危险废物贮存污染控制标准》（GB18597-2023）和《危险废物安全填埋处置工程建设技术要求》执行，基础必须防渗，防渗层为至少1m厚粘土层（渗透系数≤10</w:t>
            </w:r>
            <w:r>
              <w:rPr>
                <w:rFonts w:hint="default" w:ascii="Times New Roman" w:hAnsi="Times New Roman" w:eastAsia="宋体" w:cs="Times New Roman"/>
                <w:b w:val="0"/>
                <w:bCs/>
                <w:color w:val="000000" w:themeColor="text1"/>
                <w:sz w:val="24"/>
                <w:vertAlign w:val="superscript"/>
                <w14:textFill>
                  <w14:solidFill>
                    <w14:schemeClr w14:val="tx1"/>
                  </w14:solidFill>
                </w14:textFill>
              </w:rPr>
              <w:t>-7</w:t>
            </w:r>
            <w:r>
              <w:rPr>
                <w:rFonts w:hint="default" w:ascii="Times New Roman" w:hAnsi="Times New Roman" w:eastAsia="宋体" w:cs="Times New Roman"/>
                <w:b w:val="0"/>
                <w:bCs/>
                <w:color w:val="000000" w:themeColor="text1"/>
                <w:sz w:val="24"/>
                <w14:textFill>
                  <w14:solidFill>
                    <w14:schemeClr w14:val="tx1"/>
                  </w14:solidFill>
                </w14:textFill>
              </w:rPr>
              <w:t>cm/s），并进行0.1m的混凝土浇筑，最上层为2.5mm的环氧树脂防腐防渗涂层，防渗系数≤10</w:t>
            </w:r>
            <w:r>
              <w:rPr>
                <w:rFonts w:hint="default" w:ascii="Times New Roman" w:hAnsi="Times New Roman" w:eastAsia="宋体" w:cs="Times New Roman"/>
                <w:b w:val="0"/>
                <w:bCs/>
                <w:color w:val="000000" w:themeColor="text1"/>
                <w:sz w:val="24"/>
                <w:vertAlign w:val="superscript"/>
                <w14:textFill>
                  <w14:solidFill>
                    <w14:schemeClr w14:val="tx1"/>
                  </w14:solidFill>
                </w14:textFill>
              </w:rPr>
              <w:t>-10</w:t>
            </w:r>
            <w:r>
              <w:rPr>
                <w:rFonts w:hint="default" w:ascii="Times New Roman" w:hAnsi="Times New Roman" w:eastAsia="宋体" w:cs="Times New Roman"/>
                <w:b w:val="0"/>
                <w:bCs/>
                <w:color w:val="000000" w:themeColor="text1"/>
                <w:sz w:val="24"/>
                <w14:textFill>
                  <w14:solidFill>
                    <w14:schemeClr w14:val="tx1"/>
                  </w14:solidFill>
                </w14:textFill>
              </w:rPr>
              <w:t>cm/s。</w:t>
            </w:r>
          </w:p>
          <w:p w14:paraId="242021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做好清洗线的防泄漏，企业以清洗线为重点做了三重防止跑冒滴漏及对地下水、土壤污染的措施，第一级，对清洗线架空，做到出现跑冒滴漏及时发现；第二，清洗线下方放置托盘，当存在跑冒滴漏时首先由接水托盘进行收集；第三，车间地面做防腐防渗，并设置围堰，防止泄漏液外流。</w:t>
            </w:r>
          </w:p>
          <w:p w14:paraId="365D2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一般防渗区：</w:t>
            </w:r>
          </w:p>
          <w:p w14:paraId="280326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本项目涉及的一般防渗区主要为生产车间、一般固废仓库，参照《一般工业固体废物贮存和填埋污染控制标准》（GB18599-2020）进行建设，基础防渗层为1.0厚粘土层（渗透系数≤10-7cm/s），并进行0.1m的混凝土浇筑。</w:t>
            </w:r>
          </w:p>
          <w:p w14:paraId="31A63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③</w:t>
            </w:r>
            <w:r>
              <w:rPr>
                <w:rFonts w:hint="default" w:ascii="Times New Roman" w:hAnsi="Times New Roman" w:eastAsia="宋体" w:cs="Times New Roman"/>
                <w:b w:val="0"/>
                <w:bCs/>
                <w:color w:val="000000" w:themeColor="text1"/>
                <w:sz w:val="24"/>
                <w14:textFill>
                  <w14:solidFill>
                    <w14:schemeClr w14:val="tx1"/>
                  </w14:solidFill>
                </w14:textFill>
              </w:rPr>
              <w:t>应急响应措施</w:t>
            </w:r>
          </w:p>
          <w:p w14:paraId="713883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制定风险事故应急响应的</w:t>
            </w:r>
            <w:r>
              <w:rPr>
                <w:rFonts w:hint="default" w:ascii="Times New Roman" w:hAnsi="Times New Roman" w:eastAsia="宋体" w:cs="Times New Roman"/>
                <w:b w:val="0"/>
                <w:bCs/>
                <w:color w:val="000000" w:themeColor="text1"/>
                <w:sz w:val="24"/>
                <w:lang w:eastAsia="zh-CN"/>
                <w14:textFill>
                  <w14:solidFill>
                    <w14:schemeClr w14:val="tx1"/>
                  </w14:solidFill>
                </w14:textFill>
              </w:rPr>
              <w:t>目的是</w:t>
            </w:r>
            <w:r>
              <w:rPr>
                <w:rFonts w:hint="default" w:ascii="Times New Roman" w:hAnsi="Times New Roman" w:eastAsia="宋体" w:cs="Times New Roman"/>
                <w:b w:val="0"/>
                <w:bCs/>
                <w:color w:val="000000" w:themeColor="text1"/>
                <w:sz w:val="24"/>
                <w14:textFill>
                  <w14:solidFill>
                    <w14:schemeClr w14:val="tx1"/>
                  </w14:solidFill>
                </w14:textFill>
              </w:rPr>
              <w:t>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处理</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回灌的方法进行处理，并继续跟踪监测地下水的水质状况。</w:t>
            </w:r>
          </w:p>
          <w:p w14:paraId="4E6147C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14:textFill>
                  <w14:solidFill>
                    <w14:schemeClr w14:val="tx1"/>
                  </w14:solidFill>
                </w14:textFill>
              </w:rPr>
              <w:t>地下水、土壤环境影响分析</w:t>
            </w:r>
          </w:p>
          <w:p w14:paraId="7B8DCE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可能对地下水、土壤产生影响的主要区域在生产车间、危废贮存仓库、事故应急池、一般固废仓库，本项目车间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00400125">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六、环境风险</w:t>
            </w:r>
          </w:p>
          <w:p w14:paraId="060834AA">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1、建设项目风险源调查</w:t>
            </w:r>
          </w:p>
          <w:p w14:paraId="7F99830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参照《建设项目环境风险评价技术导则》（HJ169-2018）及其附录B，本项目所涉及的危险物质主要为原辅料中的</w:t>
            </w:r>
            <w:r>
              <w:rPr>
                <w:rFonts w:hint="eastAsia" w:ascii="Times New Roman" w:hAnsi="Times New Roman" w:eastAsia="宋体" w:cs="Times New Roman"/>
                <w:color w:val="000000" w:themeColor="text1"/>
                <w:sz w:val="24"/>
                <w:lang w:val="en-US" w:eastAsia="zh-CN"/>
                <w14:textFill>
                  <w14:solidFill>
                    <w14:schemeClr w14:val="tx1"/>
                  </w14:solidFill>
                </w14:textFill>
              </w:rPr>
              <w:t>铜保护剂、硫酸以及危险废物</w:t>
            </w:r>
            <w:r>
              <w:rPr>
                <w:rFonts w:hint="default" w:ascii="Times New Roman" w:hAnsi="Times New Roman" w:eastAsia="宋体" w:cs="Times New Roman"/>
                <w:color w:val="000000" w:themeColor="text1"/>
                <w:sz w:val="24"/>
                <w14:textFill>
                  <w14:solidFill>
                    <w14:schemeClr w14:val="tx1"/>
                  </w14:solidFill>
                </w14:textFill>
              </w:rPr>
              <w:t>。危险物质危险性识别见下表。</w:t>
            </w:r>
          </w:p>
          <w:p w14:paraId="6FEF5D3A">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w:t>
            </w:r>
            <w:r>
              <w:rPr>
                <w:rFonts w:hint="eastAsia" w:ascii="Times New Roman" w:hAnsi="Times New Roman" w:eastAsia="宋体" w:cs="Times New Roman"/>
                <w:b/>
                <w:color w:val="000000" w:themeColor="text1"/>
                <w:sz w:val="24"/>
                <w:lang w:val="en-US" w:eastAsia="zh-CN"/>
                <w14:textFill>
                  <w14:solidFill>
                    <w14:schemeClr w14:val="tx1"/>
                  </w14:solidFill>
                </w14:textFill>
              </w:rPr>
              <w:t>4-40</w:t>
            </w:r>
            <w:r>
              <w:rPr>
                <w:rFonts w:hint="default" w:ascii="Times New Roman" w:hAnsi="Times New Roman" w:eastAsia="宋体" w:cs="Times New Roman"/>
                <w:b/>
                <w:color w:val="000000" w:themeColor="text1"/>
                <w:sz w:val="24"/>
                <w14:textFill>
                  <w14:solidFill>
                    <w14:schemeClr w14:val="tx1"/>
                  </w14:solidFill>
                </w14:textFill>
              </w:rPr>
              <w:t xml:space="preserve">  危险物质危险性识别表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4"/>
              <w:gridCol w:w="3329"/>
              <w:gridCol w:w="1761"/>
              <w:gridCol w:w="2399"/>
            </w:tblGrid>
            <w:tr w14:paraId="3F4717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vAlign w:val="center"/>
                </w:tcPr>
                <w:p w14:paraId="5E2C180F">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物质类别</w:t>
                  </w:r>
                </w:p>
              </w:tc>
              <w:tc>
                <w:tcPr>
                  <w:tcW w:w="1921" w:type="pct"/>
                  <w:vAlign w:val="center"/>
                </w:tcPr>
                <w:p w14:paraId="6FC3812C">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物质名称</w:t>
                  </w:r>
                </w:p>
              </w:tc>
              <w:tc>
                <w:tcPr>
                  <w:tcW w:w="1016" w:type="pct"/>
                  <w:vAlign w:val="center"/>
                </w:tcPr>
                <w:p w14:paraId="697FCE8A">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毒理性质</w:t>
                  </w:r>
                </w:p>
              </w:tc>
              <w:tc>
                <w:tcPr>
                  <w:tcW w:w="1384" w:type="pct"/>
                  <w:vAlign w:val="center"/>
                </w:tcPr>
                <w:p w14:paraId="737E8B38">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燃爆性质</w:t>
                  </w:r>
                </w:p>
              </w:tc>
            </w:tr>
            <w:tr w14:paraId="090EB1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vMerge w:val="restart"/>
                  <w:vAlign w:val="center"/>
                </w:tcPr>
                <w:p w14:paraId="0DE7C277">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原辅材料</w:t>
                  </w:r>
                </w:p>
              </w:tc>
              <w:tc>
                <w:tcPr>
                  <w:tcW w:w="1921" w:type="pct"/>
                  <w:shd w:val="clear" w:color="auto" w:fill="auto"/>
                  <w:vAlign w:val="center"/>
                </w:tcPr>
                <w:p w14:paraId="06A3740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铜保护剂</w:t>
                  </w:r>
                </w:p>
              </w:tc>
              <w:tc>
                <w:tcPr>
                  <w:tcW w:w="1016" w:type="pct"/>
                  <w:vAlign w:val="center"/>
                </w:tcPr>
                <w:p w14:paraId="57905C06">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1384" w:type="pct"/>
                  <w:vAlign w:val="center"/>
                </w:tcPr>
                <w:p w14:paraId="7E717A5C">
                  <w:pPr>
                    <w:jc w:val="center"/>
                    <w:rPr>
                      <w:rFonts w:hint="eastAsia" w:ascii="Times New Roman" w:hAnsi="Times New Roman" w:cs="Times New Roman" w:eastAsiaTheme="minorEastAsia"/>
                      <w:bCs/>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可燃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燃烧产物为CO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、CO和H</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O</w:t>
                  </w:r>
                  <w:r>
                    <w:rPr>
                      <w:rFonts w:hint="default" w:ascii="Times New Roman" w:hAnsi="Times New Roman" w:eastAsia="宋体" w:cs="Times New Roman"/>
                      <w:color w:val="000000" w:themeColor="text1"/>
                      <w:lang w:eastAsia="zh-CN"/>
                      <w14:textFill>
                        <w14:solidFill>
                          <w14:schemeClr w14:val="tx1"/>
                        </w14:solidFill>
                      </w14:textFill>
                    </w:rPr>
                    <w:t>）</w:t>
                  </w:r>
                </w:p>
              </w:tc>
            </w:tr>
            <w:tr w14:paraId="36F57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vMerge w:val="continue"/>
                  <w:vAlign w:val="center"/>
                </w:tcPr>
                <w:p w14:paraId="6EF76F86">
                  <w:pPr>
                    <w:jc w:val="center"/>
                    <w:rPr>
                      <w:rFonts w:hint="default" w:ascii="Times New Roman" w:hAnsi="Times New Roman" w:eastAsia="宋体" w:cs="Times New Roman"/>
                      <w:bCs/>
                      <w:color w:val="000000" w:themeColor="text1"/>
                      <w14:textFill>
                        <w14:solidFill>
                          <w14:schemeClr w14:val="tx1"/>
                        </w14:solidFill>
                      </w14:textFill>
                    </w:rPr>
                  </w:pPr>
                </w:p>
              </w:tc>
              <w:tc>
                <w:tcPr>
                  <w:tcW w:w="1921" w:type="pct"/>
                  <w:shd w:val="clear" w:color="auto" w:fill="auto"/>
                  <w:vAlign w:val="center"/>
                </w:tcPr>
                <w:p w14:paraId="086AD337">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甲醇</w:t>
                  </w:r>
                </w:p>
              </w:tc>
              <w:tc>
                <w:tcPr>
                  <w:tcW w:w="1016" w:type="pct"/>
                  <w:vAlign w:val="center"/>
                </w:tcPr>
                <w:p w14:paraId="413D613A">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LD50</w:t>
                  </w: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5628mg/kg(大鼠经口)</w:t>
                  </w:r>
                </w:p>
              </w:tc>
              <w:tc>
                <w:tcPr>
                  <w:tcW w:w="1384" w:type="pct"/>
                  <w:vAlign w:val="center"/>
                </w:tcPr>
                <w:p w14:paraId="4433CF17">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易燃易爆</w:t>
                  </w:r>
                </w:p>
              </w:tc>
            </w:tr>
            <w:tr w14:paraId="799AE2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vMerge w:val="continue"/>
                  <w:vAlign w:val="center"/>
                </w:tcPr>
                <w:p w14:paraId="621AF7EA">
                  <w:pPr>
                    <w:jc w:val="center"/>
                    <w:rPr>
                      <w:rFonts w:hint="default" w:ascii="Times New Roman" w:hAnsi="Times New Roman" w:eastAsia="宋体" w:cs="Times New Roman"/>
                      <w:bCs/>
                      <w:color w:val="000000" w:themeColor="text1"/>
                      <w14:textFill>
                        <w14:solidFill>
                          <w14:schemeClr w14:val="tx1"/>
                        </w14:solidFill>
                      </w14:textFill>
                    </w:rPr>
                  </w:pPr>
                </w:p>
              </w:tc>
              <w:tc>
                <w:tcPr>
                  <w:tcW w:w="1921" w:type="pct"/>
                  <w:shd w:val="clear" w:color="auto" w:fill="auto"/>
                  <w:vAlign w:val="center"/>
                </w:tcPr>
                <w:p w14:paraId="05EC230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硫酸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（质量分数98.3%）</w:t>
                  </w:r>
                </w:p>
              </w:tc>
              <w:tc>
                <w:tcPr>
                  <w:tcW w:w="1016" w:type="pct"/>
                  <w:shd w:val="clear" w:color="auto" w:fill="auto"/>
                  <w:vAlign w:val="center"/>
                </w:tcPr>
                <w:p w14:paraId="156E5D58">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LD50：2140mg/kg(大鼠经口)</w:t>
                  </w:r>
                </w:p>
              </w:tc>
              <w:tc>
                <w:tcPr>
                  <w:tcW w:w="1384" w:type="pct"/>
                  <w:shd w:val="clear" w:color="auto" w:fill="auto"/>
                  <w:vAlign w:val="center"/>
                </w:tcPr>
                <w:p w14:paraId="1AB45770">
                  <w:pPr>
                    <w:jc w:val="center"/>
                    <w:rPr>
                      <w:rFonts w:hint="eastAsia"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2"/>
                      <w:lang w:val="en-US" w:eastAsia="zh-CN" w:bidi="ar-SA"/>
                      <w14:textFill>
                        <w14:solidFill>
                          <w14:schemeClr w14:val="tx1"/>
                        </w14:solidFill>
                      </w14:textFill>
                    </w:rPr>
                    <w:t>不燃，无特殊燃爆特性。浓硫酸与可燃物接触易着火燃烧。</w:t>
                  </w:r>
                </w:p>
              </w:tc>
            </w:tr>
            <w:tr w14:paraId="473A13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77" w:type="pct"/>
                  <w:vMerge w:val="continue"/>
                  <w:vAlign w:val="center"/>
                </w:tcPr>
                <w:p w14:paraId="7F67CEC7">
                  <w:pPr>
                    <w:jc w:val="center"/>
                    <w:rPr>
                      <w:rFonts w:hint="default" w:ascii="Times New Roman" w:hAnsi="Times New Roman" w:eastAsia="宋体" w:cs="Times New Roman"/>
                      <w:bCs/>
                      <w:color w:val="000000" w:themeColor="text1"/>
                      <w14:textFill>
                        <w14:solidFill>
                          <w14:schemeClr w14:val="tx1"/>
                        </w14:solidFill>
                      </w14:textFill>
                    </w:rPr>
                  </w:pPr>
                </w:p>
              </w:tc>
              <w:tc>
                <w:tcPr>
                  <w:tcW w:w="1921" w:type="pct"/>
                  <w:shd w:val="clear" w:color="auto" w:fill="auto"/>
                  <w:vAlign w:val="center"/>
                </w:tcPr>
                <w:p w14:paraId="25A2000A">
                  <w:pPr>
                    <w:keepNext w:val="0"/>
                    <w:keepLines w:val="0"/>
                    <w:widowControl/>
                    <w:suppressLineNumbers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润滑油</w:t>
                  </w:r>
                </w:p>
              </w:tc>
              <w:tc>
                <w:tcPr>
                  <w:tcW w:w="1016" w:type="pct"/>
                  <w:shd w:val="clear" w:color="auto" w:fill="auto"/>
                  <w:vAlign w:val="center"/>
                </w:tcPr>
                <w:p w14:paraId="00E3D3C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84" w:type="pct"/>
                  <w:shd w:val="clear" w:color="auto" w:fill="auto"/>
                  <w:vAlign w:val="center"/>
                </w:tcPr>
                <w:p w14:paraId="556D04CC">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易燃</w:t>
                  </w:r>
                </w:p>
              </w:tc>
            </w:tr>
            <w:tr w14:paraId="1B8A0C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77" w:type="pct"/>
                  <w:vMerge w:val="continue"/>
                  <w:vAlign w:val="center"/>
                </w:tcPr>
                <w:p w14:paraId="7CC9B7C5">
                  <w:pPr>
                    <w:jc w:val="center"/>
                    <w:rPr>
                      <w:rFonts w:hint="default" w:ascii="Times New Roman" w:hAnsi="Times New Roman" w:eastAsia="宋体" w:cs="Times New Roman"/>
                      <w:bCs/>
                      <w:color w:val="000000" w:themeColor="text1"/>
                      <w14:textFill>
                        <w14:solidFill>
                          <w14:schemeClr w14:val="tx1"/>
                        </w14:solidFill>
                      </w14:textFill>
                    </w:rPr>
                  </w:pPr>
                </w:p>
              </w:tc>
              <w:tc>
                <w:tcPr>
                  <w:tcW w:w="1921" w:type="pct"/>
                  <w:shd w:val="clear" w:color="auto" w:fill="auto"/>
                  <w:vAlign w:val="center"/>
                </w:tcPr>
                <w:p w14:paraId="2A9D6F2B">
                  <w:pPr>
                    <w:keepNext w:val="0"/>
                    <w:keepLines w:val="0"/>
                    <w:widowControl/>
                    <w:suppressLineNumbers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磨削液</w:t>
                  </w:r>
                </w:p>
              </w:tc>
              <w:tc>
                <w:tcPr>
                  <w:tcW w:w="1016" w:type="pct"/>
                  <w:shd w:val="clear" w:color="auto" w:fill="auto"/>
                  <w:vAlign w:val="center"/>
                </w:tcPr>
                <w:p w14:paraId="6D19E55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84" w:type="pct"/>
                  <w:shd w:val="clear" w:color="auto" w:fill="auto"/>
                  <w:vAlign w:val="center"/>
                </w:tcPr>
                <w:p w14:paraId="3D22BF1D">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可燃</w:t>
                  </w:r>
                </w:p>
              </w:tc>
            </w:tr>
            <w:tr w14:paraId="748DFD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77" w:type="pct"/>
                  <w:vMerge w:val="continue"/>
                  <w:vAlign w:val="center"/>
                </w:tcPr>
                <w:p w14:paraId="6F74F9E2">
                  <w:pPr>
                    <w:jc w:val="center"/>
                    <w:rPr>
                      <w:rFonts w:hint="default" w:ascii="Times New Roman" w:hAnsi="Times New Roman" w:eastAsia="宋体" w:cs="Times New Roman"/>
                      <w:bCs/>
                      <w:color w:val="000000" w:themeColor="text1"/>
                      <w14:textFill>
                        <w14:solidFill>
                          <w14:schemeClr w14:val="tx1"/>
                        </w14:solidFill>
                      </w14:textFill>
                    </w:rPr>
                  </w:pPr>
                </w:p>
              </w:tc>
              <w:tc>
                <w:tcPr>
                  <w:tcW w:w="1921" w:type="pct"/>
                  <w:shd w:val="clear" w:color="auto" w:fill="auto"/>
                  <w:vAlign w:val="center"/>
                </w:tcPr>
                <w:p w14:paraId="58A1640A">
                  <w:pPr>
                    <w:keepNext w:val="0"/>
                    <w:keepLines w:val="0"/>
                    <w:widowControl/>
                    <w:suppressLineNumbers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氢氧化钠</w:t>
                  </w:r>
                </w:p>
              </w:tc>
              <w:tc>
                <w:tcPr>
                  <w:tcW w:w="1016" w:type="pct"/>
                  <w:shd w:val="clear" w:color="auto" w:fill="auto"/>
                  <w:vAlign w:val="center"/>
                </w:tcPr>
                <w:p w14:paraId="22AAF80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84" w:type="pct"/>
                  <w:shd w:val="clear" w:color="auto" w:fill="auto"/>
                  <w:vAlign w:val="center"/>
                </w:tcPr>
                <w:p w14:paraId="15930ADD">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不燃</w:t>
                  </w:r>
                </w:p>
              </w:tc>
            </w:tr>
            <w:tr w14:paraId="501CEB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vAlign w:val="center"/>
                </w:tcPr>
                <w:p w14:paraId="16C49321">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危险废物</w:t>
                  </w:r>
                </w:p>
              </w:tc>
              <w:tc>
                <w:tcPr>
                  <w:tcW w:w="1921" w:type="pct"/>
                  <w:vAlign w:val="center"/>
                </w:tcPr>
                <w:p w14:paraId="3166E8CF">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废磨削液、含油废屑、电解除油废液、酸洗废液、铜保护废液、废含油抹布、废活性炭、污泥、浓水、污水处理站耗材、废包装材料等</w:t>
                  </w:r>
                </w:p>
              </w:tc>
              <w:tc>
                <w:tcPr>
                  <w:tcW w:w="1016" w:type="pct"/>
                  <w:vAlign w:val="center"/>
                </w:tcPr>
                <w:p w14:paraId="196658C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84" w:type="pct"/>
                  <w:shd w:val="clear" w:color="auto" w:fill="auto"/>
                  <w:vAlign w:val="center"/>
                </w:tcPr>
                <w:p w14:paraId="3CB2437F">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部分可燃</w:t>
                  </w:r>
                </w:p>
              </w:tc>
            </w:tr>
          </w:tbl>
          <w:p w14:paraId="43C24326">
            <w:pPr>
              <w:spacing w:before="156" w:beforeLines="50"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2、危险物质数量与临界量比值</w:t>
            </w:r>
          </w:p>
          <w:p w14:paraId="50279B1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参照《建设项目环境风险评价技术导则》（HJ169-2018）附录C，计算所涉及的每种危险物质在厂界内的最大存在总量与其在附录B中对应临界量的比值Q。</w:t>
            </w:r>
          </w:p>
          <w:p w14:paraId="0F0FAC4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当存在多种危险物质时，使用以下公式计算物质总量与临界量的比值Q：</w:t>
            </w:r>
          </w:p>
          <w:p w14:paraId="691B85ED">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4"/>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2AFA6FAB">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式中：</w:t>
            </w:r>
          </w:p>
          <w:p w14:paraId="3124A2FC">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q</w:t>
            </w:r>
            <w:r>
              <w:rPr>
                <w:rFonts w:hint="default" w:ascii="Times New Roman" w:hAnsi="Times New Roman" w:eastAsia="宋体" w:cs="Times New Roman"/>
                <w:bCs/>
                <w:color w:val="000000" w:themeColor="text1"/>
                <w:sz w:val="24"/>
                <w:vertAlign w:val="subscript"/>
                <w14:textFill>
                  <w14:solidFill>
                    <w14:schemeClr w14:val="tx1"/>
                  </w14:solidFill>
                </w14:textFill>
              </w:rPr>
              <w:t>1</w:t>
            </w:r>
            <w:r>
              <w:rPr>
                <w:rFonts w:hint="default" w:ascii="Times New Roman" w:hAnsi="Times New Roman" w:eastAsia="宋体" w:cs="Times New Roman"/>
                <w:bCs/>
                <w:color w:val="000000" w:themeColor="text1"/>
                <w:sz w:val="24"/>
                <w14:textFill>
                  <w14:solidFill>
                    <w14:schemeClr w14:val="tx1"/>
                  </w14:solidFill>
                </w14:textFill>
              </w:rPr>
              <w:t>，q</w:t>
            </w:r>
            <w:r>
              <w:rPr>
                <w:rFonts w:hint="default" w:ascii="Times New Roman" w:hAnsi="Times New Roman" w:eastAsia="宋体" w:cs="Times New Roman"/>
                <w:bCs/>
                <w:color w:val="000000" w:themeColor="text1"/>
                <w:sz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14:textFill>
                  <w14:solidFill>
                    <w14:schemeClr w14:val="tx1"/>
                  </w14:solidFill>
                </w14:textFill>
              </w:rPr>
              <w:t>，...，q</w:t>
            </w:r>
            <w:r>
              <w:rPr>
                <w:rFonts w:hint="default" w:ascii="Times New Roman" w:hAnsi="Times New Roman" w:eastAsia="宋体" w:cs="Times New Roman"/>
                <w:bCs/>
                <w:color w:val="000000" w:themeColor="text1"/>
                <w:sz w:val="24"/>
                <w:vertAlign w:val="subscript"/>
                <w14:textFill>
                  <w14:solidFill>
                    <w14:schemeClr w14:val="tx1"/>
                  </w14:solidFill>
                </w14:textFill>
              </w:rPr>
              <w:t>n</w:t>
            </w:r>
            <w:r>
              <w:rPr>
                <w:rFonts w:hint="default" w:ascii="Times New Roman" w:hAnsi="Times New Roman" w:eastAsia="宋体" w:cs="Times New Roman"/>
                <w:bCs/>
                <w:color w:val="000000" w:themeColor="text1"/>
                <w:sz w:val="24"/>
                <w14:textFill>
                  <w14:solidFill>
                    <w14:schemeClr w14:val="tx1"/>
                  </w14:solidFill>
                </w14:textFill>
              </w:rPr>
              <w:t>——每种危险物质的最大存在总量，t；</w:t>
            </w:r>
          </w:p>
          <w:p w14:paraId="39492416">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Q</w:t>
            </w:r>
            <w:r>
              <w:rPr>
                <w:rFonts w:hint="default" w:ascii="Times New Roman" w:hAnsi="Times New Roman" w:eastAsia="宋体" w:cs="Times New Roman"/>
                <w:bCs/>
                <w:color w:val="000000" w:themeColor="text1"/>
                <w:sz w:val="24"/>
                <w:vertAlign w:val="subscript"/>
                <w14:textFill>
                  <w14:solidFill>
                    <w14:schemeClr w14:val="tx1"/>
                  </w14:solidFill>
                </w14:textFill>
              </w:rPr>
              <w:t>1</w:t>
            </w:r>
            <w:r>
              <w:rPr>
                <w:rFonts w:hint="default" w:ascii="Times New Roman" w:hAnsi="Times New Roman" w:eastAsia="宋体" w:cs="Times New Roman"/>
                <w:bCs/>
                <w:color w:val="000000" w:themeColor="text1"/>
                <w:sz w:val="24"/>
                <w14:textFill>
                  <w14:solidFill>
                    <w14:schemeClr w14:val="tx1"/>
                  </w14:solidFill>
                </w14:textFill>
              </w:rPr>
              <w:t>，Q</w:t>
            </w:r>
            <w:r>
              <w:rPr>
                <w:rFonts w:hint="default" w:ascii="Times New Roman" w:hAnsi="Times New Roman" w:eastAsia="宋体" w:cs="Times New Roman"/>
                <w:bCs/>
                <w:color w:val="000000" w:themeColor="text1"/>
                <w:sz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14:textFill>
                  <w14:solidFill>
                    <w14:schemeClr w14:val="tx1"/>
                  </w14:solidFill>
                </w14:textFill>
              </w:rPr>
              <w:t>，...，Q</w:t>
            </w:r>
            <w:r>
              <w:rPr>
                <w:rFonts w:hint="default" w:ascii="Times New Roman" w:hAnsi="Times New Roman" w:eastAsia="宋体" w:cs="Times New Roman"/>
                <w:bCs/>
                <w:color w:val="000000" w:themeColor="text1"/>
                <w:sz w:val="24"/>
                <w:vertAlign w:val="subscript"/>
                <w14:textFill>
                  <w14:solidFill>
                    <w14:schemeClr w14:val="tx1"/>
                  </w14:solidFill>
                </w14:textFill>
              </w:rPr>
              <w:t>n</w:t>
            </w:r>
            <w:r>
              <w:rPr>
                <w:rFonts w:hint="default" w:ascii="Times New Roman" w:hAnsi="Times New Roman" w:eastAsia="宋体" w:cs="Times New Roman"/>
                <w:bCs/>
                <w:color w:val="000000" w:themeColor="text1"/>
                <w:sz w:val="24"/>
                <w14:textFill>
                  <w14:solidFill>
                    <w14:schemeClr w14:val="tx1"/>
                  </w14:solidFill>
                </w14:textFill>
              </w:rPr>
              <w:t>——每种危险物质的临界量，t。</w:t>
            </w:r>
          </w:p>
          <w:p w14:paraId="162C58C9">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当Q＜1时，该项目环境风险潜势为Ⅰ。</w:t>
            </w:r>
          </w:p>
          <w:p w14:paraId="4ED74A75">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当Q≥1时，将Q值划分为：（1）1≤Q＜10；（2）10≤Q＜100；（3）Q≥100。</w:t>
            </w:r>
          </w:p>
          <w:p w14:paraId="0CE101A9">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本项目Q值计算结果见下表。</w:t>
            </w:r>
          </w:p>
          <w:p w14:paraId="0301403C">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w:t>
            </w:r>
            <w:r>
              <w:rPr>
                <w:rFonts w:hint="eastAsia" w:ascii="Times New Roman" w:hAnsi="Times New Roman" w:eastAsia="宋体" w:cs="Times New Roman"/>
                <w:b/>
                <w:bCs/>
                <w:color w:val="000000" w:themeColor="text1"/>
                <w:sz w:val="24"/>
                <w:lang w:val="en-US" w:eastAsia="zh-CN"/>
                <w14:textFill>
                  <w14:solidFill>
                    <w14:schemeClr w14:val="tx1"/>
                  </w14:solidFill>
                </w14:textFill>
              </w:rPr>
              <w:t>-41</w:t>
            </w:r>
            <w:r>
              <w:rPr>
                <w:rFonts w:hint="default" w:ascii="Times New Roman" w:hAnsi="Times New Roman" w:eastAsia="宋体" w:cs="Times New Roman"/>
                <w:b/>
                <w:bCs/>
                <w:color w:val="000000" w:themeColor="text1"/>
                <w:sz w:val="24"/>
                <w14:textFill>
                  <w14:solidFill>
                    <w14:schemeClr w14:val="tx1"/>
                  </w14:solidFill>
                </w14:textFill>
              </w:rPr>
              <w:t xml:space="preserve">  危险物质数量与临界量比值结果表</w:t>
            </w:r>
          </w:p>
          <w:tbl>
            <w:tblPr>
              <w:tblStyle w:val="28"/>
              <w:tblW w:w="48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96"/>
              <w:gridCol w:w="1568"/>
              <w:gridCol w:w="1439"/>
              <w:gridCol w:w="2748"/>
              <w:gridCol w:w="1034"/>
            </w:tblGrid>
            <w:tr w14:paraId="4A4601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vAlign w:val="center"/>
                </w:tcPr>
                <w:p w14:paraId="1D2B1DB6">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危险物质名称</w:t>
                  </w:r>
                </w:p>
              </w:tc>
              <w:tc>
                <w:tcPr>
                  <w:tcW w:w="923" w:type="pct"/>
                  <w:vAlign w:val="center"/>
                </w:tcPr>
                <w:p w14:paraId="7F35DBAE">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最大</w:t>
                  </w:r>
                  <w:r>
                    <w:rPr>
                      <w:rFonts w:hint="eastAsia" w:ascii="Times New Roman" w:hAnsi="Times New Roman" w:eastAsia="宋体" w:cs="Times New Roman"/>
                      <w:b/>
                      <w:bCs/>
                      <w:color w:val="000000" w:themeColor="text1"/>
                      <w:lang w:val="en-US" w:eastAsia="zh-CN"/>
                      <w14:textFill>
                        <w14:solidFill>
                          <w14:schemeClr w14:val="tx1"/>
                        </w14:solidFill>
                      </w14:textFill>
                    </w:rPr>
                    <w:t>存在</w:t>
                  </w:r>
                  <w:r>
                    <w:rPr>
                      <w:rFonts w:hint="default" w:ascii="Times New Roman" w:hAnsi="Times New Roman" w:eastAsia="宋体" w:cs="Times New Roman"/>
                      <w:b/>
                      <w:bCs/>
                      <w:color w:val="000000" w:themeColor="text1"/>
                      <w14:textFill>
                        <w14:solidFill>
                          <w14:schemeClr w14:val="tx1"/>
                        </w14:solidFill>
                      </w14:textFill>
                    </w:rPr>
                    <w:t>量 t</w:t>
                  </w:r>
                </w:p>
              </w:tc>
              <w:tc>
                <w:tcPr>
                  <w:tcW w:w="847" w:type="pct"/>
                  <w:vAlign w:val="center"/>
                </w:tcPr>
                <w:p w14:paraId="4C73B841">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临界量 t</w:t>
                  </w:r>
                </w:p>
              </w:tc>
              <w:tc>
                <w:tcPr>
                  <w:tcW w:w="1619" w:type="pct"/>
                  <w:vAlign w:val="center"/>
                </w:tcPr>
                <w:p w14:paraId="0DD71E46">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临界量依据</w:t>
                  </w:r>
                </w:p>
              </w:tc>
              <w:tc>
                <w:tcPr>
                  <w:tcW w:w="609" w:type="pct"/>
                  <w:vAlign w:val="center"/>
                </w:tcPr>
                <w:p w14:paraId="17E56AF8">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q/Q</w:t>
                  </w:r>
                </w:p>
              </w:tc>
            </w:tr>
            <w:tr w14:paraId="59C842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6D93572D">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铜保护剂</w:t>
                  </w:r>
                </w:p>
              </w:tc>
              <w:tc>
                <w:tcPr>
                  <w:tcW w:w="923" w:type="pct"/>
                  <w:shd w:val="clear" w:color="auto" w:fill="auto"/>
                  <w:vAlign w:val="center"/>
                </w:tcPr>
                <w:p w14:paraId="4A4D5AFA">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0.45</w:t>
                  </w:r>
                </w:p>
              </w:tc>
              <w:tc>
                <w:tcPr>
                  <w:tcW w:w="847" w:type="pct"/>
                  <w:vAlign w:val="center"/>
                </w:tcPr>
                <w:p w14:paraId="3DFE04FF">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1</w:t>
                  </w:r>
                  <w:r>
                    <w:rPr>
                      <w:rFonts w:hint="default" w:ascii="Times New Roman" w:hAnsi="Times New Roman" w:eastAsia="宋体" w:cs="Times New Roman"/>
                      <w:bCs/>
                      <w:color w:val="000000" w:themeColor="text1"/>
                      <w14:textFill>
                        <w14:solidFill>
                          <w14:schemeClr w14:val="tx1"/>
                        </w14:solidFill>
                      </w14:textFill>
                    </w:rPr>
                    <w:t>0</w:t>
                  </w:r>
                </w:p>
              </w:tc>
              <w:tc>
                <w:tcPr>
                  <w:tcW w:w="1619" w:type="pct"/>
                  <w:vAlign w:val="center"/>
                </w:tcPr>
                <w:p w14:paraId="5E6599B7">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附录B.1</w:t>
                  </w:r>
                  <w:r>
                    <w:rPr>
                      <w:rFonts w:hint="eastAsia" w:ascii="Times New Roman" w:hAnsi="Times New Roman" w:eastAsia="宋体" w:cs="Times New Roman"/>
                      <w:bCs/>
                      <w:color w:val="000000" w:themeColor="text1"/>
                      <w:lang w:val="en-US" w:eastAsia="zh-CN"/>
                      <w14:textFill>
                        <w14:solidFill>
                          <w14:schemeClr w14:val="tx1"/>
                        </w14:solidFill>
                      </w14:textFill>
                    </w:rPr>
                    <w:t>甲醇</w:t>
                  </w:r>
                </w:p>
              </w:tc>
              <w:tc>
                <w:tcPr>
                  <w:tcW w:w="609" w:type="pct"/>
                  <w:tcBorders>
                    <w:top w:val="nil"/>
                    <w:left w:val="nil"/>
                    <w:bottom w:val="single" w:color="auto" w:sz="8" w:space="0"/>
                    <w:right w:val="nil"/>
                  </w:tcBorders>
                  <w:shd w:val="clear" w:color="auto" w:fill="auto"/>
                  <w:vAlign w:val="center"/>
                </w:tcPr>
                <w:p w14:paraId="2E303CF0">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0.045</w:t>
                  </w:r>
                </w:p>
              </w:tc>
            </w:tr>
            <w:tr w14:paraId="33B09C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727F38A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硫酸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（质量分数98.3%）</w:t>
                  </w:r>
                </w:p>
              </w:tc>
              <w:tc>
                <w:tcPr>
                  <w:tcW w:w="923" w:type="pct"/>
                  <w:shd w:val="clear" w:color="auto" w:fill="auto"/>
                  <w:vAlign w:val="center"/>
                </w:tcPr>
                <w:p w14:paraId="5D64C6AD">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0.506*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98.3%</w:t>
                  </w:r>
                </w:p>
              </w:tc>
              <w:tc>
                <w:tcPr>
                  <w:tcW w:w="847" w:type="pct"/>
                  <w:vAlign w:val="center"/>
                </w:tcPr>
                <w:p w14:paraId="1B81A2A6">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10</w:t>
                  </w:r>
                </w:p>
              </w:tc>
              <w:tc>
                <w:tcPr>
                  <w:tcW w:w="1619" w:type="pct"/>
                  <w:vAlign w:val="center"/>
                </w:tcPr>
                <w:p w14:paraId="57525B78">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附录B.1</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硫酸</w:t>
                  </w:r>
                </w:p>
              </w:tc>
              <w:tc>
                <w:tcPr>
                  <w:tcW w:w="609" w:type="pct"/>
                  <w:tcBorders>
                    <w:top w:val="nil"/>
                    <w:left w:val="nil"/>
                    <w:bottom w:val="single" w:color="auto" w:sz="8" w:space="0"/>
                    <w:right w:val="nil"/>
                  </w:tcBorders>
                  <w:shd w:val="clear" w:color="auto" w:fill="auto"/>
                  <w:vAlign w:val="center"/>
                </w:tcPr>
                <w:p w14:paraId="725DB5C2">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0.04975</w:t>
                  </w:r>
                </w:p>
              </w:tc>
            </w:tr>
            <w:tr w14:paraId="03C656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3DB5EE1B">
                  <w:pPr>
                    <w:keepNext w:val="0"/>
                    <w:keepLines w:val="0"/>
                    <w:widowControl/>
                    <w:suppressLineNumbers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润滑油</w:t>
                  </w:r>
                </w:p>
              </w:tc>
              <w:tc>
                <w:tcPr>
                  <w:tcW w:w="923" w:type="pct"/>
                  <w:shd w:val="clear" w:color="auto" w:fill="auto"/>
                  <w:vAlign w:val="center"/>
                </w:tcPr>
                <w:p w14:paraId="159CB707">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w:t>
                  </w:r>
                </w:p>
              </w:tc>
              <w:tc>
                <w:tcPr>
                  <w:tcW w:w="847" w:type="pct"/>
                  <w:vAlign w:val="center"/>
                </w:tcPr>
                <w:p w14:paraId="32916B05">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2500</w:t>
                  </w:r>
                </w:p>
              </w:tc>
              <w:tc>
                <w:tcPr>
                  <w:tcW w:w="1619" w:type="pct"/>
                  <w:vAlign w:val="center"/>
                </w:tcPr>
                <w:p w14:paraId="75939D5D">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附录B.1油类物质</w:t>
                  </w:r>
                </w:p>
              </w:tc>
              <w:tc>
                <w:tcPr>
                  <w:tcW w:w="609" w:type="pct"/>
                  <w:tcBorders>
                    <w:top w:val="nil"/>
                    <w:left w:val="nil"/>
                    <w:bottom w:val="single" w:color="auto" w:sz="8" w:space="0"/>
                    <w:right w:val="nil"/>
                  </w:tcBorders>
                  <w:shd w:val="clear" w:color="auto" w:fill="auto"/>
                  <w:vAlign w:val="center"/>
                </w:tcPr>
                <w:p w14:paraId="63434294">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0.00002</w:t>
                  </w:r>
                </w:p>
              </w:tc>
            </w:tr>
            <w:tr w14:paraId="3FA797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6DD7C645">
                  <w:pPr>
                    <w:keepNext w:val="0"/>
                    <w:keepLines w:val="0"/>
                    <w:widowControl/>
                    <w:suppressLineNumbers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磨削液</w:t>
                  </w:r>
                </w:p>
              </w:tc>
              <w:tc>
                <w:tcPr>
                  <w:tcW w:w="923" w:type="pct"/>
                  <w:shd w:val="clear" w:color="auto" w:fill="auto"/>
                  <w:vAlign w:val="center"/>
                </w:tcPr>
                <w:p w14:paraId="0BAE67DC">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0.05</w:t>
                  </w:r>
                </w:p>
              </w:tc>
              <w:tc>
                <w:tcPr>
                  <w:tcW w:w="847" w:type="pct"/>
                  <w:vAlign w:val="center"/>
                </w:tcPr>
                <w:p w14:paraId="5F0181B5">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2500</w:t>
                  </w:r>
                </w:p>
              </w:tc>
              <w:tc>
                <w:tcPr>
                  <w:tcW w:w="1619" w:type="pct"/>
                  <w:vAlign w:val="center"/>
                </w:tcPr>
                <w:p w14:paraId="0A0BC605">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附录B.1油类物质</w:t>
                  </w:r>
                </w:p>
              </w:tc>
              <w:tc>
                <w:tcPr>
                  <w:tcW w:w="609" w:type="pct"/>
                  <w:tcBorders>
                    <w:top w:val="nil"/>
                    <w:left w:val="nil"/>
                    <w:bottom w:val="single" w:color="auto" w:sz="8" w:space="0"/>
                    <w:right w:val="nil"/>
                  </w:tcBorders>
                  <w:shd w:val="clear" w:color="auto" w:fill="auto"/>
                  <w:vAlign w:val="center"/>
                </w:tcPr>
                <w:p w14:paraId="4CE8ED5D">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0.00002</w:t>
                  </w:r>
                </w:p>
              </w:tc>
            </w:tr>
            <w:tr w14:paraId="09152F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3C435FA0">
                  <w:pPr>
                    <w:keepNext w:val="0"/>
                    <w:keepLines w:val="0"/>
                    <w:widowControl/>
                    <w:suppressLineNumbers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氢氧化钠</w:t>
                  </w:r>
                </w:p>
              </w:tc>
              <w:tc>
                <w:tcPr>
                  <w:tcW w:w="923" w:type="pct"/>
                  <w:shd w:val="clear" w:color="auto" w:fill="auto"/>
                  <w:vAlign w:val="center"/>
                </w:tcPr>
                <w:p w14:paraId="3E77472C">
                  <w:pPr>
                    <w:pStyle w:val="5"/>
                    <w:bidi w:val="0"/>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0.025</w:t>
                  </w:r>
                </w:p>
              </w:tc>
              <w:tc>
                <w:tcPr>
                  <w:tcW w:w="847" w:type="pct"/>
                  <w:vAlign w:val="center"/>
                </w:tcPr>
                <w:p w14:paraId="689F104F">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50</w:t>
                  </w:r>
                </w:p>
              </w:tc>
              <w:tc>
                <w:tcPr>
                  <w:tcW w:w="1619" w:type="pct"/>
                  <w:vAlign w:val="center"/>
                </w:tcPr>
                <w:p w14:paraId="45EBE1BB">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1720A59A">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0.0005</w:t>
                  </w:r>
                </w:p>
              </w:tc>
            </w:tr>
            <w:tr w14:paraId="4A718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102112F9">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923" w:type="pct"/>
                  <w:shd w:val="clear" w:color="auto" w:fill="auto"/>
                  <w:vAlign w:val="center"/>
                </w:tcPr>
                <w:p w14:paraId="7B284A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w:t>
                  </w:r>
                </w:p>
              </w:tc>
              <w:tc>
                <w:tcPr>
                  <w:tcW w:w="847" w:type="pct"/>
                  <w:shd w:val="clear" w:color="auto" w:fill="auto"/>
                  <w:vAlign w:val="center"/>
                </w:tcPr>
                <w:p w14:paraId="2D16AAC8">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6A862133">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178189B0">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0.0022</w:t>
                  </w:r>
                </w:p>
              </w:tc>
            </w:tr>
            <w:tr w14:paraId="1FC94E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268D0C25">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含油废屑</w:t>
                  </w:r>
                </w:p>
              </w:tc>
              <w:tc>
                <w:tcPr>
                  <w:tcW w:w="923" w:type="pct"/>
                  <w:shd w:val="clear" w:color="auto" w:fill="auto"/>
                  <w:vAlign w:val="center"/>
                </w:tcPr>
                <w:p w14:paraId="25967C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0.005</w:t>
                  </w:r>
                </w:p>
              </w:tc>
              <w:tc>
                <w:tcPr>
                  <w:tcW w:w="847" w:type="pct"/>
                  <w:shd w:val="clear" w:color="auto" w:fill="auto"/>
                  <w:vAlign w:val="center"/>
                </w:tcPr>
                <w:p w14:paraId="14B5FDB0">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4C086ED4">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132A671F">
                  <w:pPr>
                    <w:jc w:val="center"/>
                    <w:rPr>
                      <w:rFonts w:hint="eastAsia"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0.0001</w:t>
                  </w:r>
                </w:p>
              </w:tc>
            </w:tr>
            <w:tr w14:paraId="2AC225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48B5086B">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923" w:type="pct"/>
                  <w:shd w:val="clear" w:color="auto" w:fill="auto"/>
                  <w:vAlign w:val="center"/>
                </w:tcPr>
                <w:p w14:paraId="4D9260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4.95</w:t>
                  </w:r>
                </w:p>
              </w:tc>
              <w:tc>
                <w:tcPr>
                  <w:tcW w:w="847" w:type="pct"/>
                  <w:shd w:val="clear" w:color="auto" w:fill="auto"/>
                  <w:vAlign w:val="center"/>
                </w:tcPr>
                <w:p w14:paraId="6C96749E">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211B88B3">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39B7DD2B">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0.099</w:t>
                  </w:r>
                </w:p>
              </w:tc>
            </w:tr>
            <w:tr w14:paraId="24FE1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30C40E3A">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923" w:type="pct"/>
                  <w:shd w:val="clear" w:color="auto" w:fill="auto"/>
                  <w:vAlign w:val="center"/>
                </w:tcPr>
                <w:p w14:paraId="2CD5E78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847" w:type="pct"/>
                  <w:shd w:val="clear" w:color="auto" w:fill="auto"/>
                  <w:vAlign w:val="center"/>
                </w:tcPr>
                <w:p w14:paraId="0DFBB545">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10</w:t>
                  </w:r>
                </w:p>
              </w:tc>
              <w:tc>
                <w:tcPr>
                  <w:tcW w:w="1619" w:type="pct"/>
                  <w:shd w:val="clear" w:color="auto" w:fill="auto"/>
                  <w:vAlign w:val="center"/>
                </w:tcPr>
                <w:p w14:paraId="5CEADE1A">
                  <w:pPr>
                    <w:jc w:val="center"/>
                    <w:rPr>
                      <w:rFonts w:hint="default" w:ascii="Times New Roman" w:hAnsi="Times New Roman" w:eastAsia="宋体" w:cs="Times New Roman"/>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附录B.1</w:t>
                  </w:r>
                  <w:r>
                    <w:rPr>
                      <w:rFonts w:hint="default" w:ascii="Times New Roman" w:hAnsi="Times New Roman" w:eastAsia="宋体" w:cs="Times New Roman"/>
                      <w:color w:val="000000" w:themeColor="text1"/>
                      <w:kern w:val="1"/>
                      <w:szCs w:val="21"/>
                      <w:lang w:val="en-US" w:eastAsia="zh-CN"/>
                      <w14:textFill>
                        <w14:solidFill>
                          <w14:schemeClr w14:val="tx1"/>
                        </w14:solidFill>
                      </w14:textFill>
                    </w:rPr>
                    <w:t>硫酸</w:t>
                  </w:r>
                </w:p>
              </w:tc>
              <w:tc>
                <w:tcPr>
                  <w:tcW w:w="609" w:type="pct"/>
                  <w:tcBorders>
                    <w:top w:val="nil"/>
                    <w:left w:val="nil"/>
                    <w:bottom w:val="single" w:color="auto" w:sz="8" w:space="0"/>
                    <w:right w:val="nil"/>
                  </w:tcBorders>
                  <w:shd w:val="clear" w:color="auto" w:fill="auto"/>
                  <w:vAlign w:val="center"/>
                </w:tcPr>
                <w:p w14:paraId="4B9DF365">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0.17</w:t>
                  </w:r>
                </w:p>
              </w:tc>
            </w:tr>
            <w:tr w14:paraId="7C6E7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37C8E3E4">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923" w:type="pct"/>
                  <w:shd w:val="clear" w:color="auto" w:fill="auto"/>
                  <w:vAlign w:val="center"/>
                </w:tcPr>
                <w:p w14:paraId="55EFAA3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4.32</w:t>
                  </w:r>
                </w:p>
              </w:tc>
              <w:tc>
                <w:tcPr>
                  <w:tcW w:w="847" w:type="pct"/>
                  <w:shd w:val="clear" w:color="auto" w:fill="auto"/>
                  <w:vAlign w:val="center"/>
                </w:tcPr>
                <w:p w14:paraId="5ACF3B5E">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6F62F3ED">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48A010A6">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0.0864</w:t>
                  </w:r>
                </w:p>
              </w:tc>
            </w:tr>
            <w:tr w14:paraId="3D42A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6AF63DC8">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923" w:type="pct"/>
                  <w:shd w:val="clear" w:color="auto" w:fill="auto"/>
                  <w:vAlign w:val="center"/>
                </w:tcPr>
                <w:p w14:paraId="4327B8B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0.005</w:t>
                  </w:r>
                </w:p>
              </w:tc>
              <w:tc>
                <w:tcPr>
                  <w:tcW w:w="847" w:type="pct"/>
                  <w:shd w:val="clear" w:color="auto" w:fill="auto"/>
                  <w:vAlign w:val="center"/>
                </w:tcPr>
                <w:p w14:paraId="4648788C">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1112C548">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4ECF236C">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0.0001</w:t>
                  </w:r>
                </w:p>
              </w:tc>
            </w:tr>
            <w:tr w14:paraId="48D6C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439F056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923" w:type="pct"/>
                  <w:shd w:val="clear" w:color="auto" w:fill="auto"/>
                  <w:vAlign w:val="center"/>
                </w:tcPr>
                <w:p w14:paraId="4280C15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0.765</w:t>
                  </w:r>
                </w:p>
              </w:tc>
              <w:tc>
                <w:tcPr>
                  <w:tcW w:w="847" w:type="pct"/>
                  <w:shd w:val="clear" w:color="auto" w:fill="auto"/>
                  <w:vAlign w:val="center"/>
                </w:tcPr>
                <w:p w14:paraId="1BC7D3EB">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14A47FA4">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66647C67">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0.0153</w:t>
                  </w:r>
                </w:p>
              </w:tc>
            </w:tr>
            <w:tr w14:paraId="346EF4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191844F0">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923" w:type="pct"/>
                  <w:shd w:val="clear" w:color="auto" w:fill="auto"/>
                  <w:vAlign w:val="center"/>
                </w:tcPr>
                <w:p w14:paraId="298329E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847" w:type="pct"/>
                  <w:shd w:val="clear" w:color="auto" w:fill="auto"/>
                  <w:vAlign w:val="center"/>
                </w:tcPr>
                <w:p w14:paraId="359BCE68">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368E1943">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3254F012">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0.01</w:t>
                  </w:r>
                </w:p>
              </w:tc>
            </w:tr>
            <w:tr w14:paraId="5A076E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06A0B61E">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923" w:type="pct"/>
                  <w:shd w:val="clear" w:color="auto" w:fill="auto"/>
                  <w:vAlign w:val="center"/>
                </w:tcPr>
                <w:p w14:paraId="3BC1393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12.5</w:t>
                  </w:r>
                </w:p>
              </w:tc>
              <w:tc>
                <w:tcPr>
                  <w:tcW w:w="847" w:type="pct"/>
                  <w:shd w:val="clear" w:color="auto" w:fill="auto"/>
                  <w:vAlign w:val="center"/>
                </w:tcPr>
                <w:p w14:paraId="131A4B8E">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5F4844DB">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10F304B9">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0.25</w:t>
                  </w:r>
                </w:p>
              </w:tc>
            </w:tr>
            <w:tr w14:paraId="57D834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6805A486">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923" w:type="pct"/>
                  <w:shd w:val="clear" w:color="auto" w:fill="auto"/>
                  <w:vAlign w:val="center"/>
                </w:tcPr>
                <w:p w14:paraId="06DE751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0.075</w:t>
                  </w:r>
                </w:p>
              </w:tc>
              <w:tc>
                <w:tcPr>
                  <w:tcW w:w="847" w:type="pct"/>
                  <w:shd w:val="clear" w:color="auto" w:fill="auto"/>
                  <w:vAlign w:val="center"/>
                </w:tcPr>
                <w:p w14:paraId="18CF6695">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38ECCA27">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30208881">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0.0015</w:t>
                  </w:r>
                </w:p>
              </w:tc>
            </w:tr>
            <w:tr w14:paraId="31D6C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shd w:val="clear" w:color="auto" w:fill="auto"/>
                  <w:vAlign w:val="center"/>
                </w:tcPr>
                <w:p w14:paraId="01E111CB">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923" w:type="pct"/>
                  <w:shd w:val="clear" w:color="auto" w:fill="auto"/>
                  <w:vAlign w:val="center"/>
                </w:tcPr>
                <w:p w14:paraId="1BB0FF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0.04</w:t>
                  </w:r>
                </w:p>
              </w:tc>
              <w:tc>
                <w:tcPr>
                  <w:tcW w:w="847" w:type="pct"/>
                  <w:shd w:val="clear" w:color="auto" w:fill="auto"/>
                  <w:vAlign w:val="center"/>
                </w:tcPr>
                <w:p w14:paraId="5CF03A43">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50</w:t>
                  </w:r>
                </w:p>
              </w:tc>
              <w:tc>
                <w:tcPr>
                  <w:tcW w:w="1619" w:type="pct"/>
                  <w:shd w:val="clear" w:color="auto" w:fill="auto"/>
                  <w:vAlign w:val="center"/>
                </w:tcPr>
                <w:p w14:paraId="7F7C24B8">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06D6BE00">
                  <w:pPr>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0.0008</w:t>
                  </w:r>
                </w:p>
              </w:tc>
            </w:tr>
            <w:tr w14:paraId="3E566B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4390" w:type="pct"/>
                  <w:gridSpan w:val="4"/>
                  <w:vAlign w:val="center"/>
                </w:tcPr>
                <w:p w14:paraId="691A848A">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合计</w:t>
                  </w:r>
                </w:p>
              </w:tc>
              <w:tc>
                <w:tcPr>
                  <w:tcW w:w="609" w:type="pct"/>
                  <w:shd w:val="clear" w:color="auto" w:fill="auto"/>
                  <w:vAlign w:val="center"/>
                </w:tcPr>
                <w:p w14:paraId="214592C9">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0.73069</w:t>
                  </w:r>
                </w:p>
              </w:tc>
            </w:tr>
          </w:tbl>
          <w:p w14:paraId="78B60E8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由上表可知，本项目Q=</w:t>
            </w:r>
            <w:r>
              <w:rPr>
                <w:rFonts w:hint="eastAsia" w:ascii="Times New Roman" w:hAnsi="Times New Roman" w:eastAsia="宋体" w:cs="Times New Roman"/>
                <w:color w:val="000000" w:themeColor="text1"/>
                <w:sz w:val="24"/>
                <w:lang w:val="en-US" w:eastAsia="zh-CN"/>
                <w14:textFill>
                  <w14:solidFill>
                    <w14:schemeClr w14:val="tx1"/>
                  </w14:solidFill>
                </w14:textFill>
              </w:rPr>
              <w:t>0.73069</w:t>
            </w:r>
            <w:r>
              <w:rPr>
                <w:rFonts w:hint="default" w:ascii="Times New Roman" w:hAnsi="Times New Roman" w:eastAsia="宋体" w:cs="Times New Roman"/>
                <w:color w:val="000000" w:themeColor="text1"/>
                <w:sz w:val="24"/>
                <w14:textFill>
                  <w14:solidFill>
                    <w14:schemeClr w14:val="tx1"/>
                  </w14:solidFill>
                </w14:textFill>
              </w:rPr>
              <w:t>＜1，故不设置风险专项。</w:t>
            </w:r>
          </w:p>
          <w:p w14:paraId="4AAEA8C2">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3、风险源分布情况分析</w:t>
            </w:r>
          </w:p>
          <w:p w14:paraId="7BD0F64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本项目风险源识别结果见下表。</w:t>
            </w:r>
          </w:p>
          <w:p w14:paraId="36DE8979">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eastAsia" w:ascii="Times New Roman" w:hAnsi="Times New Roman" w:eastAsia="宋体" w:cs="Times New Roman"/>
                <w:b/>
                <w:color w:val="000000" w:themeColor="text1"/>
                <w:sz w:val="24"/>
                <w:lang w:val="en-US" w:eastAsia="zh-CN"/>
                <w14:textFill>
                  <w14:solidFill>
                    <w14:schemeClr w14:val="tx1"/>
                  </w14:solidFill>
                </w14:textFill>
              </w:rPr>
              <w:t>-42</w:t>
            </w:r>
            <w:r>
              <w:rPr>
                <w:rFonts w:hint="default" w:ascii="Times New Roman" w:hAnsi="Times New Roman" w:eastAsia="宋体" w:cs="Times New Roman"/>
                <w:b/>
                <w:color w:val="000000" w:themeColor="text1"/>
                <w:sz w:val="24"/>
                <w14:textFill>
                  <w14:solidFill>
                    <w14:schemeClr w14:val="tx1"/>
                  </w14:solidFill>
                </w14:textFill>
              </w:rPr>
              <w:t xml:space="preserve">  环境风险源识别结果及影响途径汇总表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5"/>
              <w:gridCol w:w="1177"/>
              <w:gridCol w:w="1617"/>
              <w:gridCol w:w="1917"/>
              <w:gridCol w:w="1633"/>
              <w:gridCol w:w="1634"/>
            </w:tblGrid>
            <w:tr w14:paraId="2367E2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5" w:type="pct"/>
                  <w:vAlign w:val="center"/>
                </w:tcPr>
                <w:p w14:paraId="0E060FDC">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679" w:type="pct"/>
                  <w:vAlign w:val="center"/>
                </w:tcPr>
                <w:p w14:paraId="39C1A829">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位置</w:t>
                  </w:r>
                </w:p>
              </w:tc>
              <w:tc>
                <w:tcPr>
                  <w:tcW w:w="933" w:type="pct"/>
                  <w:vAlign w:val="center"/>
                </w:tcPr>
                <w:p w14:paraId="5EFFF8BA">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风险源</w:t>
                  </w:r>
                </w:p>
              </w:tc>
              <w:tc>
                <w:tcPr>
                  <w:tcW w:w="1106" w:type="pct"/>
                  <w:vAlign w:val="center"/>
                </w:tcPr>
                <w:p w14:paraId="6251025A">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主要危险物质</w:t>
                  </w:r>
                </w:p>
              </w:tc>
              <w:tc>
                <w:tcPr>
                  <w:tcW w:w="942" w:type="pct"/>
                  <w:vAlign w:val="center"/>
                </w:tcPr>
                <w:p w14:paraId="055711DF">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环境风险类型</w:t>
                  </w:r>
                </w:p>
              </w:tc>
              <w:tc>
                <w:tcPr>
                  <w:tcW w:w="942" w:type="pct"/>
                  <w:vAlign w:val="center"/>
                </w:tcPr>
                <w:p w14:paraId="2C237120">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环境影响途径</w:t>
                  </w:r>
                </w:p>
              </w:tc>
            </w:tr>
            <w:tr w14:paraId="37ABD8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395" w:type="pct"/>
                  <w:vAlign w:val="center"/>
                </w:tcPr>
                <w:p w14:paraId="2237F402">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w:t>
                  </w:r>
                </w:p>
              </w:tc>
              <w:tc>
                <w:tcPr>
                  <w:tcW w:w="679" w:type="pct"/>
                  <w:vAlign w:val="center"/>
                </w:tcPr>
                <w:p w14:paraId="6864D075">
                  <w:pPr>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生产</w:t>
                  </w:r>
                  <w:r>
                    <w:rPr>
                      <w:rFonts w:hint="eastAsia" w:ascii="Times New Roman" w:hAnsi="Times New Roman" w:eastAsia="宋体" w:cs="Times New Roman"/>
                      <w:bCs/>
                      <w:color w:val="000000" w:themeColor="text1"/>
                      <w:szCs w:val="21"/>
                      <w:lang w:val="en-US" w:eastAsia="zh-CN"/>
                      <w14:textFill>
                        <w14:solidFill>
                          <w14:schemeClr w14:val="tx1"/>
                        </w14:solidFill>
                      </w14:textFill>
                    </w:rPr>
                    <w:t>厂房</w:t>
                  </w:r>
                </w:p>
              </w:tc>
              <w:tc>
                <w:tcPr>
                  <w:tcW w:w="933" w:type="pct"/>
                  <w:vAlign w:val="center"/>
                </w:tcPr>
                <w:p w14:paraId="76B2E3C4">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原料仓库、清洗线、磨床等</w:t>
                  </w:r>
                </w:p>
              </w:tc>
              <w:tc>
                <w:tcPr>
                  <w:tcW w:w="1106" w:type="pct"/>
                  <w:vAlign w:val="center"/>
                </w:tcPr>
                <w:p w14:paraId="2D020BBB">
                  <w:pPr>
                    <w:jc w:val="center"/>
                    <w:rPr>
                      <w:rFonts w:hint="default" w:ascii="Times New Roman" w:hAnsi="Times New Roman" w:eastAsia="宋体" w:cs="Times New Roman"/>
                      <w:bCs/>
                      <w:color w:val="000000" w:themeColor="text1"/>
                      <w:szCs w:val="21"/>
                      <w:lang w:val="en-US"/>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润滑油</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硫酸、铜保护剂、磨削液等</w:t>
                  </w:r>
                </w:p>
              </w:tc>
              <w:tc>
                <w:tcPr>
                  <w:tcW w:w="942" w:type="pct"/>
                  <w:vAlign w:val="center"/>
                </w:tcPr>
                <w:p w14:paraId="40B8529C">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泄漏、火灾、爆炸、中毒</w:t>
                  </w:r>
                </w:p>
              </w:tc>
              <w:tc>
                <w:tcPr>
                  <w:tcW w:w="942" w:type="pct"/>
                  <w:vAlign w:val="center"/>
                </w:tcPr>
                <w:p w14:paraId="3ACC9522">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大气、地表水、地下水、土壤</w:t>
                  </w:r>
                </w:p>
              </w:tc>
            </w:tr>
            <w:tr w14:paraId="5934C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5" w:type="pct"/>
                  <w:vAlign w:val="center"/>
                </w:tcPr>
                <w:p w14:paraId="2CBACBCF">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p>
              </w:tc>
              <w:tc>
                <w:tcPr>
                  <w:tcW w:w="679" w:type="pct"/>
                  <w:vAlign w:val="center"/>
                </w:tcPr>
                <w:p w14:paraId="09AF6E46">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废气处理装置</w:t>
                  </w:r>
                </w:p>
              </w:tc>
              <w:tc>
                <w:tcPr>
                  <w:tcW w:w="933" w:type="pct"/>
                  <w:vAlign w:val="center"/>
                </w:tcPr>
                <w:p w14:paraId="24176B08">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碱喷淋塔、活性炭吸附装置</w:t>
                  </w:r>
                </w:p>
              </w:tc>
              <w:tc>
                <w:tcPr>
                  <w:tcW w:w="1106" w:type="pct"/>
                  <w:vAlign w:val="center"/>
                </w:tcPr>
                <w:p w14:paraId="6F82E0B1">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废活性炭、喷淋塔废水</w:t>
                  </w:r>
                </w:p>
              </w:tc>
              <w:tc>
                <w:tcPr>
                  <w:tcW w:w="942" w:type="pct"/>
                  <w:vAlign w:val="center"/>
                </w:tcPr>
                <w:p w14:paraId="3C5BF504">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泄漏、火灾、爆炸</w:t>
                  </w:r>
                </w:p>
              </w:tc>
              <w:tc>
                <w:tcPr>
                  <w:tcW w:w="942" w:type="pct"/>
                  <w:vAlign w:val="center"/>
                </w:tcPr>
                <w:p w14:paraId="7AEE581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地表水、地下水、大气</w:t>
                  </w:r>
                </w:p>
              </w:tc>
            </w:tr>
            <w:tr w14:paraId="30A394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5" w:type="pct"/>
                  <w:vAlign w:val="center"/>
                </w:tcPr>
                <w:p w14:paraId="0A6FDBE8">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p>
              </w:tc>
              <w:tc>
                <w:tcPr>
                  <w:tcW w:w="679" w:type="pct"/>
                  <w:vAlign w:val="center"/>
                </w:tcPr>
                <w:p w14:paraId="74064BB2">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废水处理设施</w:t>
                  </w:r>
                </w:p>
              </w:tc>
              <w:tc>
                <w:tcPr>
                  <w:tcW w:w="933" w:type="pct"/>
                  <w:vAlign w:val="center"/>
                </w:tcPr>
                <w:p w14:paraId="144E3E93">
                  <w:pPr>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废水处理设施</w:t>
                  </w:r>
                </w:p>
              </w:tc>
              <w:tc>
                <w:tcPr>
                  <w:tcW w:w="1106" w:type="pct"/>
                  <w:vAlign w:val="center"/>
                </w:tcPr>
                <w:p w14:paraId="1429E385">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综合生产废水</w:t>
                  </w:r>
                </w:p>
              </w:tc>
              <w:tc>
                <w:tcPr>
                  <w:tcW w:w="942" w:type="pct"/>
                  <w:vAlign w:val="center"/>
                </w:tcPr>
                <w:p w14:paraId="186DFBFF">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泄漏</w:t>
                  </w:r>
                </w:p>
              </w:tc>
              <w:tc>
                <w:tcPr>
                  <w:tcW w:w="942" w:type="pct"/>
                  <w:vAlign w:val="center"/>
                </w:tcPr>
                <w:p w14:paraId="1783DE8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地表水、地下水、土壤</w:t>
                  </w:r>
                </w:p>
              </w:tc>
            </w:tr>
            <w:tr w14:paraId="1D6E6E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5" w:type="pct"/>
                  <w:vAlign w:val="center"/>
                </w:tcPr>
                <w:p w14:paraId="520CCF82">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4</w:t>
                  </w:r>
                </w:p>
              </w:tc>
              <w:tc>
                <w:tcPr>
                  <w:tcW w:w="679" w:type="pct"/>
                  <w:vAlign w:val="center"/>
                </w:tcPr>
                <w:p w14:paraId="0D8F2345">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危废库</w:t>
                  </w:r>
                </w:p>
              </w:tc>
              <w:tc>
                <w:tcPr>
                  <w:tcW w:w="933" w:type="pct"/>
                  <w:vAlign w:val="center"/>
                </w:tcPr>
                <w:p w14:paraId="32DDFB5C">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危废库</w:t>
                  </w:r>
                </w:p>
              </w:tc>
              <w:tc>
                <w:tcPr>
                  <w:tcW w:w="1106" w:type="pct"/>
                  <w:vAlign w:val="center"/>
                </w:tcPr>
                <w:p w14:paraId="70427D81">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危险废物</w:t>
                  </w:r>
                </w:p>
              </w:tc>
              <w:tc>
                <w:tcPr>
                  <w:tcW w:w="942" w:type="pct"/>
                  <w:vAlign w:val="center"/>
                </w:tcPr>
                <w:p w14:paraId="583C3F77">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泄漏、火灾、爆炸</w:t>
                  </w:r>
                </w:p>
              </w:tc>
              <w:tc>
                <w:tcPr>
                  <w:tcW w:w="942" w:type="pct"/>
                  <w:vAlign w:val="center"/>
                </w:tcPr>
                <w:p w14:paraId="02AF462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大气、地表水、地下水、土壤</w:t>
                  </w:r>
                </w:p>
              </w:tc>
            </w:tr>
          </w:tbl>
          <w:p w14:paraId="6D94C78E">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4、风险事故影响途径分析</w:t>
            </w:r>
          </w:p>
          <w:p w14:paraId="16D0C9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①火灾</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爆炸</w:t>
            </w:r>
            <w:r>
              <w:rPr>
                <w:rFonts w:hint="default" w:ascii="Times New Roman" w:hAnsi="Times New Roman" w:eastAsia="宋体" w:cs="Times New Roman"/>
                <w:color w:val="000000" w:themeColor="text1"/>
                <w:kern w:val="0"/>
                <w:sz w:val="24"/>
                <w:szCs w:val="24"/>
                <w14:textFill>
                  <w14:solidFill>
                    <w14:schemeClr w14:val="tx1"/>
                  </w14:solidFill>
                </w14:textFill>
              </w:rPr>
              <w:t>影响</w:t>
            </w:r>
          </w:p>
          <w:p w14:paraId="42F011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本项目部分原辅材料是易燃易爆物质，</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遇明火等</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5E1469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②</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泄露影响</w:t>
            </w:r>
          </w:p>
          <w:p w14:paraId="77B43F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本项目使用</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各类</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原料</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存放</w:t>
            </w:r>
            <w:r>
              <w:rPr>
                <w:rFonts w:hint="default" w:ascii="Times New Roman" w:hAnsi="Times New Roman" w:eastAsia="宋体" w:cs="Times New Roman"/>
                <w:color w:val="000000" w:themeColor="text1"/>
                <w:kern w:val="0"/>
                <w:sz w:val="24"/>
                <w:szCs w:val="24"/>
                <w14:textFill>
                  <w14:solidFill>
                    <w14:schemeClr w14:val="tx1"/>
                  </w14:solidFill>
                </w14:textFill>
              </w:rPr>
              <w:t>于</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原料</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仓库</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，危废存放于</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危废暂存间</w:t>
            </w:r>
            <w:r>
              <w:rPr>
                <w:rFonts w:hint="default" w:ascii="Times New Roman" w:hAnsi="Times New Roman" w:eastAsia="宋体" w:cs="Times New Roman"/>
                <w:color w:val="000000" w:themeColor="text1"/>
                <w:kern w:val="0"/>
                <w:sz w:val="24"/>
                <w:szCs w:val="24"/>
                <w14:textFill>
                  <w14:solidFill>
                    <w14:schemeClr w14:val="tx1"/>
                  </w14:solidFill>
                </w14:textFill>
              </w:rPr>
              <w:t>，包装桶破损易导致各类液体原料或危废</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泄漏</w:t>
            </w:r>
            <w:r>
              <w:rPr>
                <w:rFonts w:hint="default" w:ascii="Times New Roman" w:hAnsi="Times New Roman" w:eastAsia="宋体" w:cs="Times New Roman"/>
                <w:color w:val="000000" w:themeColor="text1"/>
                <w:kern w:val="0"/>
                <w:sz w:val="24"/>
                <w:szCs w:val="24"/>
                <w14:textFill>
                  <w14:solidFill>
                    <w14:schemeClr w14:val="tx1"/>
                  </w14:solidFill>
                </w14:textFill>
              </w:rPr>
              <w:t>，通过地表径流，影响地表水、地下水以及土壤影响环境</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同时浓硫酸具有挥发性，产生的硫酸雾可对大气环境造成一定程度的污染。</w:t>
            </w:r>
          </w:p>
          <w:p w14:paraId="0516EC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③火灾爆炸事故次生/伴生影响分析</w:t>
            </w:r>
          </w:p>
          <w:p w14:paraId="244EEF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发生火灾、爆炸也必须具备如下三个条件：一是爆炸性气体、液体蒸汽和空气混合后达到爆炸极限范围；二是场所内有足以激发混合物爆炸的能量；三是要有足够的助燃物。</w:t>
            </w:r>
          </w:p>
          <w:p w14:paraId="0B9E61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火灾爆炸事故发生有如下几种类型：</w:t>
            </w:r>
          </w:p>
          <w:p w14:paraId="0083C1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立即起火：如果泄漏点处存在引火源，易燃气体从容器中往外泄出时即被点燃，发生扩散燃烧，产生喷射性火焰或形成火球，它能迅速地危及泄漏现场，但很少会影响到厂区的外部。</w:t>
            </w:r>
          </w:p>
          <w:p w14:paraId="11B94D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滞后起火：如果泄漏点处无引火源，易燃气体泄出后与空气混合形成可燃蒸气云团，并随风飘移，遇火源发生爆炸或爆轰，能引起较大范围的破坏。</w:t>
            </w:r>
          </w:p>
          <w:p w14:paraId="7BE00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常温常压下液体泄漏后聚集在防护堤内或地势低洼处形成液池，液体由于池表面风的对流而缓慢蒸发，若遇引火源就会发生池火灾。</w:t>
            </w:r>
          </w:p>
          <w:p w14:paraId="512F0D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本项目中有可能存在的点火源为：</w:t>
            </w:r>
          </w:p>
          <w:p w14:paraId="348ADF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明火：如违章使用的明火、吸烟、打火机火种等；</w:t>
            </w:r>
          </w:p>
          <w:p w14:paraId="5E7261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b.电气火花：非防爆型设备、仪表、照明、电气线路、开关、通风设备或其故障产生的火花；电气设备绝缘不良、安装不符合规程要求，发生短路、超负荷，接触电阻过大等产生的电气火花（甚至电气火灾）等；</w:t>
            </w:r>
          </w:p>
          <w:p w14:paraId="7927CB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c.静电火花；</w:t>
            </w:r>
          </w:p>
          <w:p w14:paraId="7A438A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d.车辆火花：由于机动车辆未安装防火罩产生的火花；</w:t>
            </w:r>
          </w:p>
          <w:p w14:paraId="3D3148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e.工具火花：工具为易产生火花型，由于敲击而产生的火花；</w:t>
            </w:r>
          </w:p>
          <w:p w14:paraId="3FAEA8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f.雷击；</w:t>
            </w:r>
          </w:p>
          <w:p w14:paraId="0EB1CF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g.外部散发进入的火种（如烟花爆竹、锅炉飞灰火星等）;</w:t>
            </w:r>
          </w:p>
          <w:p w14:paraId="4AF5D1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186E92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本项目火灾事故主要为①电气设备操作不当引起的；②</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危废储存不当引起的</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；③原辅料存储不当引起的。</w:t>
            </w:r>
          </w:p>
          <w:p w14:paraId="5E18F6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本项目有潜在易燃易爆物料（如</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铜保护剂</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润滑</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油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1788B8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原料</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仓库</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中的易燃物料若发生火灾事故，燃烧烟气中的一氧化碳</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等次生污染物</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79DCB9B9">
            <w:pPr>
              <w:pStyle w:val="13"/>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kern w:val="0"/>
                <w:sz w:val="24"/>
                <w:szCs w:val="24"/>
                <w14:textFill>
                  <w14:solidFill>
                    <w14:schemeClr w14:val="tx1"/>
                  </w14:solidFill>
                </w14:textFill>
              </w:rPr>
              <w:t>环境风险防范措施及应急要求</w:t>
            </w:r>
          </w:p>
          <w:p w14:paraId="5C0A9819">
            <w:pPr>
              <w:pStyle w:val="13"/>
              <w:keepNext w:val="0"/>
              <w:keepLines w:val="0"/>
              <w:pageBreakBefore w:val="0"/>
              <w:kinsoku/>
              <w:wordWrap/>
              <w:overflowPunct/>
              <w:topLinePunct w:val="0"/>
              <w:bidi w:val="0"/>
              <w:adjustRightInd/>
              <w:snapToGrid/>
              <w:spacing w:after="0" w:line="360" w:lineRule="auto"/>
              <w:ind w:left="0" w:leftChars="0" w:right="0" w:rightChars="0" w:firstLine="482" w:firstLineChars="200"/>
              <w:jc w:val="left"/>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kern w:val="0"/>
                <w:sz w:val="24"/>
                <w:szCs w:val="24"/>
                <w14:textFill>
                  <w14:solidFill>
                    <w14:schemeClr w14:val="tx1"/>
                  </w14:solidFill>
                </w14:textFill>
              </w:rPr>
              <w:instrText xml:space="preserve"> = 1 \* GB3 \* MERGEFORMAT </w:instrText>
            </w:r>
            <w:r>
              <w:rPr>
                <w:rFonts w:hint="default" w:ascii="Times New Roman" w:hAnsi="Times New Roman" w:eastAsia="宋体" w:cs="Times New Roman"/>
                <w:b/>
                <w:bCs/>
                <w:color w:val="000000" w:themeColor="text1"/>
                <w:kern w:val="0"/>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0"/>
                <w:sz w:val="24"/>
                <w:szCs w:val="24"/>
                <w14:textFill>
                  <w14:solidFill>
                    <w14:schemeClr w14:val="tx1"/>
                  </w14:solidFill>
                </w14:textFill>
              </w:rPr>
              <w:t>①</w:t>
            </w:r>
            <w:r>
              <w:rPr>
                <w:rFonts w:hint="default" w:ascii="Times New Roman" w:hAnsi="Times New Roman" w:eastAsia="宋体" w:cs="Times New Roman"/>
                <w:b/>
                <w:bCs/>
                <w:color w:val="000000" w:themeColor="text1"/>
                <w:kern w:val="0"/>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kern w:val="0"/>
                <w:sz w:val="24"/>
                <w:szCs w:val="24"/>
                <w14:textFill>
                  <w14:solidFill>
                    <w14:schemeClr w14:val="tx1"/>
                  </w14:solidFill>
                </w14:textFill>
              </w:rPr>
              <w:t>环境风险防范措施</w:t>
            </w:r>
          </w:p>
          <w:p w14:paraId="363B2427">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1）化学品及危废泄漏事故风险防范措施</w:t>
            </w:r>
          </w:p>
          <w:p w14:paraId="6F8E41C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铜保护剂</w:t>
            </w:r>
            <w:r>
              <w:rPr>
                <w:rFonts w:hint="default" w:ascii="Times New Roman" w:hAnsi="Times New Roman" w:eastAsia="宋体" w:cs="Times New Roman"/>
                <w:color w:val="000000" w:themeColor="text1"/>
                <w:sz w:val="24"/>
                <w:lang w:val="en-US" w:eastAsia="zh-CN"/>
                <w14:textFill>
                  <w14:solidFill>
                    <w14:schemeClr w14:val="tx1"/>
                  </w14:solidFill>
                </w14:textFill>
              </w:rPr>
              <w:t>等</w:t>
            </w:r>
            <w:r>
              <w:rPr>
                <w:rFonts w:hint="default" w:ascii="Times New Roman" w:hAnsi="Times New Roman" w:eastAsia="宋体" w:cs="Times New Roman"/>
                <w:color w:val="000000" w:themeColor="text1"/>
                <w:kern w:val="0"/>
                <w:sz w:val="24"/>
                <w:szCs w:val="24"/>
                <w14:textFill>
                  <w14:solidFill>
                    <w14:schemeClr w14:val="tx1"/>
                  </w14:solidFill>
                </w14:textFill>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187B192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浓硫酸等原料</w:t>
            </w:r>
            <w:r>
              <w:rPr>
                <w:rFonts w:hint="default" w:ascii="Times New Roman" w:hAnsi="Times New Roman" w:eastAsia="宋体" w:cs="Times New Roman"/>
                <w:color w:val="000000" w:themeColor="text1"/>
                <w:kern w:val="0"/>
                <w:sz w:val="24"/>
                <w:szCs w:val="24"/>
                <w14:textFill>
                  <w14:solidFill>
                    <w14:schemeClr w14:val="tx1"/>
                  </w14:solidFill>
                </w14:textFill>
              </w:rPr>
              <w:t>设置专门的原料仓库并定期检查包装有无破损</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建立</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清洗线</w:t>
            </w:r>
            <w:r>
              <w:rPr>
                <w:rFonts w:hint="default" w:ascii="Times New Roman" w:hAnsi="Times New Roman" w:eastAsia="宋体" w:cs="Times New Roman"/>
                <w:color w:val="000000" w:themeColor="text1"/>
                <w:kern w:val="0"/>
                <w:sz w:val="24"/>
                <w:szCs w:val="24"/>
                <w14:textFill>
                  <w14:solidFill>
                    <w14:schemeClr w14:val="tx1"/>
                  </w14:solidFill>
                </w14:textFill>
              </w:rPr>
              <w:t>全生命周期监测制度，对</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清洗线</w:t>
            </w:r>
            <w:r>
              <w:rPr>
                <w:rFonts w:hint="default" w:ascii="Times New Roman" w:hAnsi="Times New Roman" w:eastAsia="宋体" w:cs="Times New Roman"/>
                <w:color w:val="000000" w:themeColor="text1"/>
                <w:kern w:val="0"/>
                <w:sz w:val="24"/>
                <w:szCs w:val="24"/>
                <w14:textFill>
                  <w14:solidFill>
                    <w14:schemeClr w14:val="tx1"/>
                  </w14:solidFill>
                </w14:textFill>
              </w:rPr>
              <w:t>、管道及阀门实施超声波测厚、电化学检测等定期检查，腐蚀速率超限即触发更换预警</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配备便携式喷淋装置</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氢氧化钠、吸污袋等应急物资，</w:t>
            </w:r>
            <w:r>
              <w:rPr>
                <w:rFonts w:hint="default" w:ascii="Times New Roman" w:hAnsi="Times New Roman" w:eastAsia="宋体" w:cs="Times New Roman"/>
                <w:color w:val="000000" w:themeColor="text1"/>
                <w:kern w:val="0"/>
                <w:sz w:val="24"/>
                <w:szCs w:val="24"/>
                <w14:textFill>
                  <w14:solidFill>
                    <w14:schemeClr w14:val="tx1"/>
                  </w14:solidFill>
                </w14:textFill>
              </w:rPr>
              <w:t>最大限度降低浓硫酸泄漏的环境与安全风险。</w:t>
            </w:r>
          </w:p>
          <w:p w14:paraId="5D91D36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生产和安全管理中密切注意事故易发部位，做好运行监督检查与维修保养；组织专门人员每天每班多次进行周期性巡回检查，发现异常现象的及时检修，必要时按照“生产服从安全”原则停车检修，严禁带病或不正常运转。为操作工人提供服装、防尘口罩、安全帽、安全鞋、防护手套、耳塞、护目镜等防护用品</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p>
          <w:p w14:paraId="78CEF266">
            <w:pPr>
              <w:keepNext w:val="0"/>
              <w:keepLines w:val="0"/>
              <w:pageBreakBefore w:val="0"/>
              <w:widowControl/>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2）火灾爆炸事故风险防范措施</w:t>
            </w:r>
          </w:p>
          <w:p w14:paraId="5E1AAFE7">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铜保护剂</w:t>
            </w:r>
            <w:r>
              <w:rPr>
                <w:rFonts w:hint="default" w:ascii="Times New Roman" w:hAnsi="Times New Roman" w:eastAsia="宋体" w:cs="Times New Roman"/>
                <w:color w:val="000000" w:themeColor="text1"/>
                <w:sz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14:textFill>
                  <w14:solidFill>
                    <w14:schemeClr w14:val="tx1"/>
                  </w14:solidFill>
                </w14:textFill>
              </w:rPr>
              <w:t>具备可燃性。因此建设单位应当做好防范措施。为减少事故的发生和影响建设单位应采取以下措施。</w:t>
            </w:r>
          </w:p>
          <w:p w14:paraId="730A14CA">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建设单位需建立健全安全操作规程及值勤制度，设置通讯、报警装置，并确保其处于完好状态；厂区配置合格的消防器材，并确保其处于完好状态。</w:t>
            </w:r>
          </w:p>
          <w:p w14:paraId="187CBF7E">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加强火源的管理，严禁烟火带入，对设备需进行维修焊接，应经安全部门确认、准许，并有记录。机动车在厂内行驶，须安装阻火器，必要设备安装防火、防爆装置。</w:t>
            </w:r>
          </w:p>
          <w:p w14:paraId="4EEC6E72">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设备的安全管理：定期对设备进行安全检测，检测内容、时间、人员应有记录保存。安全检测应根据设备的安全性、危险性设定检测频次。</w:t>
            </w:r>
          </w:p>
          <w:p w14:paraId="6D0679C9">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3）</w:t>
            </w:r>
            <w:r>
              <w:rPr>
                <w:rFonts w:hint="eastAsia" w:ascii="Times New Roman" w:hAnsi="Times New Roman" w:eastAsia="宋体" w:cs="Times New Roman"/>
                <w:b/>
                <w:bCs/>
                <w:color w:val="000000" w:themeColor="text1"/>
                <w:kern w:val="0"/>
                <w:sz w:val="24"/>
                <w:szCs w:val="24"/>
                <w:lang w:eastAsia="zh-CN"/>
                <w14:textFill>
                  <w14:solidFill>
                    <w14:schemeClr w14:val="tx1"/>
                  </w14:solidFill>
                </w14:textFill>
              </w:rPr>
              <w:t>危废暂存间</w:t>
            </w:r>
            <w:r>
              <w:rPr>
                <w:rFonts w:hint="default" w:ascii="Times New Roman" w:hAnsi="Times New Roman" w:eastAsia="宋体" w:cs="Times New Roman"/>
                <w:b/>
                <w:bCs/>
                <w:color w:val="000000" w:themeColor="text1"/>
                <w:kern w:val="0"/>
                <w:sz w:val="24"/>
                <w:szCs w:val="24"/>
                <w14:textFill>
                  <w14:solidFill>
                    <w14:schemeClr w14:val="tx1"/>
                  </w14:solidFill>
                </w14:textFill>
              </w:rPr>
              <w:t>风险防范措施</w:t>
            </w:r>
          </w:p>
          <w:p w14:paraId="31E0B8BE">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危废暂存</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间</w:t>
            </w:r>
            <w:r>
              <w:rPr>
                <w:rFonts w:hint="default" w:ascii="Times New Roman" w:hAnsi="Times New Roman" w:eastAsia="宋体" w:cs="Times New Roman"/>
                <w:color w:val="000000" w:themeColor="text1"/>
                <w:kern w:val="0"/>
                <w:sz w:val="24"/>
                <w:szCs w:val="24"/>
                <w14:textFill>
                  <w14:solidFill>
                    <w14:schemeClr w14:val="tx1"/>
                  </w14:solidFill>
                </w14:textFill>
              </w:rPr>
              <w:t>必须按《危险废物贮存污染控制标准》（GB18597-2023）的要求进行设置。危险废物分类存放到</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危废暂存间</w:t>
            </w:r>
            <w:r>
              <w:rPr>
                <w:rFonts w:hint="default" w:ascii="Times New Roman" w:hAnsi="Times New Roman" w:eastAsia="宋体" w:cs="Times New Roman"/>
                <w:color w:val="000000" w:themeColor="text1"/>
                <w:kern w:val="0"/>
                <w:sz w:val="24"/>
                <w:szCs w:val="24"/>
                <w14:textFill>
                  <w14:solidFill>
                    <w14:schemeClr w14:val="tx1"/>
                  </w14:solidFill>
                </w14:textFill>
              </w:rPr>
              <w:t>，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33DF83F0">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4）废气处理装置设备事故风险防范措施</w:t>
            </w:r>
          </w:p>
          <w:p w14:paraId="3B6DF6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活性炭吸附装置设有事故自动报警装置，并符合安全生产、事故防范的相关规定。治理系统与主体生产装置之间的管道系统应安装阻火器（防火阀），阻火器性能应符合GB 13347的规定。风机、电机和置于现场的电气仪表等应不低于现场防爆等级。当吸附剂采用降压解吸方式再生且解吸后的高浓度有机气体采用液体吸收工艺进行回收时，风机、真空解吸泵和电气系统均应采用符合GB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在吸附操作周期内，吸附了有机气体后吸附床内的温度应低于83℃。当吸附装置内的温度超过83℃时，应能自动报警，并立即启动降温装置。采用热空气吹扫方式进行吸附剂再生时，当吸附装置内的温度超过120°时，应能自动报警并立即中止再生操作、启动降温措施。治理装置安装区域应按规定设置消防设施。治理设备应具备短路保护和接地保护，接地电阻应小于4Q。室外治理设备应安装符合GB 50057规定的避雷装置。</w:t>
            </w:r>
          </w:p>
          <w:p w14:paraId="3D3A39F9">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为减少事故的发生和影响建设单位应采取以下措施。</w:t>
            </w:r>
          </w:p>
          <w:p w14:paraId="06CBC1B4">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A、建立严格的操作规程，实行目标责任制，保证环境保护设施的正常运行。</w:t>
            </w:r>
          </w:p>
          <w:p w14:paraId="654110A8">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B、对废气处理系统进行定期的监测和检修，如发生腐蚀、设备运行不稳定的情况，需对设备进行更换和修理，确保废气处理装置的正常运行。</w:t>
            </w:r>
          </w:p>
          <w:p w14:paraId="473787B3">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C、二级活性炭吸附装置对废气进行处理后，应定期对二级活性炭进行更换，以便于废气的有效处理。</w:t>
            </w:r>
          </w:p>
          <w:p w14:paraId="56F661FF">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D、废气处理装置一旦出现故障，应立即关闭生产设备，避免废气未经处理进入大气环境。</w:t>
            </w:r>
          </w:p>
          <w:p w14:paraId="718A6F9C">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E、二级活性炭吸附装置产生的废活性炭应妥善保存，避免过滤介质、二级活性炭接触明火和高温设备而引发的火灾及其次伴生环境风险事故。</w:t>
            </w:r>
          </w:p>
          <w:p w14:paraId="39C6AE39">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F、</w:t>
            </w:r>
            <w:r>
              <w:rPr>
                <w:rFonts w:hint="default" w:ascii="Times New Roman" w:hAnsi="Times New Roman" w:eastAsia="宋体" w:cs="Times New Roman"/>
                <w:bCs/>
                <w:color w:val="000000" w:themeColor="text1"/>
                <w:kern w:val="0"/>
                <w:sz w:val="24"/>
                <w:szCs w:val="24"/>
                <w14:textFill>
                  <w14:solidFill>
                    <w14:schemeClr w14:val="tx1"/>
                  </w14:solidFill>
                </w14:textFill>
              </w:rPr>
              <w:t>每年定期组织一次污染治理设施意外事故的应急措施落实情况和应急设备（备用设备）完好情况的检查。</w:t>
            </w:r>
          </w:p>
          <w:p w14:paraId="433C1667">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2 \* GB3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②</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环境风险应急措施</w:t>
            </w:r>
          </w:p>
          <w:p w14:paraId="0F2FA435">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1）火灾和爆炸事故应急措施</w:t>
            </w:r>
          </w:p>
          <w:p w14:paraId="7EBAC709">
            <w:pPr>
              <w:pStyle w:val="10"/>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63F82956">
            <w:pPr>
              <w:pStyle w:val="10"/>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火灾爆炸衍生的消防尾水：</w:t>
            </w:r>
          </w:p>
          <w:p w14:paraId="395BFB7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本次评估依据《事故状态下水体污染的预防与控制规范》（Q/SY08190-2019）计算事故排水量，包括事故时最大泄漏量、消防水量、生产废水量。事故水池容积确定拟参照Q/SY08190-2019确定，计算公式如下：</w:t>
            </w:r>
          </w:p>
          <w:p w14:paraId="78E5FECA">
            <w:pPr>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总</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max</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5</w:t>
            </w:r>
          </w:p>
          <w:p w14:paraId="0F1DC924">
            <w:pPr>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消</w:t>
            </w:r>
            <w:r>
              <w:rPr>
                <w:rFonts w:hint="default" w:ascii="Times New Roman" w:hAnsi="Times New Roman" w:eastAsia="宋体" w:cs="Times New Roman"/>
                <w:color w:val="000000" w:themeColor="text1"/>
                <w:kern w:val="0"/>
                <w:sz w:val="24"/>
                <w:szCs w:val="24"/>
                <w14:textFill>
                  <w14:solidFill>
                    <w14:schemeClr w14:val="tx1"/>
                  </w14:solidFill>
                </w14:textFill>
              </w:rPr>
              <w:t>×t</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消</w:t>
            </w:r>
          </w:p>
          <w:p w14:paraId="262D823B">
            <w:pPr>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kern w:val="0"/>
                <w:sz w:val="24"/>
                <w:szCs w:val="24"/>
                <w14:textFill>
                  <w14:solidFill>
                    <w14:schemeClr w14:val="tx1"/>
                  </w14:solidFill>
                </w14:textFill>
              </w:rPr>
              <w:t>=10qf</w:t>
            </w:r>
          </w:p>
          <w:p w14:paraId="6207A3E1">
            <w:pPr>
              <w:pStyle w:val="67"/>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q=q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kern w:val="0"/>
                <w:sz w:val="24"/>
                <w:szCs w:val="24"/>
                <w14:textFill>
                  <w14:solidFill>
                    <w14:schemeClr w14:val="tx1"/>
                  </w14:solidFill>
                </w14:textFill>
              </w:rPr>
              <w:t>/n</w:t>
            </w:r>
          </w:p>
          <w:p w14:paraId="262E146D">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式中V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总</w:t>
            </w:r>
            <w:r>
              <w:rPr>
                <w:rFonts w:hint="default" w:ascii="Times New Roman" w:hAnsi="Times New Roman" w:eastAsia="宋体" w:cs="Times New Roman"/>
                <w:color w:val="000000" w:themeColor="text1"/>
                <w:kern w:val="0"/>
                <w:sz w:val="24"/>
                <w:szCs w:val="24"/>
                <w14:textFill>
                  <w14:solidFill>
                    <w14:schemeClr w14:val="tx1"/>
                  </w14:solidFill>
                </w14:textFill>
              </w:rPr>
              <w:t>—事故缓冲设施总有效容积，单位为立方米（m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2D54017C">
            <w:pPr>
              <w:pStyle w:val="68"/>
              <w:keepNext w:val="0"/>
              <w:keepLines w:val="0"/>
              <w:pageBreakBefore w:val="0"/>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Style w:val="69"/>
                <w:rFonts w:hint="default" w:ascii="Times New Roman" w:hAnsi="Times New Roman" w:eastAsia="宋体" w:cs="Times New Roman"/>
                <w:b w:val="0"/>
                <w:color w:val="000000" w:themeColor="text1"/>
                <w:kern w:val="0"/>
                <w:sz w:val="24"/>
                <w:szCs w:val="24"/>
                <w14:textFill>
                  <w14:solidFill>
                    <w14:schemeClr w14:val="tx1"/>
                  </w14:solidFill>
                </w14:textFill>
              </w:rPr>
              <w:t>V</w:t>
            </w:r>
            <w:r>
              <w:rPr>
                <w:rStyle w:val="69"/>
                <w:rFonts w:hint="default" w:ascii="Times New Roman" w:hAnsi="Times New Roman" w:eastAsia="宋体" w:cs="Times New Roman"/>
                <w:b w:val="0"/>
                <w:color w:val="000000" w:themeColor="text1"/>
                <w:kern w:val="0"/>
                <w:sz w:val="24"/>
                <w:szCs w:val="24"/>
                <w:vertAlign w:val="subscript"/>
                <w14:textFill>
                  <w14:solidFill>
                    <w14:schemeClr w14:val="tx1"/>
                  </w14:solidFill>
                </w14:textFill>
              </w:rPr>
              <w:t>1</w:t>
            </w:r>
            <w:r>
              <w:rPr>
                <w:rStyle w:val="69"/>
                <w:rFonts w:hint="default" w:ascii="Times New Roman" w:hAnsi="Times New Roman" w:eastAsia="宋体" w:cs="Times New Roman"/>
                <w:b w:val="0"/>
                <w:color w:val="000000" w:themeColor="text1"/>
                <w:kern w:val="0"/>
                <w:sz w:val="24"/>
                <w:szCs w:val="24"/>
                <w14:textFill>
                  <w14:solidFill>
                    <w14:schemeClr w14:val="tx1"/>
                  </w14:solidFill>
                </w14:textFill>
              </w:rPr>
              <w:t>—收集系统范围内发生事故的一个罐组或一套装置的物料量</w:t>
            </w:r>
            <w:r>
              <w:rPr>
                <w:rFonts w:hint="eastAsia"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污水处理站原水收集箱为5立方，本次</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V1=5</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256BB6A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—发生事故的储罐、装置或铁路、汽车装卸区的消防水量，单位为立方米（m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05015C7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消</w:t>
            </w:r>
            <w:r>
              <w:rPr>
                <w:rFonts w:hint="default" w:ascii="Times New Roman" w:hAnsi="Times New Roman" w:eastAsia="宋体" w:cs="Times New Roman"/>
                <w:color w:val="000000" w:themeColor="text1"/>
                <w:kern w:val="0"/>
                <w:sz w:val="24"/>
                <w:szCs w:val="24"/>
                <w14:textFill>
                  <w14:solidFill>
                    <w14:schemeClr w14:val="tx1"/>
                  </w14:solidFill>
                </w14:textFill>
              </w:rPr>
              <w:t>—发生事故的储罐、装置或铁路、汽车装卸区同时使用的消防设施给水流量，单位为立方米每小时（m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/h）；</w:t>
            </w:r>
          </w:p>
          <w:p w14:paraId="4760F2C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t</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消</w:t>
            </w:r>
            <w:r>
              <w:rPr>
                <w:rFonts w:hint="default" w:ascii="Times New Roman" w:hAnsi="Times New Roman" w:eastAsia="宋体" w:cs="Times New Roman"/>
                <w:color w:val="000000" w:themeColor="text1"/>
                <w:kern w:val="0"/>
                <w:sz w:val="24"/>
                <w:szCs w:val="24"/>
                <w14:textFill>
                  <w14:solidFill>
                    <w14:schemeClr w14:val="tx1"/>
                  </w14:solidFill>
                </w14:textFill>
              </w:rPr>
              <w:t>—消防设施对应的设计消防历时，单位为小时（h）；</w:t>
            </w:r>
          </w:p>
          <w:p w14:paraId="4084592F">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企业消防水量按</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0L/s考虑，根据规范要求，消防尾水池储水量要满足延续</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2h</w:t>
            </w:r>
            <w:r>
              <w:rPr>
                <w:rFonts w:hint="default" w:ascii="Times New Roman" w:hAnsi="Times New Roman" w:eastAsia="宋体" w:cs="Times New Roman"/>
                <w:color w:val="000000" w:themeColor="text1"/>
                <w:kern w:val="0"/>
                <w:sz w:val="24"/>
                <w:szCs w:val="24"/>
                <w14:textFill>
                  <w14:solidFill>
                    <w14:schemeClr w14:val="tx1"/>
                  </w14:solidFill>
                </w14:textFill>
              </w:rPr>
              <w:t>的用水需要</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根据《19S910-自动喷水灭火系统设计》，民间建筑和厂房持续喷水时间均为2h，本项目为生产厂房</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，则最大消防用水量为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kern w:val="0"/>
                <w:sz w:val="24"/>
                <w:szCs w:val="24"/>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，因此</w:t>
            </w:r>
            <w:r>
              <w:rPr>
                <w:rFonts w:hint="default" w:ascii="Times New Roman" w:hAnsi="Times New Roman" w:eastAsia="宋体" w:cs="Times New Roman"/>
                <w:b/>
                <w:bCs/>
                <w:color w:val="000000" w:themeColor="text1"/>
                <w:kern w:val="0"/>
                <w:sz w:val="24"/>
                <w:szCs w:val="24"/>
                <w14:textFill>
                  <w14:solidFill>
                    <w14:schemeClr w14:val="tx1"/>
                  </w14:solidFill>
                </w14:textFill>
              </w:rPr>
              <w:t>V</w:t>
            </w:r>
            <w:r>
              <w:rPr>
                <w:rFonts w:hint="default" w:ascii="Times New Roman" w:hAnsi="Times New Roman" w:eastAsia="宋体" w:cs="Times New Roman"/>
                <w:b/>
                <w:bCs/>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72</w:t>
            </w:r>
            <w:r>
              <w:rPr>
                <w:rFonts w:hint="default" w:ascii="Times New Roman" w:hAnsi="Times New Roman" w:eastAsia="宋体" w:cs="Times New Roman"/>
                <w:b/>
                <w:bCs/>
                <w:color w:val="000000" w:themeColor="text1"/>
                <w:kern w:val="0"/>
                <w:sz w:val="24"/>
                <w:szCs w:val="24"/>
                <w14:textFill>
                  <w14:solidFill>
                    <w14:schemeClr w14:val="tx1"/>
                  </w14:solidFill>
                </w14:textFill>
              </w:rPr>
              <w:t>m</w:t>
            </w:r>
            <w:r>
              <w:rPr>
                <w:rFonts w:hint="default" w:ascii="Times New Roman" w:hAnsi="Times New Roman" w:eastAsia="宋体" w:cs="Times New Roman"/>
                <w:b/>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3220CDFD">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—发生事故时可以转输到其他储存或处理设施的物料量，单位为立方米（m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443F19C2">
            <w:pPr>
              <w:pStyle w:val="68"/>
              <w:keepNext w:val="0"/>
              <w:keepLines w:val="0"/>
              <w:pageBreakBefore w:val="0"/>
              <w:kinsoku/>
              <w:wordWrap/>
              <w:overflowPunct/>
              <w:topLinePunct w:val="0"/>
              <w:bidi w:val="0"/>
              <w:adjustRightInd/>
              <w:snapToGrid/>
              <w:spacing w:line="360" w:lineRule="auto"/>
              <w:ind w:left="0" w:leftChars="0" w:right="0" w:rightChars="0" w:firstLine="480" w:firstLineChars="200"/>
              <w:rPr>
                <w:rStyle w:val="69"/>
                <w:rFonts w:hint="default" w:ascii="Times New Roman" w:hAnsi="Times New Roman" w:eastAsia="宋体" w:cs="Times New Roman"/>
                <w:b w:val="0"/>
                <w:color w:val="000000" w:themeColor="text1"/>
                <w:kern w:val="0"/>
                <w:sz w:val="24"/>
                <w:szCs w:val="24"/>
                <w14:textFill>
                  <w14:solidFill>
                    <w14:schemeClr w14:val="tx1"/>
                  </w14:solidFill>
                </w14:textFill>
              </w:rPr>
            </w:pPr>
            <w:r>
              <w:rPr>
                <w:rStyle w:val="69"/>
                <w:rFonts w:hint="eastAsia" w:ascii="Times New Roman" w:hAnsi="Times New Roman" w:eastAsia="宋体" w:cs="Times New Roman"/>
                <w:b w:val="0"/>
                <w:color w:val="000000" w:themeColor="text1"/>
                <w:kern w:val="0"/>
                <w:sz w:val="24"/>
                <w:szCs w:val="24"/>
                <w:lang w:val="en-US" w:eastAsia="zh-CN"/>
                <w14:textFill>
                  <w14:solidFill>
                    <w14:schemeClr w14:val="tx1"/>
                  </w14:solidFill>
                </w14:textFill>
              </w:rPr>
              <w:t>根据园区雨污管网图，园区雨水管网周长约3800m，管径约为400mm，雨水管网事故废水暂存量约占管网容积的80%，因此可存储约382m</w:t>
            </w:r>
            <w:r>
              <w:rPr>
                <w:rStyle w:val="69"/>
                <w:rFonts w:hint="eastAsia" w:ascii="Times New Roman" w:hAnsi="Times New Roman" w:eastAsia="宋体" w:cs="Times New Roman"/>
                <w:b w:val="0"/>
                <w:color w:val="000000" w:themeColor="text1"/>
                <w:kern w:val="0"/>
                <w:sz w:val="24"/>
                <w:szCs w:val="24"/>
                <w:vertAlign w:val="superscript"/>
                <w:lang w:val="en-US" w:eastAsia="zh-CN"/>
                <w14:textFill>
                  <w14:solidFill>
                    <w14:schemeClr w14:val="tx1"/>
                  </w14:solidFill>
                </w14:textFill>
              </w:rPr>
              <w:t>3</w:t>
            </w:r>
            <w:r>
              <w:rPr>
                <w:rStyle w:val="69"/>
                <w:rFonts w:hint="eastAsia" w:ascii="Times New Roman" w:hAnsi="Times New Roman" w:eastAsia="宋体" w:cs="Times New Roman"/>
                <w:b w:val="0"/>
                <w:color w:val="000000" w:themeColor="text1"/>
                <w:kern w:val="0"/>
                <w:sz w:val="24"/>
                <w:szCs w:val="24"/>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Style w:val="69"/>
                <w:rFonts w:hint="default" w:ascii="Times New Roman" w:hAnsi="Times New Roman" w:eastAsia="宋体" w:cs="Times New Roman"/>
                <w:b w:val="0"/>
                <w:color w:val="000000" w:themeColor="text1"/>
                <w:kern w:val="0"/>
                <w:sz w:val="24"/>
                <w:szCs w:val="24"/>
                <w14:textFill>
                  <w14:solidFill>
                    <w14:schemeClr w14:val="tx1"/>
                  </w14:solidFill>
                </w14:textFill>
              </w:rPr>
              <w:t>故</w:t>
            </w:r>
            <w:r>
              <w:rPr>
                <w:rStyle w:val="69"/>
                <w:rFonts w:hint="default" w:ascii="Times New Roman" w:hAnsi="Times New Roman" w:eastAsia="宋体" w:cs="Times New Roman"/>
                <w:bCs/>
                <w:color w:val="000000" w:themeColor="text1"/>
                <w:kern w:val="0"/>
                <w:sz w:val="24"/>
                <w:szCs w:val="24"/>
                <w14:textFill>
                  <w14:solidFill>
                    <w14:schemeClr w14:val="tx1"/>
                  </w14:solidFill>
                </w14:textFill>
              </w:rPr>
              <w:t>V</w:t>
            </w:r>
            <w:r>
              <w:rPr>
                <w:rStyle w:val="69"/>
                <w:rFonts w:hint="default" w:ascii="Times New Roman" w:hAnsi="Times New Roman" w:eastAsia="宋体" w:cs="Times New Roman"/>
                <w:bCs/>
                <w:color w:val="000000" w:themeColor="text1"/>
                <w:kern w:val="0"/>
                <w:sz w:val="24"/>
                <w:szCs w:val="24"/>
                <w:vertAlign w:val="subscript"/>
                <w14:textFill>
                  <w14:solidFill>
                    <w14:schemeClr w14:val="tx1"/>
                  </w14:solidFill>
                </w14:textFill>
              </w:rPr>
              <w:t>3</w:t>
            </w:r>
            <w:r>
              <w:rPr>
                <w:rStyle w:val="69"/>
                <w:rFonts w:hint="default" w:ascii="Times New Roman" w:hAnsi="Times New Roman" w:eastAsia="宋体" w:cs="Times New Roman"/>
                <w:bCs/>
                <w:color w:val="000000" w:themeColor="text1"/>
                <w:kern w:val="0"/>
                <w:sz w:val="24"/>
                <w:szCs w:val="24"/>
                <w14:textFill>
                  <w14:solidFill>
                    <w14:schemeClr w14:val="tx1"/>
                  </w14:solidFill>
                </w14:textFill>
              </w:rPr>
              <w:t>=</w:t>
            </w:r>
            <w:r>
              <w:rPr>
                <w:rStyle w:val="69"/>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382</w:t>
            </w:r>
            <w:r>
              <w:rPr>
                <w:rStyle w:val="69"/>
                <w:rFonts w:hint="default" w:ascii="Times New Roman" w:hAnsi="Times New Roman" w:eastAsia="宋体" w:cs="Times New Roman"/>
                <w:bCs/>
                <w:color w:val="000000" w:themeColor="text1"/>
                <w:kern w:val="0"/>
                <w:sz w:val="24"/>
                <w:szCs w:val="24"/>
                <w14:textFill>
                  <w14:solidFill>
                    <w14:schemeClr w14:val="tx1"/>
                  </w14:solidFill>
                </w14:textFill>
              </w:rPr>
              <w:t>m</w:t>
            </w:r>
            <w:r>
              <w:rPr>
                <w:rStyle w:val="69"/>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Style w:val="69"/>
                <w:rFonts w:hint="default" w:ascii="Times New Roman" w:hAnsi="Times New Roman" w:eastAsia="宋体" w:cs="Times New Roman"/>
                <w:b w:val="0"/>
                <w:color w:val="000000" w:themeColor="text1"/>
                <w:kern w:val="0"/>
                <w:sz w:val="24"/>
                <w:szCs w:val="24"/>
                <w14:textFill>
                  <w14:solidFill>
                    <w14:schemeClr w14:val="tx1"/>
                  </w14:solidFill>
                </w14:textFill>
              </w:rPr>
              <w:t>。</w:t>
            </w:r>
          </w:p>
          <w:p w14:paraId="0031EF00">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kern w:val="0"/>
                <w:sz w:val="24"/>
                <w:szCs w:val="24"/>
                <w14:textFill>
                  <w14:solidFill>
                    <w14:schemeClr w14:val="tx1"/>
                  </w14:solidFill>
                </w14:textFill>
              </w:rPr>
              <w:t>—发生事故时仍必须进入该收集系统的生产废水量，单位为立方（m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72F7B7A5">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全厂无生产废水外排，</w:t>
            </w:r>
            <w:r>
              <w:rPr>
                <w:rFonts w:hint="default" w:ascii="Times New Roman" w:hAnsi="Times New Roman" w:eastAsia="宋体" w:cs="Times New Roman"/>
                <w:b/>
                <w:bCs/>
                <w:color w:val="000000" w:themeColor="text1"/>
                <w:kern w:val="0"/>
                <w:sz w:val="24"/>
                <w:szCs w:val="24"/>
                <w14:textFill>
                  <w14:solidFill>
                    <w14:schemeClr w14:val="tx1"/>
                  </w14:solidFill>
                </w14:textFill>
              </w:rPr>
              <w:t>V</w:t>
            </w:r>
            <w:r>
              <w:rPr>
                <w:rFonts w:hint="default" w:ascii="Times New Roman" w:hAnsi="Times New Roman" w:eastAsia="宋体" w:cs="Times New Roman"/>
                <w:b/>
                <w:bCs/>
                <w:color w:val="000000" w:themeColor="text1"/>
                <w:kern w:val="0"/>
                <w:sz w:val="24"/>
                <w:szCs w:val="24"/>
                <w:vertAlign w:val="subscript"/>
                <w14:textFill>
                  <w14:solidFill>
                    <w14:schemeClr w14:val="tx1"/>
                  </w14:solidFill>
                </w14:textFill>
              </w:rPr>
              <w:t>4</w:t>
            </w:r>
            <w:r>
              <w:rPr>
                <w:rFonts w:hint="default" w:ascii="Times New Roman" w:hAnsi="Times New Roman" w:eastAsia="宋体" w:cs="Times New Roman"/>
                <w:b/>
                <w:bCs/>
                <w:color w:val="000000" w:themeColor="text1"/>
                <w:kern w:val="0"/>
                <w:sz w:val="24"/>
                <w:szCs w:val="24"/>
                <w14:textFill>
                  <w14:solidFill>
                    <w14:schemeClr w14:val="tx1"/>
                  </w14:solidFill>
                </w14:textFill>
              </w:rPr>
              <w:t>=0m</w:t>
            </w:r>
            <w:r>
              <w:rPr>
                <w:rFonts w:hint="default" w:ascii="Times New Roman" w:hAnsi="Times New Roman" w:eastAsia="宋体" w:cs="Times New Roman"/>
                <w:b/>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75F5853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kern w:val="0"/>
                <w:sz w:val="24"/>
                <w:szCs w:val="24"/>
                <w14:textFill>
                  <w14:solidFill>
                    <w14:schemeClr w14:val="tx1"/>
                  </w14:solidFill>
                </w14:textFill>
              </w:rPr>
              <w:t>—发生事故时可能进入该收集系统的降雨量，单位为立方米（m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4939BB5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q—降雨强度，按平均日降雨量，单位为毫米（mm）；</w:t>
            </w:r>
          </w:p>
          <w:p w14:paraId="610717E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kern w:val="0"/>
                <w:sz w:val="24"/>
                <w:szCs w:val="24"/>
                <w14:textFill>
                  <w14:solidFill>
                    <w14:schemeClr w14:val="tx1"/>
                  </w14:solidFill>
                </w14:textFill>
              </w:rPr>
              <w:t>—年平均降雨量，单位为毫米（mm）；</w:t>
            </w:r>
          </w:p>
          <w:p w14:paraId="5226A1BF">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n—年平均降雨日数，单位为天（d）；</w:t>
            </w:r>
          </w:p>
          <w:p w14:paraId="7A8BBD6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f—必须进入事故废水收集系统的雨水汇水面积，单位为公顷（ha）；</w:t>
            </w:r>
          </w:p>
          <w:p w14:paraId="4C34CFDB">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常州历年年平均降水量为1100毫米，日平均降雨量q=8.54mm，事故状态下污染区园区有效汇水面积约5ha，</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V5＝10qf=10*8.54*5=427m</w:t>
            </w:r>
            <w:r>
              <w:rPr>
                <w:rFonts w:hint="eastAsia" w:ascii="Times New Roman" w:hAnsi="Times New Roman" w:eastAsia="宋体" w:cs="Times New Roman"/>
                <w:b/>
                <w:bCs/>
                <w:color w:val="000000" w:themeColor="text1"/>
                <w:kern w:val="0"/>
                <w:sz w:val="24"/>
                <w:szCs w:val="24"/>
                <w:vertAlign w:val="superscript"/>
                <w:lang w:val="en-US" w:eastAsia="zh-CN"/>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4DE21289">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计算过程：</w:t>
            </w:r>
          </w:p>
          <w:p w14:paraId="7C3B3C6B">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总</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max</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382</w:t>
            </w:r>
            <w:r>
              <w:rPr>
                <w:rFonts w:hint="default" w:ascii="Times New Roman" w:hAnsi="Times New Roman" w:eastAsia="宋体" w:cs="Times New Roman"/>
                <w:color w:val="000000" w:themeColor="text1"/>
                <w:kern w:val="0"/>
                <w:sz w:val="24"/>
                <w:szCs w:val="24"/>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427</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122</w:t>
            </w:r>
            <w:r>
              <w:rPr>
                <w:rFonts w:hint="default" w:ascii="Times New Roman" w:hAnsi="Times New Roman" w:eastAsia="宋体" w:cs="Times New Roman"/>
                <w:color w:val="000000" w:themeColor="text1"/>
                <w:kern w:val="0"/>
                <w:sz w:val="24"/>
                <w:szCs w:val="24"/>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p>
          <w:p w14:paraId="61780B90">
            <w:pPr>
              <w:pStyle w:val="68"/>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val="0"/>
                <w:color w:val="000000" w:themeColor="text1"/>
                <w:kern w:val="0"/>
                <w:sz w:val="24"/>
                <w:szCs w:val="24"/>
                <w14:textFill>
                  <w14:solidFill>
                    <w14:schemeClr w14:val="tx1"/>
                  </w14:solidFill>
                </w14:textFill>
              </w:rPr>
              <w:t>经计算，企业应急事故废水最大量为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122</w:t>
            </w:r>
            <w:r>
              <w:rPr>
                <w:rFonts w:hint="default" w:ascii="Times New Roman" w:hAnsi="Times New Roman" w:eastAsia="宋体" w:cs="Times New Roman"/>
                <w:b w:val="0"/>
                <w:color w:val="000000" w:themeColor="text1"/>
                <w:kern w:val="0"/>
                <w:sz w:val="24"/>
                <w:szCs w:val="24"/>
                <w14:textFill>
                  <w14:solidFill>
                    <w14:schemeClr w14:val="tx1"/>
                  </w14:solidFill>
                </w14:textFill>
              </w:rPr>
              <w:t>m</w:t>
            </w:r>
            <w:r>
              <w:rPr>
                <w:rFonts w:hint="default" w:ascii="Times New Roman" w:hAnsi="Times New Roman" w:eastAsia="宋体" w:cs="Times New Roman"/>
                <w:b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color w:val="000000" w:themeColor="text1"/>
                <w:kern w:val="0"/>
                <w:sz w:val="24"/>
                <w:szCs w:val="24"/>
                <w14:textFill>
                  <w14:solidFill>
                    <w14:schemeClr w14:val="tx1"/>
                  </w14:solidFill>
                </w14:textFill>
              </w:rPr>
              <w:t>，</w:t>
            </w:r>
            <w:r>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t>本项目依托园区已建86m</w:t>
            </w:r>
            <w:r>
              <w:rPr>
                <w:rFonts w:hint="default" w:ascii="Times New Roman" w:hAnsi="Times New Roman" w:eastAsia="宋体" w:cs="Times New Roman"/>
                <w:b w:val="0"/>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t>事故应急池</w:t>
            </w:r>
            <w:r>
              <w:rPr>
                <w:rFonts w:hint="eastAsia" w:ascii="Times New Roman" w:hAnsi="Times New Roman" w:eastAsia="宋体" w:cs="Times New Roman"/>
                <w:b w:val="0"/>
                <w:color w:val="000000" w:themeColor="text1"/>
                <w:kern w:val="0"/>
                <w:sz w:val="24"/>
                <w:szCs w:val="24"/>
                <w:lang w:val="en-US" w:eastAsia="zh-CN"/>
                <w14:textFill>
                  <w14:solidFill>
                    <w14:schemeClr w14:val="tx1"/>
                  </w14:solidFill>
                </w14:textFill>
              </w:rPr>
              <w:t>，企业自备40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eastAsia" w:ascii="Times New Roman" w:hAnsi="Times New Roman" w:eastAsia="宋体" w:cs="Times New Roman"/>
                <w:b w:val="0"/>
                <w:color w:val="000000" w:themeColor="text1"/>
                <w:kern w:val="0"/>
                <w:sz w:val="24"/>
                <w:szCs w:val="24"/>
                <w:lang w:val="en-US" w:eastAsia="zh-CN"/>
                <w14:textFill>
                  <w14:solidFill>
                    <w14:schemeClr w14:val="tx1"/>
                  </w14:solidFill>
                </w14:textFill>
              </w:rPr>
              <w:t>的污水收纳袋，</w:t>
            </w:r>
            <w:r>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t>可以满足</w:t>
            </w:r>
            <w:r>
              <w:rPr>
                <w:rFonts w:hint="eastAsia" w:ascii="Times New Roman" w:hAnsi="Times New Roman" w:eastAsia="宋体" w:cs="Times New Roman"/>
                <w:b w:val="0"/>
                <w:color w:val="000000" w:themeColor="text1"/>
                <w:kern w:val="0"/>
                <w:sz w:val="24"/>
                <w:szCs w:val="24"/>
                <w:lang w:val="en-US" w:eastAsia="zh-CN"/>
                <w14:textFill>
                  <w14:solidFill>
                    <w14:schemeClr w14:val="tx1"/>
                  </w14:solidFill>
                </w14:textFill>
              </w:rPr>
              <w:t>事故状态下</w:t>
            </w:r>
            <w:r>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t>事故废水存放需求</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。一旦本项目发生事故，企业立即通知</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园区</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关闭雨水阀门，并打开应急事故池阀门，消防废水、污染雨水、泄漏物料经雨水管网收集进入事故应急池，利用与事故应急池连接的雨水管网使事故废水流入事故应急池内</w:t>
            </w:r>
            <w:r>
              <w:rPr>
                <w:rFonts w:hint="eastAsia" w:ascii="Times New Roman" w:hAnsi="Times New Roman" w:eastAsia="宋体"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同时企业打开抽水泵，将事故废水抽入污水收纳袋暂存，企业再根据事件消防水性质接污水管排放或委托有资质单位处理。</w:t>
            </w:r>
          </w:p>
          <w:p w14:paraId="4A833C19">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2）贮存过程中的风险防范措施</w:t>
            </w:r>
          </w:p>
          <w:p w14:paraId="2466F9D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①易燃危险化学品应储存在阴凉、通风区域内；远离火种、热源和避免阳光直射；配备相应品种和数量消防器材；禁止使用易产生火花的机械设备和工具；要设置</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危险</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禁止烟火</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防潮”等警示标志。</w:t>
            </w:r>
          </w:p>
          <w:p w14:paraId="4ED03450">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②各种物料应按其相应堆存规范堆置，禁止堆栈过高，防止滚动。</w:t>
            </w:r>
          </w:p>
          <w:p w14:paraId="09B093B9">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③仓库和危险废物暂存场所存放危险物质，为防止泄漏造成污染，应在仓库内采用混凝土防渗；危险废物暂存场所必须按照《危险废物贮存污染控制标准》（GB18597-2023）的要求设置。</w:t>
            </w:r>
          </w:p>
          <w:p w14:paraId="3F345FDD">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kern w:val="0"/>
                <w:sz w:val="24"/>
                <w:szCs w:val="24"/>
                <w14:textFill>
                  <w14:solidFill>
                    <w14:schemeClr w14:val="tx1"/>
                  </w14:solidFill>
                </w14:textFill>
              </w:rPr>
              <w:t>物料泄漏事故的防范措施</w:t>
            </w:r>
          </w:p>
          <w:p w14:paraId="59857ED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5B39C02F">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①严格执行安全和消防规范。</w:t>
            </w:r>
          </w:p>
          <w:p w14:paraId="6CF0DD3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②应经常对各类阀门进行检查和维修，以保证其严密性和灵活性，对压力计、温度计及各种调节器进行定期检查。</w:t>
            </w:r>
          </w:p>
          <w:p w14:paraId="6B1236D6">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③对操作人员进行系统教育，严格按操作规程进行操作，严禁违章作业。加强个人防护，作业岗位应配有防护用品，并定期检查维修，保证使用效果。</w:t>
            </w:r>
          </w:p>
          <w:p w14:paraId="00A89117">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）废气处理装置事故应急措施</w:t>
            </w:r>
          </w:p>
          <w:p w14:paraId="11EF26D9">
            <w:pPr>
              <w:pStyle w:val="10"/>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现场操作人员发现废气处理装置发生故障后，应立即停止生产，相关人员对废气处理装置进行故障排除，待故障解决、装置运行正常后再进行生产。</w:t>
            </w:r>
          </w:p>
          <w:p w14:paraId="790A5239">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③突发事故对策和应急预案</w:t>
            </w:r>
          </w:p>
          <w:p w14:paraId="2CBF5EDE">
            <w:pPr>
              <w:pStyle w:val="33"/>
              <w:keepNext w:val="0"/>
              <w:keepLines w:val="0"/>
              <w:pageBreakBefore w:val="0"/>
              <w:kinsoku/>
              <w:wordWrap/>
              <w:overflowPunct/>
              <w:topLinePunct w:val="0"/>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val="0"/>
                <w:bCs/>
                <w:color w:val="000000" w:themeColor="text1"/>
                <w:kern w:val="0"/>
                <w:sz w:val="24"/>
                <w:szCs w:val="24"/>
                <w14:textFill>
                  <w14:solidFill>
                    <w14:schemeClr w14:val="tx1"/>
                  </w14:solidFill>
                </w14:textFill>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530726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default" w:ascii="Times New Roman" w:hAnsi="Times New Roman" w:eastAsia="宋体" w:cs="Times New Roman"/>
                <w:b/>
                <w:color w:val="000000" w:themeColor="text1"/>
                <w:kern w:val="0"/>
                <w:sz w:val="24"/>
                <w:szCs w:val="24"/>
                <w14:textFill>
                  <w14:solidFill>
                    <w14:schemeClr w14:val="tx1"/>
                  </w14:solidFill>
                </w14:textFill>
              </w:rPr>
              <w:t>表4-</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43</w:t>
            </w:r>
            <w:r>
              <w:rPr>
                <w:rFonts w:hint="default" w:ascii="Times New Roman" w:hAnsi="Times New Roman" w:eastAsia="宋体" w:cs="Times New Roman"/>
                <w:b/>
                <w:color w:val="000000" w:themeColor="text1"/>
                <w:kern w:val="0"/>
                <w:sz w:val="24"/>
                <w:szCs w:val="24"/>
                <w14:textFill>
                  <w14:solidFill>
                    <w14:schemeClr w14:val="tx1"/>
                  </w14:solidFill>
                </w14:textFill>
              </w:rPr>
              <w:t xml:space="preserve">  应急预案内容</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13"/>
              <w:gridCol w:w="3045"/>
              <w:gridCol w:w="4803"/>
            </w:tblGrid>
            <w:tr w14:paraId="14CB05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26F2CF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1757" w:type="pct"/>
                  <w:vAlign w:val="center"/>
                </w:tcPr>
                <w:p w14:paraId="4394B0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项目</w:t>
                  </w:r>
                </w:p>
              </w:tc>
              <w:tc>
                <w:tcPr>
                  <w:tcW w:w="2772" w:type="pct"/>
                  <w:vAlign w:val="center"/>
                </w:tcPr>
                <w:p w14:paraId="38DFE5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内容及要求</w:t>
                  </w:r>
                </w:p>
              </w:tc>
            </w:tr>
            <w:tr w14:paraId="6F3C93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8AE95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757" w:type="pct"/>
                  <w:vAlign w:val="center"/>
                </w:tcPr>
                <w:p w14:paraId="353BAA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应急计划区</w:t>
                  </w:r>
                </w:p>
              </w:tc>
              <w:tc>
                <w:tcPr>
                  <w:tcW w:w="2772" w:type="pct"/>
                  <w:vAlign w:val="center"/>
                </w:tcPr>
                <w:p w14:paraId="4761E2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危险目标：</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危废暂存间</w:t>
                  </w:r>
                  <w:r>
                    <w:rPr>
                      <w:rFonts w:hint="default" w:ascii="Times New Roman" w:hAnsi="Times New Roman" w:eastAsia="宋体" w:cs="Times New Roman"/>
                      <w:color w:val="000000" w:themeColor="text1"/>
                      <w:kern w:val="0"/>
                      <w:sz w:val="21"/>
                      <w:szCs w:val="21"/>
                      <w14:textFill>
                        <w14:solidFill>
                          <w14:schemeClr w14:val="tx1"/>
                        </w14:solidFill>
                      </w14:textFill>
                    </w:rPr>
                    <w:t>、环境保护目标等</w:t>
                  </w:r>
                </w:p>
              </w:tc>
            </w:tr>
            <w:tr w14:paraId="759825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0E79E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1757" w:type="pct"/>
                  <w:vAlign w:val="center"/>
                </w:tcPr>
                <w:p w14:paraId="3B23E9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应急组织机构、人员</w:t>
                  </w:r>
                </w:p>
              </w:tc>
              <w:tc>
                <w:tcPr>
                  <w:tcW w:w="2772" w:type="pct"/>
                  <w:vAlign w:val="center"/>
                </w:tcPr>
                <w:p w14:paraId="67BD55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工厂、地区应急组织机构、人员</w:t>
                  </w:r>
                </w:p>
              </w:tc>
            </w:tr>
            <w:tr w14:paraId="411C35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DB3E4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1757" w:type="pct"/>
                  <w:vAlign w:val="center"/>
                </w:tcPr>
                <w:p w14:paraId="3BD83E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预案分级响应条件</w:t>
                  </w:r>
                </w:p>
              </w:tc>
              <w:tc>
                <w:tcPr>
                  <w:tcW w:w="2772" w:type="pct"/>
                  <w:vAlign w:val="center"/>
                </w:tcPr>
                <w:p w14:paraId="593098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规定预案的级别及分级响应程序</w:t>
                  </w:r>
                </w:p>
              </w:tc>
            </w:tr>
            <w:tr w14:paraId="29F32E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3E300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w:t>
                  </w:r>
                </w:p>
              </w:tc>
              <w:tc>
                <w:tcPr>
                  <w:tcW w:w="1757" w:type="pct"/>
                  <w:vAlign w:val="center"/>
                </w:tcPr>
                <w:p w14:paraId="4EF132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应急救援保障</w:t>
                  </w:r>
                </w:p>
              </w:tc>
              <w:tc>
                <w:tcPr>
                  <w:tcW w:w="2772" w:type="pct"/>
                  <w:vAlign w:val="center"/>
                </w:tcPr>
                <w:p w14:paraId="0C5FBB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应急设施，设备与器材等</w:t>
                  </w:r>
                </w:p>
              </w:tc>
            </w:tr>
            <w:tr w14:paraId="33BC09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25B79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w:t>
                  </w:r>
                </w:p>
              </w:tc>
              <w:tc>
                <w:tcPr>
                  <w:tcW w:w="1757" w:type="pct"/>
                  <w:vAlign w:val="center"/>
                </w:tcPr>
                <w:p w14:paraId="4434EF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报警、通讯联络方式</w:t>
                  </w:r>
                </w:p>
              </w:tc>
              <w:tc>
                <w:tcPr>
                  <w:tcW w:w="2772" w:type="pct"/>
                  <w:vAlign w:val="center"/>
                </w:tcPr>
                <w:p w14:paraId="3299DC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规定应急状态下的报警通讯方式、通知方式和交通保障、管制</w:t>
                  </w:r>
                </w:p>
              </w:tc>
            </w:tr>
            <w:tr w14:paraId="444C26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288B9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w:t>
                  </w:r>
                </w:p>
              </w:tc>
              <w:tc>
                <w:tcPr>
                  <w:tcW w:w="1757" w:type="pct"/>
                  <w:vAlign w:val="center"/>
                </w:tcPr>
                <w:p w14:paraId="3062AE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应急检测、防护措施、器材</w:t>
                  </w:r>
                </w:p>
              </w:tc>
              <w:tc>
                <w:tcPr>
                  <w:tcW w:w="2772" w:type="pct"/>
                  <w:vAlign w:val="center"/>
                </w:tcPr>
                <w:p w14:paraId="0C973B66">
                  <w:pPr>
                    <w:pStyle w:val="7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事故现场、邻近区域、控制防火区域，控制和清除污染措施及相应设备</w:t>
                  </w:r>
                </w:p>
              </w:tc>
            </w:tr>
            <w:tr w14:paraId="039EFD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4EB4E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7</w:t>
                  </w:r>
                </w:p>
              </w:tc>
              <w:tc>
                <w:tcPr>
                  <w:tcW w:w="1757" w:type="pct"/>
                  <w:vAlign w:val="center"/>
                </w:tcPr>
                <w:p w14:paraId="0BC553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人员紧急撤离、疏散，应急剂量控制、撤离组织计划</w:t>
                  </w:r>
                </w:p>
              </w:tc>
              <w:tc>
                <w:tcPr>
                  <w:tcW w:w="2772" w:type="pct"/>
                  <w:vAlign w:val="center"/>
                </w:tcPr>
                <w:p w14:paraId="275332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事故现场、工厂邻近区、受事故影响的区域人员及公众对毒物应急剂量控制规定，撤离组织计划及救护，医疗救护与公众健康</w:t>
                  </w:r>
                </w:p>
              </w:tc>
            </w:tr>
            <w:tr w14:paraId="28B7C4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C82A6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w:t>
                  </w:r>
                </w:p>
              </w:tc>
              <w:tc>
                <w:tcPr>
                  <w:tcW w:w="1757" w:type="pct"/>
                  <w:vAlign w:val="center"/>
                </w:tcPr>
                <w:p w14:paraId="5A630F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事故应急救援关闭程序与恢复措施</w:t>
                  </w:r>
                </w:p>
              </w:tc>
              <w:tc>
                <w:tcPr>
                  <w:tcW w:w="2772" w:type="pct"/>
                  <w:vAlign w:val="center"/>
                </w:tcPr>
                <w:p w14:paraId="3F83DF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规定应急状态终止程序</w:t>
                  </w:r>
                </w:p>
                <w:p w14:paraId="452F2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事故现场善后处理，恢复措施</w:t>
                  </w:r>
                </w:p>
                <w:p w14:paraId="57085C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邻近区域解除事故警戒及善后恢复措施</w:t>
                  </w:r>
                </w:p>
              </w:tc>
            </w:tr>
            <w:tr w14:paraId="19141A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F6A38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9</w:t>
                  </w:r>
                </w:p>
              </w:tc>
              <w:tc>
                <w:tcPr>
                  <w:tcW w:w="1757" w:type="pct"/>
                  <w:vAlign w:val="center"/>
                </w:tcPr>
                <w:p w14:paraId="06B38B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应急培训计划</w:t>
                  </w:r>
                </w:p>
              </w:tc>
              <w:tc>
                <w:tcPr>
                  <w:tcW w:w="2772" w:type="pct"/>
                  <w:vAlign w:val="center"/>
                </w:tcPr>
                <w:p w14:paraId="07A559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应急计划制定后，平时安排人员培训与演练</w:t>
                  </w:r>
                </w:p>
              </w:tc>
            </w:tr>
          </w:tbl>
          <w:p w14:paraId="4016FBF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75A8A757">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eastAsia="宋体" w:cs="Times New Roman"/>
                <w:b/>
                <w:bCs/>
                <w:color w:val="000000" w:themeColor="text1"/>
                <w:kern w:val="0"/>
                <w:sz w:val="24"/>
                <w:szCs w:val="24"/>
                <w:lang w:eastAsia="zh-CN"/>
                <w14:textFill>
                  <w14:solidFill>
                    <w14:schemeClr w14:val="tx1"/>
                  </w14:solidFill>
                </w14:textFill>
              </w:rPr>
              <w:t>（</w:t>
            </w:r>
            <w:r>
              <w:rPr>
                <w:rFonts w:hint="eastAsia" w:eastAsia="宋体" w:cs="Times New Roman"/>
                <w:b/>
                <w:bCs/>
                <w:color w:val="000000" w:themeColor="text1"/>
                <w:kern w:val="0"/>
                <w:sz w:val="24"/>
                <w:szCs w:val="24"/>
                <w:lang w:val="en-US" w:eastAsia="zh-CN"/>
                <w14:textFill>
                  <w14:solidFill>
                    <w14:schemeClr w14:val="tx1"/>
                  </w14:solidFill>
                </w14:textFill>
              </w:rPr>
              <w:t>3</w:t>
            </w:r>
            <w:r>
              <w:rPr>
                <w:rFonts w:hint="eastAsia" w:eastAsia="宋体" w:cs="Times New Roman"/>
                <w:b/>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企业</w:t>
            </w:r>
            <w:r>
              <w:rPr>
                <w:rFonts w:hint="default" w:ascii="Times New Roman" w:hAnsi="Times New Roman" w:eastAsia="宋体" w:cs="Times New Roman"/>
                <w:b/>
                <w:bCs/>
                <w:color w:val="000000" w:themeColor="text1"/>
                <w:kern w:val="0"/>
                <w:sz w:val="24"/>
                <w:szCs w:val="24"/>
                <w14:textFill>
                  <w14:solidFill>
                    <w14:schemeClr w14:val="tx1"/>
                  </w14:solidFill>
                </w14:textFill>
              </w:rPr>
              <w:t>环境风险三级防范</w:t>
            </w:r>
            <w:r>
              <w:rPr>
                <w:rFonts w:hint="default" w:ascii="Times New Roman" w:hAnsi="Times New Roman" w:eastAsia="宋体" w:cs="Times New Roman"/>
                <w:b/>
                <w:bCs/>
                <w:color w:val="000000" w:themeColor="text1"/>
                <w:kern w:val="0"/>
                <w:sz w:val="24"/>
                <w:szCs w:val="24"/>
                <w:lang w:eastAsia="zh-CN"/>
                <w14:textFill>
                  <w14:solidFill>
                    <w14:schemeClr w14:val="tx1"/>
                  </w14:solidFill>
                </w14:textFill>
              </w:rPr>
              <w:t>措施</w:t>
            </w:r>
          </w:p>
          <w:p w14:paraId="407769A9">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根据《建设项目环境风险评价技术导则》（HJ169-2018），事故废水环境风险防范采取“单元-厂区-园区/区域”的三级防控措施，杜绝环境风险事故造成污染事件，将环境风险事故排水及污染物控制在厂区内。</w:t>
            </w:r>
          </w:p>
          <w:p w14:paraId="63B92DC4">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一级防控措施将污染物控制在生产区风险单元；二级防控是将污染物控制在厂区；三级防控将污染物控制在区域内，确保生产非正常状态下不发生污染事件。具体设计要求如下：</w:t>
            </w:r>
          </w:p>
          <w:p w14:paraId="0D20FFA3">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A.一级防控：厂区各风险单元如车间中的清洗区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1D0DE580">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B.二级防控：</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园区内已建设</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1个</w:t>
            </w:r>
            <w:r>
              <w:rPr>
                <w:rFonts w:hint="eastAsia" w:eastAsia="宋体" w:cs="Times New Roman"/>
                <w:b w:val="0"/>
                <w:bCs w:val="0"/>
                <w:color w:val="000000" w:themeColor="text1"/>
                <w:kern w:val="0"/>
                <w:sz w:val="24"/>
                <w:szCs w:val="24"/>
                <w:lang w:val="en-US" w:eastAsia="zh-CN"/>
                <w14:textFill>
                  <w14:solidFill>
                    <w14:schemeClr w14:val="tx1"/>
                  </w14:solidFill>
                </w14:textFill>
              </w:rPr>
              <w:t>86</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的事故应急池</w:t>
            </w:r>
            <w:r>
              <w:rPr>
                <w:rFonts w:hint="eastAsia" w:eastAsia="宋体" w:cs="Times New Roman"/>
                <w:b w:val="0"/>
                <w:bCs w:val="0"/>
                <w:color w:val="000000" w:themeColor="text1"/>
                <w:kern w:val="0"/>
                <w:sz w:val="24"/>
                <w:szCs w:val="24"/>
                <w:lang w:val="en-US" w:eastAsia="zh-CN"/>
                <w14:textFill>
                  <w14:solidFill>
                    <w14:schemeClr w14:val="tx1"/>
                  </w14:solidFill>
                </w14:textFill>
              </w:rPr>
              <w:t>，企业自备40</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kern w:val="0"/>
                <w:sz w:val="24"/>
                <w:szCs w:val="24"/>
                <w:vertAlign w:val="superscript"/>
                <w:lang w:val="en-US" w:eastAsia="zh-CN"/>
                <w14:textFill>
                  <w14:solidFill>
                    <w14:schemeClr w14:val="tx1"/>
                  </w14:solidFill>
                </w14:textFill>
              </w:rPr>
              <w:t>3</w:t>
            </w:r>
            <w:r>
              <w:rPr>
                <w:rFonts w:hint="eastAsia" w:eastAsia="宋体" w:cs="Times New Roman"/>
                <w:b w:val="0"/>
                <w:bCs w:val="0"/>
                <w:color w:val="000000" w:themeColor="text1"/>
                <w:kern w:val="0"/>
                <w:sz w:val="24"/>
                <w:szCs w:val="24"/>
                <w:lang w:val="en-US" w:eastAsia="zh-CN"/>
                <w14:textFill>
                  <w14:solidFill>
                    <w14:schemeClr w14:val="tx1"/>
                  </w14:solidFill>
                </w14:textFill>
              </w:rPr>
              <w:t>的污水收纳袋</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能够满足事故状态下事故废水的收集。一旦发生事故，立即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071B3185">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C.三级防控：若未及时收集，消防废水或泄漏物料通过雨水管网流到厂外，立即关闭厂区雨水排放口阀门，同时上报企业应急管理机构，迅速向上级管理部门报告并请求外部增援。</w:t>
            </w:r>
          </w:p>
          <w:p w14:paraId="11E9F520">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w:t>
            </w:r>
            <w:r>
              <w:rPr>
                <w:rFonts w:hint="eastAsia" w:eastAsia="宋体" w:cs="Times New Roman"/>
                <w:b w:val="0"/>
                <w:bCs w:val="0"/>
                <w:color w:val="000000" w:themeColor="text1"/>
                <w:kern w:val="0"/>
                <w:sz w:val="24"/>
                <w:szCs w:val="24"/>
                <w:lang w:val="en-US" w:eastAsia="zh-CN"/>
                <w14:textFill>
                  <w14:solidFill>
                    <w14:schemeClr w14:val="tx1"/>
                  </w14:solidFill>
                </w14:textFill>
              </w:rPr>
              <w:t>的尧塘河</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；投加活性炭等吸附材料，就地投加药剂处置，或将污染水抽至安全地方处置。同时根据泄漏液特性进行泄漏液收集、开展河水上下游的水质监测。</w:t>
            </w:r>
          </w:p>
          <w:p w14:paraId="5A657804">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eastAsia" w:ascii="Times New Roman" w:hAnsi="Times New Roman" w:eastAsia="宋体" w:cs="Times New Roman"/>
                <w:b/>
                <w:bCs/>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三级防控体系能确保事故状态下的泄漏物料、消防废水等全部处于受控状态，实现对事故废水源头、过程和终端的预防和控制，使环境风险可控，降低对厂区外界环境造成的影响。</w:t>
            </w:r>
          </w:p>
          <w:p w14:paraId="56A315D0">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eastAsia" w:eastAsia="宋体" w:cs="Times New Roman"/>
                <w:b/>
                <w:bCs/>
                <w:color w:val="000000" w:themeColor="text1"/>
                <w:kern w:val="0"/>
                <w:sz w:val="24"/>
                <w:szCs w:val="24"/>
                <w:lang w:eastAsia="zh-CN"/>
                <w14:textFill>
                  <w14:solidFill>
                    <w14:schemeClr w14:val="tx1"/>
                  </w14:solidFill>
                </w14:textFill>
              </w:rPr>
              <w:t>（</w:t>
            </w:r>
            <w:r>
              <w:rPr>
                <w:rFonts w:hint="eastAsia" w:eastAsia="宋体" w:cs="Times New Roman"/>
                <w:b/>
                <w:bCs/>
                <w:color w:val="000000" w:themeColor="text1"/>
                <w:kern w:val="0"/>
                <w:sz w:val="24"/>
                <w:szCs w:val="24"/>
                <w:lang w:val="en-US" w:eastAsia="zh-CN"/>
                <w14:textFill>
                  <w14:solidFill>
                    <w14:schemeClr w14:val="tx1"/>
                  </w14:solidFill>
                </w14:textFill>
              </w:rPr>
              <w:t>4</w:t>
            </w:r>
            <w:r>
              <w:rPr>
                <w:rFonts w:hint="eastAsia" w:eastAsia="宋体" w:cs="Times New Roman"/>
                <w:b/>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14:textFill>
                  <w14:solidFill>
                    <w14:schemeClr w14:val="tx1"/>
                  </w14:solidFill>
                </w14:textFill>
              </w:rPr>
              <w:t>与常州市金坛区应急管理局的联动</w:t>
            </w:r>
          </w:p>
          <w:p w14:paraId="6CB4A9FF">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根据《省生态环境厅关于做好安全生产专项整治工作实施方案》</w:t>
            </w: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苏环办</w:t>
            </w:r>
            <w:r>
              <w:rPr>
                <w:rFonts w:hint="default" w:ascii="Times New Roman" w:hAnsi="Times New Roman" w:eastAsia="宋体" w:cs="Times New Roman"/>
                <w:b w:val="0"/>
                <w:bCs w:val="0"/>
                <w:color w:val="000000" w:themeColor="text1"/>
                <w:kern w:val="0"/>
                <w:sz w:val="24"/>
                <w:szCs w:val="24"/>
                <w:lang w:eastAsia="zh-CN"/>
                <w14:textFill>
                  <w14:solidFill>
                    <w14:schemeClr w14:val="tx1"/>
                  </w14:solidFill>
                </w14:textFill>
              </w:rPr>
              <w:t>〔2020〕16号</w:t>
            </w:r>
            <w:r>
              <w:rPr>
                <w:rFonts w:hint="eastAsia"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、《关于做好生态环境和应急管理部门联动工作的意见》（苏环办</w:t>
            </w:r>
            <w:r>
              <w:rPr>
                <w:rFonts w:hint="default" w:ascii="Times New Roman" w:hAnsi="Times New Roman" w:eastAsia="宋体" w:cs="Times New Roman"/>
                <w:b w:val="0"/>
                <w:bCs w:val="0"/>
                <w:color w:val="000000" w:themeColor="text1"/>
                <w:kern w:val="0"/>
                <w:sz w:val="24"/>
                <w:szCs w:val="24"/>
                <w:lang w:eastAsia="zh-CN"/>
                <w14:textFill>
                  <w14:solidFill>
                    <w14:schemeClr w14:val="tx1"/>
                  </w14:solidFill>
                </w14:textFill>
              </w:rPr>
              <w:t>〔2020〕101号</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）相关要求，项目建成后需开展</w:t>
            </w:r>
            <w:r>
              <w:rPr>
                <w:rFonts w:hint="eastAsia" w:eastAsia="宋体" w:cs="Times New Roman"/>
                <w:b w:val="0"/>
                <w:bCs w:val="0"/>
                <w:color w:val="000000" w:themeColor="text1"/>
                <w:kern w:val="0"/>
                <w:sz w:val="24"/>
                <w:szCs w:val="24"/>
                <w:lang w:val="en-US" w:eastAsia="zh-CN"/>
                <w14:textFill>
                  <w14:solidFill>
                    <w14:schemeClr w14:val="tx1"/>
                  </w14:solidFill>
                </w14:textFill>
              </w:rPr>
              <w:t>废气、废水</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、固废等污染防治措施安全论证并获得常州市金坛区应急管理局的许可。</w:t>
            </w:r>
          </w:p>
          <w:p w14:paraId="50A28B1F">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eastAsia" w:eastAsia="宋体" w:cs="Times New Roman"/>
                <w:b/>
                <w:bCs/>
                <w:color w:val="000000" w:themeColor="text1"/>
                <w:kern w:val="0"/>
                <w:sz w:val="24"/>
                <w:szCs w:val="24"/>
                <w:lang w:val="en-US" w:eastAsia="zh-CN"/>
                <w14:textFill>
                  <w14:solidFill>
                    <w14:schemeClr w14:val="tx1"/>
                  </w14:solidFill>
                </w14:textFill>
              </w:rPr>
            </w:pPr>
            <w:r>
              <w:rPr>
                <w:rFonts w:hint="eastAsia" w:eastAsia="宋体" w:cs="Times New Roman"/>
                <w:b/>
                <w:bCs/>
                <w:color w:val="000000" w:themeColor="text1"/>
                <w:kern w:val="0"/>
                <w:sz w:val="24"/>
                <w:szCs w:val="24"/>
                <w:lang w:val="en-US" w:eastAsia="zh-CN"/>
                <w14:textFill>
                  <w14:solidFill>
                    <w14:schemeClr w14:val="tx1"/>
                  </w14:solidFill>
                </w14:textFill>
              </w:rPr>
              <w:t>与金坛区应急预案联动：</w:t>
            </w:r>
          </w:p>
          <w:p w14:paraId="335DA987">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eastAsia" w:eastAsia="宋体" w:cs="Times New Roman"/>
                <w:b w:val="0"/>
                <w:bCs w:val="0"/>
                <w:color w:val="000000" w:themeColor="text1"/>
                <w:kern w:val="0"/>
                <w:sz w:val="24"/>
                <w:szCs w:val="24"/>
                <w:lang w:val="en-US" w:eastAsia="zh-CN"/>
                <w14:textFill>
                  <w14:solidFill>
                    <w14:schemeClr w14:val="tx1"/>
                  </w14:solidFill>
                </w14:textFill>
              </w:rPr>
            </w:pPr>
            <w:r>
              <w:rPr>
                <w:rFonts w:hint="eastAsia" w:eastAsia="宋体" w:cs="Times New Roman"/>
                <w:b w:val="0"/>
                <w:bCs w:val="0"/>
                <w:color w:val="000000" w:themeColor="text1"/>
                <w:kern w:val="0"/>
                <w:sz w:val="24"/>
                <w:szCs w:val="24"/>
                <w:lang w:val="en-US" w:eastAsia="zh-CN"/>
                <w14:textFill>
                  <w14:solidFill>
                    <w14:schemeClr w14:val="tx1"/>
                  </w14:solidFill>
                </w14:textFill>
              </w:rPr>
              <w:t>企业一旦发生环境风险事故，首先启动企业环境应急预案，采取自救。Ⅱ级及以下环境事件由企业相关部门自行处置，I级事件由企业及金坛区相关部门负责处理。</w:t>
            </w:r>
          </w:p>
          <w:p w14:paraId="75072CF5">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eastAsia" w:ascii="Times New Roman" w:hAnsi="Times New Roman" w:eastAsia="宋体" w:cs="Times New Roman"/>
                <w:b/>
                <w:bCs/>
                <w:color w:val="000000" w:themeColor="text1"/>
                <w:kern w:val="0"/>
                <w:sz w:val="24"/>
                <w:szCs w:val="24"/>
                <w:lang w:eastAsia="zh-CN"/>
                <w14:textFill>
                  <w14:solidFill>
                    <w14:schemeClr w14:val="tx1"/>
                  </w14:solidFill>
                </w14:textFill>
              </w:rPr>
            </w:pPr>
            <w:r>
              <w:rPr>
                <w:rFonts w:hint="eastAsia" w:eastAsia="宋体" w:cs="Times New Roman"/>
                <w:b w:val="0"/>
                <w:bCs w:val="0"/>
                <w:color w:val="000000" w:themeColor="text1"/>
                <w:kern w:val="0"/>
                <w:sz w:val="24"/>
                <w:szCs w:val="24"/>
                <w:lang w:val="en-US" w:eastAsia="zh-CN"/>
                <w14:textFill>
                  <w14:solidFill>
                    <w14:schemeClr w14:val="tx1"/>
                  </w14:solidFill>
                </w14:textFill>
              </w:rPr>
              <w:t>事件超出本级应急处置能力时，请求上一级应急救援指挥机构处理。当事件超出公司内部应急处置能力时，企业应迅速向金坛区政府等上级领导机关报告并请求外部增援。当地政府及有关部门介入后，公司内部应急救援组织将服从外部救援队伍的指挥，并协助进行相应职责的应急救援工作。</w:t>
            </w:r>
          </w:p>
          <w:p w14:paraId="0A9A2BC9">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eastAsia" w:eastAsia="宋体" w:cs="Times New Roman"/>
                <w:b/>
                <w:bCs/>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szCs w:val="24"/>
                <w14:textFill>
                  <w14:solidFill>
                    <w14:schemeClr w14:val="tx1"/>
                  </w14:solidFill>
                </w14:textFill>
              </w:rPr>
              <w:t>）环境风险结论</w:t>
            </w:r>
          </w:p>
          <w:p w14:paraId="0795A4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因此本项目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风险可防控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4424FBD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本项目实施后，按要求编制环保设施安全风险辨识评估报告。</w:t>
            </w:r>
          </w:p>
          <w:p w14:paraId="3CCD51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七、电磁辐射</w:t>
            </w:r>
          </w:p>
          <w:p w14:paraId="15C37A6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本项目不涉及电磁辐射。</w:t>
            </w:r>
          </w:p>
        </w:tc>
      </w:tr>
    </w:tbl>
    <w:p w14:paraId="16EA978A">
      <w:pPr>
        <w:rPr>
          <w:rFonts w:hint="default" w:ascii="Times New Roman" w:hAnsi="Times New Roman" w:eastAsia="宋体" w:cs="Times New Roman"/>
          <w:color w:val="000000" w:themeColor="text1"/>
          <w:sz w:val="24"/>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76DE454B">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五、环境保护措施监督检查清单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733"/>
        <w:gridCol w:w="1140"/>
        <w:gridCol w:w="1545"/>
        <w:gridCol w:w="2087"/>
        <w:gridCol w:w="1757"/>
      </w:tblGrid>
      <w:tr w14:paraId="19AC6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8" w:space="0"/>
              <w:left w:val="single" w:color="auto" w:sz="4" w:space="0"/>
              <w:bottom w:val="single" w:color="auto" w:sz="4" w:space="0"/>
              <w:tl2br w:val="single" w:color="auto" w:sz="4" w:space="0"/>
            </w:tcBorders>
          </w:tcPr>
          <w:p w14:paraId="09B6D82F">
            <w:pPr>
              <w:adjustRightInd w:val="0"/>
              <w:snapToGrid w:val="0"/>
              <w:ind w:firstLine="84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内容</w:t>
            </w:r>
          </w:p>
          <w:p w14:paraId="78F87CBD">
            <w:pPr>
              <w:adjustRightInd w:val="0"/>
              <w:snapToGrid w:val="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要素</w:t>
            </w:r>
          </w:p>
        </w:tc>
        <w:tc>
          <w:tcPr>
            <w:tcW w:w="1873" w:type="dxa"/>
            <w:gridSpan w:val="2"/>
            <w:vAlign w:val="center"/>
          </w:tcPr>
          <w:p w14:paraId="6AF7E975">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排放口</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编号、</w:t>
            </w:r>
          </w:p>
          <w:p w14:paraId="5890B2B4">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名称</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/污染源</w:t>
            </w:r>
          </w:p>
        </w:tc>
        <w:tc>
          <w:tcPr>
            <w:tcW w:w="1545" w:type="dxa"/>
            <w:vAlign w:val="center"/>
          </w:tcPr>
          <w:p w14:paraId="5800550D">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污染物项目</w:t>
            </w:r>
          </w:p>
        </w:tc>
        <w:tc>
          <w:tcPr>
            <w:tcW w:w="2087" w:type="dxa"/>
            <w:vAlign w:val="center"/>
          </w:tcPr>
          <w:p w14:paraId="26C4BFDC">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环境保护措施</w:t>
            </w:r>
          </w:p>
        </w:tc>
        <w:tc>
          <w:tcPr>
            <w:tcW w:w="1757" w:type="dxa"/>
            <w:vAlign w:val="center"/>
          </w:tcPr>
          <w:p w14:paraId="56827CED">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执行标准</w:t>
            </w:r>
          </w:p>
        </w:tc>
      </w:tr>
      <w:tr w14:paraId="454B3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6213FEB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大气环境</w:t>
            </w:r>
          </w:p>
        </w:tc>
        <w:tc>
          <w:tcPr>
            <w:tcW w:w="733" w:type="dxa"/>
            <w:tcBorders>
              <w:right w:val="single" w:color="auto" w:sz="4" w:space="0"/>
            </w:tcBorders>
            <w:vAlign w:val="center"/>
          </w:tcPr>
          <w:p w14:paraId="30C480A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有组织</w:t>
            </w:r>
          </w:p>
        </w:tc>
        <w:tc>
          <w:tcPr>
            <w:tcW w:w="1140" w:type="dxa"/>
            <w:tcBorders>
              <w:left w:val="single" w:color="auto" w:sz="4" w:space="0"/>
            </w:tcBorders>
            <w:vAlign w:val="center"/>
          </w:tcPr>
          <w:p w14:paraId="68D3723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DA00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排气筒</w:t>
            </w:r>
          </w:p>
        </w:tc>
        <w:tc>
          <w:tcPr>
            <w:tcW w:w="1545" w:type="dxa"/>
            <w:vAlign w:val="center"/>
          </w:tcPr>
          <w:p w14:paraId="0204CC04">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硫酸雾、非甲烷总烃、甲醇</w:t>
            </w:r>
          </w:p>
        </w:tc>
        <w:tc>
          <w:tcPr>
            <w:tcW w:w="2087" w:type="dxa"/>
            <w:vAlign w:val="center"/>
          </w:tcPr>
          <w:p w14:paraId="0B805DE9">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碱喷淋塔+除雾器+二级活性炭吸附装置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处理后通过20m排气筒排放</w:t>
            </w:r>
          </w:p>
        </w:tc>
        <w:tc>
          <w:tcPr>
            <w:tcW w:w="1757" w:type="dxa"/>
            <w:vAlign w:val="center"/>
          </w:tcPr>
          <w:p w14:paraId="26DF42E3">
            <w:pPr>
              <w:snapToGrid w:val="0"/>
              <w:jc w:val="center"/>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《大气污染物综合排放标准》（DB32/4041-2021）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表1</w:t>
            </w:r>
          </w:p>
        </w:tc>
      </w:tr>
      <w:tr w14:paraId="49E08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01EC101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733" w:type="dxa"/>
            <w:vMerge w:val="restart"/>
            <w:tcBorders>
              <w:right w:val="single" w:color="auto" w:sz="4" w:space="0"/>
            </w:tcBorders>
            <w:vAlign w:val="center"/>
          </w:tcPr>
          <w:p w14:paraId="122D8AC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无组织</w:t>
            </w:r>
          </w:p>
        </w:tc>
        <w:tc>
          <w:tcPr>
            <w:tcW w:w="1140" w:type="dxa"/>
            <w:tcBorders>
              <w:left w:val="single" w:color="auto" w:sz="4" w:space="0"/>
            </w:tcBorders>
            <w:vAlign w:val="center"/>
          </w:tcPr>
          <w:p w14:paraId="05B7CB6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厂界</w:t>
            </w:r>
          </w:p>
        </w:tc>
        <w:tc>
          <w:tcPr>
            <w:tcW w:w="1545" w:type="dxa"/>
            <w:vAlign w:val="center"/>
          </w:tcPr>
          <w:p w14:paraId="5F3BC1B4">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硫酸雾、非甲烷总烃、甲醇</w:t>
            </w:r>
          </w:p>
        </w:tc>
        <w:tc>
          <w:tcPr>
            <w:tcW w:w="2087" w:type="dxa"/>
            <w:vAlign w:val="center"/>
          </w:tcPr>
          <w:p w14:paraId="5F42B10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加强厂界通风、源头控制、加强管理</w:t>
            </w:r>
          </w:p>
        </w:tc>
        <w:tc>
          <w:tcPr>
            <w:tcW w:w="1757" w:type="dxa"/>
            <w:vAlign w:val="center"/>
          </w:tcPr>
          <w:p w14:paraId="2CA267C7">
            <w:pPr>
              <w:snapToGrid w:val="0"/>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《大气污染物综合排放标准》（DB32/4041-2021）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表3</w:t>
            </w:r>
          </w:p>
        </w:tc>
      </w:tr>
      <w:tr w14:paraId="4DCF2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42154AC4">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733" w:type="dxa"/>
            <w:vMerge w:val="continue"/>
            <w:tcBorders>
              <w:right w:val="single" w:color="auto" w:sz="4" w:space="0"/>
            </w:tcBorders>
            <w:vAlign w:val="center"/>
          </w:tcPr>
          <w:p w14:paraId="3D49B1F0">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140" w:type="dxa"/>
            <w:tcBorders>
              <w:left w:val="single" w:color="auto" w:sz="4" w:space="0"/>
            </w:tcBorders>
            <w:vAlign w:val="center"/>
          </w:tcPr>
          <w:p w14:paraId="24897D3C">
            <w:pPr>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厂房外</w:t>
            </w:r>
          </w:p>
        </w:tc>
        <w:tc>
          <w:tcPr>
            <w:tcW w:w="1545" w:type="dxa"/>
            <w:vAlign w:val="center"/>
          </w:tcPr>
          <w:p w14:paraId="1722FDCE">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p>
        </w:tc>
        <w:tc>
          <w:tcPr>
            <w:tcW w:w="2087" w:type="dxa"/>
            <w:vAlign w:val="center"/>
          </w:tcPr>
          <w:p w14:paraId="5C0C928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加强厂界通风、源头控制、加强管理</w:t>
            </w:r>
          </w:p>
        </w:tc>
        <w:tc>
          <w:tcPr>
            <w:tcW w:w="1757" w:type="dxa"/>
            <w:vAlign w:val="center"/>
          </w:tcPr>
          <w:p w14:paraId="15AA109B">
            <w:pPr>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《挥发性有机物无组织排放控制标准》（GB37822-2019）表A.1</w:t>
            </w:r>
          </w:p>
        </w:tc>
      </w:tr>
      <w:tr w14:paraId="62B6D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65A2923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地表水环境</w:t>
            </w:r>
          </w:p>
        </w:tc>
        <w:tc>
          <w:tcPr>
            <w:tcW w:w="1873" w:type="dxa"/>
            <w:gridSpan w:val="2"/>
            <w:vAlign w:val="center"/>
          </w:tcPr>
          <w:p w14:paraId="39CFA971">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生活污水</w:t>
            </w:r>
          </w:p>
        </w:tc>
        <w:tc>
          <w:tcPr>
            <w:tcW w:w="1545" w:type="dxa"/>
            <w:vAlign w:val="center"/>
          </w:tcPr>
          <w:p w14:paraId="71C86D37">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pH、COD、SS、氨氮、总磷、总氮</w:t>
            </w:r>
          </w:p>
        </w:tc>
        <w:tc>
          <w:tcPr>
            <w:tcW w:w="2087" w:type="dxa"/>
            <w:vAlign w:val="center"/>
          </w:tcPr>
          <w:p w14:paraId="64B6FB47">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经市政污水管网接至</w:t>
            </w:r>
            <w:r>
              <w:rPr>
                <w:rFonts w:hint="default" w:ascii="Times New Roman" w:hAnsi="Times New Roman" w:eastAsia="宋体" w:cs="Times New Roman"/>
                <w:color w:val="000000" w:themeColor="text1"/>
                <w:sz w:val="24"/>
                <w:szCs w:val="24"/>
                <w14:textFill>
                  <w14:solidFill>
                    <w14:schemeClr w14:val="tx1"/>
                  </w14:solidFill>
                </w14:textFill>
              </w:rPr>
              <w:t>常州市金坛区第二污水处理厂集中处理</w:t>
            </w:r>
          </w:p>
        </w:tc>
        <w:tc>
          <w:tcPr>
            <w:tcW w:w="1757" w:type="dxa"/>
            <w:vAlign w:val="center"/>
          </w:tcPr>
          <w:p w14:paraId="1DB5157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常州市金坛区第二污水厂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接管标准</w:t>
            </w:r>
          </w:p>
        </w:tc>
      </w:tr>
      <w:tr w14:paraId="542FB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1C2A823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vAlign w:val="center"/>
          </w:tcPr>
          <w:p w14:paraId="1DF3CC36">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综合废水</w:t>
            </w:r>
          </w:p>
        </w:tc>
        <w:tc>
          <w:tcPr>
            <w:tcW w:w="1545" w:type="dxa"/>
            <w:shd w:val="clear" w:color="auto" w:fill="auto"/>
            <w:vAlign w:val="center"/>
          </w:tcPr>
          <w:p w14:paraId="0B4B9414">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pH、COD、SS、</w:t>
            </w:r>
            <w:r>
              <w:rPr>
                <w:rFonts w:hint="default" w:ascii="Times New Roman" w:hAnsi="Times New Roman" w:eastAsia="宋体" w:cs="Times New Roman"/>
                <w:color w:val="000000" w:themeColor="text1"/>
                <w:sz w:val="24"/>
                <w:szCs w:val="24"/>
                <w14:textFill>
                  <w14:solidFill>
                    <w14:schemeClr w14:val="tx1"/>
                  </w14:solidFill>
                </w14:textFill>
              </w:rPr>
              <w:t>氨氮、总磷、总氮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溶解性总固体、总铜、硫酸盐、石油类、LAS等</w:t>
            </w:r>
          </w:p>
        </w:tc>
        <w:tc>
          <w:tcPr>
            <w:tcW w:w="2087" w:type="dxa"/>
            <w:shd w:val="clear" w:color="auto" w:fill="auto"/>
            <w:vAlign w:val="center"/>
          </w:tcPr>
          <w:p w14:paraId="74B421F7">
            <w:pPr>
              <w:adjustRightInd w:val="0"/>
              <w:snapToGrid w:val="0"/>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经新建污水处理站处理后回用</w:t>
            </w:r>
          </w:p>
        </w:tc>
        <w:tc>
          <w:tcPr>
            <w:tcW w:w="1757" w:type="dxa"/>
            <w:shd w:val="clear" w:color="auto" w:fill="auto"/>
            <w:vAlign w:val="center"/>
          </w:tcPr>
          <w:p w14:paraId="1FBC2D94">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《城市污水再生利用 工业用水水质》（GB/T 19923-2024）、《污水排入城镇下水道水质标准》（GB/T 31962-2015）、企业自定标准</w:t>
            </w:r>
          </w:p>
        </w:tc>
      </w:tr>
      <w:tr w14:paraId="45B04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restart"/>
            <w:tcBorders>
              <w:top w:val="single" w:color="auto" w:sz="4" w:space="0"/>
              <w:left w:val="single" w:color="auto" w:sz="4" w:space="0"/>
            </w:tcBorders>
            <w:vAlign w:val="center"/>
          </w:tcPr>
          <w:p w14:paraId="4DBEEF1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固体废物</w:t>
            </w:r>
          </w:p>
        </w:tc>
        <w:tc>
          <w:tcPr>
            <w:tcW w:w="1873" w:type="dxa"/>
            <w:gridSpan w:val="2"/>
            <w:shd w:val="clear" w:color="auto" w:fill="auto"/>
            <w:vAlign w:val="center"/>
          </w:tcPr>
          <w:p w14:paraId="162ECC0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1545" w:type="dxa"/>
            <w:tcBorders>
              <w:bottom w:val="single" w:color="auto" w:sz="4" w:space="0"/>
            </w:tcBorders>
            <w:shd w:val="clear" w:color="auto" w:fill="auto"/>
            <w:vAlign w:val="center"/>
          </w:tcPr>
          <w:p w14:paraId="0CE7204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2087" w:type="dxa"/>
            <w:vAlign w:val="center"/>
          </w:tcPr>
          <w:p w14:paraId="19F4798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环卫清运</w:t>
            </w:r>
          </w:p>
        </w:tc>
        <w:tc>
          <w:tcPr>
            <w:tcW w:w="1757" w:type="dxa"/>
            <w:vMerge w:val="restart"/>
            <w:vAlign w:val="center"/>
          </w:tcPr>
          <w:p w14:paraId="2BBA4131">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有效处置</w:t>
            </w:r>
          </w:p>
        </w:tc>
      </w:tr>
      <w:tr w14:paraId="3BAFC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01CC53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5E1E963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冲压、分切等</w:t>
            </w:r>
          </w:p>
        </w:tc>
        <w:tc>
          <w:tcPr>
            <w:tcW w:w="1545" w:type="dxa"/>
            <w:tcBorders>
              <w:bottom w:val="single" w:color="auto" w:sz="4" w:space="0"/>
            </w:tcBorders>
            <w:shd w:val="clear" w:color="auto" w:fill="auto"/>
            <w:vAlign w:val="center"/>
          </w:tcPr>
          <w:p w14:paraId="6025676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default" w:ascii="Times New Roman" w:hAnsi="Times New Roman" w:eastAsia="宋体" w:cs="Times New Roman"/>
                <w:b w:val="0"/>
                <w:bCs/>
                <w:color w:val="000000" w:themeColor="text1"/>
                <w:sz w:val="21"/>
                <w:szCs w:val="21"/>
                <w14:textFill>
                  <w14:solidFill>
                    <w14:schemeClr w14:val="tx1"/>
                  </w14:solidFill>
                </w14:textFill>
              </w:rPr>
              <w:t>边角料</w:t>
            </w:r>
          </w:p>
        </w:tc>
        <w:tc>
          <w:tcPr>
            <w:tcW w:w="2087" w:type="dxa"/>
            <w:vMerge w:val="restart"/>
            <w:vAlign w:val="center"/>
          </w:tcPr>
          <w:p w14:paraId="492A215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外售综合利用</w:t>
            </w:r>
          </w:p>
        </w:tc>
        <w:tc>
          <w:tcPr>
            <w:tcW w:w="1757" w:type="dxa"/>
            <w:vMerge w:val="continue"/>
            <w:vAlign w:val="center"/>
          </w:tcPr>
          <w:p w14:paraId="696398F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3B18B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0EC5B56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16DCE79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1545" w:type="dxa"/>
            <w:tcBorders>
              <w:bottom w:val="single" w:color="auto" w:sz="4" w:space="0"/>
            </w:tcBorders>
            <w:shd w:val="clear" w:color="auto" w:fill="auto"/>
            <w:vAlign w:val="center"/>
          </w:tcPr>
          <w:p w14:paraId="14B54676">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不合格品</w:t>
            </w:r>
          </w:p>
        </w:tc>
        <w:tc>
          <w:tcPr>
            <w:tcW w:w="2087" w:type="dxa"/>
            <w:vMerge w:val="continue"/>
            <w:vAlign w:val="center"/>
          </w:tcPr>
          <w:p w14:paraId="2526F67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5179C06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0CB83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3B256C7">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37E6DDE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纯水制备</w:t>
            </w:r>
          </w:p>
        </w:tc>
        <w:tc>
          <w:tcPr>
            <w:tcW w:w="1545" w:type="dxa"/>
            <w:tcBorders>
              <w:bottom w:val="single" w:color="auto" w:sz="4" w:space="0"/>
            </w:tcBorders>
            <w:shd w:val="clear" w:color="auto" w:fill="auto"/>
            <w:vAlign w:val="center"/>
          </w:tcPr>
          <w:p w14:paraId="0E68190C">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纯水制备耗材</w:t>
            </w:r>
          </w:p>
        </w:tc>
        <w:tc>
          <w:tcPr>
            <w:tcW w:w="2087" w:type="dxa"/>
            <w:vMerge w:val="continue"/>
            <w:vAlign w:val="center"/>
          </w:tcPr>
          <w:p w14:paraId="082D10D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5F811A1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0764A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1F0CD1F4">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35C7CF5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磨床加工</w:t>
            </w:r>
          </w:p>
        </w:tc>
        <w:tc>
          <w:tcPr>
            <w:tcW w:w="1545" w:type="dxa"/>
            <w:tcBorders>
              <w:bottom w:val="single" w:color="auto" w:sz="4" w:space="0"/>
            </w:tcBorders>
            <w:shd w:val="clear" w:color="auto" w:fill="auto"/>
            <w:vAlign w:val="center"/>
          </w:tcPr>
          <w:p w14:paraId="778FC711">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废磨削液</w:t>
            </w:r>
          </w:p>
        </w:tc>
        <w:tc>
          <w:tcPr>
            <w:tcW w:w="2087" w:type="dxa"/>
            <w:vMerge w:val="restart"/>
            <w:vAlign w:val="center"/>
          </w:tcPr>
          <w:p w14:paraId="3DB5621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委托有资质单位处置</w:t>
            </w:r>
          </w:p>
        </w:tc>
        <w:tc>
          <w:tcPr>
            <w:tcW w:w="1757" w:type="dxa"/>
            <w:vMerge w:val="continue"/>
            <w:vAlign w:val="center"/>
          </w:tcPr>
          <w:p w14:paraId="26AE917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4A4C6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5E24DDE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756C354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电解除油</w:t>
            </w:r>
          </w:p>
        </w:tc>
        <w:tc>
          <w:tcPr>
            <w:tcW w:w="1545" w:type="dxa"/>
            <w:tcBorders>
              <w:bottom w:val="single" w:color="auto" w:sz="4" w:space="0"/>
            </w:tcBorders>
            <w:shd w:val="clear" w:color="auto" w:fill="auto"/>
            <w:vAlign w:val="center"/>
          </w:tcPr>
          <w:p w14:paraId="4448E6FE">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电解除油废液</w:t>
            </w:r>
          </w:p>
        </w:tc>
        <w:tc>
          <w:tcPr>
            <w:tcW w:w="2087" w:type="dxa"/>
            <w:vMerge w:val="continue"/>
            <w:vAlign w:val="center"/>
          </w:tcPr>
          <w:p w14:paraId="7B0B9C9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7D8FC9F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48C53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551ADFE">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58E26D1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w:t>
            </w:r>
          </w:p>
        </w:tc>
        <w:tc>
          <w:tcPr>
            <w:tcW w:w="1545" w:type="dxa"/>
            <w:tcBorders>
              <w:bottom w:val="single" w:color="auto" w:sz="4" w:space="0"/>
            </w:tcBorders>
            <w:shd w:val="clear" w:color="auto" w:fill="auto"/>
            <w:vAlign w:val="center"/>
          </w:tcPr>
          <w:p w14:paraId="77FDA8E0">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酸洗废液</w:t>
            </w:r>
          </w:p>
        </w:tc>
        <w:tc>
          <w:tcPr>
            <w:tcW w:w="2087" w:type="dxa"/>
            <w:vMerge w:val="continue"/>
            <w:vAlign w:val="center"/>
          </w:tcPr>
          <w:p w14:paraId="7894496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1C826FC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6CF19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64E086E">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1E8BC5A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铜保护</w:t>
            </w:r>
          </w:p>
        </w:tc>
        <w:tc>
          <w:tcPr>
            <w:tcW w:w="1545" w:type="dxa"/>
            <w:tcBorders>
              <w:bottom w:val="single" w:color="auto" w:sz="4" w:space="0"/>
            </w:tcBorders>
            <w:shd w:val="clear" w:color="auto" w:fill="auto"/>
            <w:vAlign w:val="center"/>
          </w:tcPr>
          <w:p w14:paraId="669315FC">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铜保护废液</w:t>
            </w:r>
          </w:p>
        </w:tc>
        <w:tc>
          <w:tcPr>
            <w:tcW w:w="2087" w:type="dxa"/>
            <w:vMerge w:val="continue"/>
            <w:vAlign w:val="center"/>
          </w:tcPr>
          <w:p w14:paraId="14635237">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6ECC74F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6EF70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061ABF84">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59225CB7">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tc>
        <w:tc>
          <w:tcPr>
            <w:tcW w:w="1545" w:type="dxa"/>
            <w:tcBorders>
              <w:bottom w:val="single" w:color="auto" w:sz="4" w:space="0"/>
            </w:tcBorders>
            <w:shd w:val="clear" w:color="auto" w:fill="auto"/>
            <w:vAlign w:val="center"/>
          </w:tcPr>
          <w:p w14:paraId="6634E44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抹布</w:t>
            </w:r>
          </w:p>
        </w:tc>
        <w:tc>
          <w:tcPr>
            <w:tcW w:w="2087" w:type="dxa"/>
            <w:vMerge w:val="continue"/>
            <w:vAlign w:val="center"/>
          </w:tcPr>
          <w:p w14:paraId="754D03EE">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714D4A5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46889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7BC10BEF">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4407A81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1545" w:type="dxa"/>
            <w:tcBorders>
              <w:bottom w:val="single" w:color="auto" w:sz="4" w:space="0"/>
            </w:tcBorders>
            <w:shd w:val="clear" w:color="auto" w:fill="auto"/>
            <w:vAlign w:val="center"/>
          </w:tcPr>
          <w:p w14:paraId="5D485D09">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2087" w:type="dxa"/>
            <w:vMerge w:val="continue"/>
            <w:vAlign w:val="center"/>
          </w:tcPr>
          <w:p w14:paraId="0AB48530">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416F3ED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5B09A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B79C87F">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556A343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1545" w:type="dxa"/>
            <w:tcBorders>
              <w:bottom w:val="single" w:color="auto" w:sz="4" w:space="0"/>
            </w:tcBorders>
            <w:shd w:val="clear" w:color="auto" w:fill="auto"/>
            <w:vAlign w:val="center"/>
          </w:tcPr>
          <w:p w14:paraId="0DEBC465">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污泥</w:t>
            </w:r>
          </w:p>
        </w:tc>
        <w:tc>
          <w:tcPr>
            <w:tcW w:w="2087" w:type="dxa"/>
            <w:vMerge w:val="continue"/>
            <w:vAlign w:val="center"/>
          </w:tcPr>
          <w:p w14:paraId="66B910A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1086F2C9">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14EDF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3C5E0E8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5D52700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1545" w:type="dxa"/>
            <w:tcBorders>
              <w:bottom w:val="single" w:color="auto" w:sz="4" w:space="0"/>
            </w:tcBorders>
            <w:shd w:val="clear" w:color="auto" w:fill="auto"/>
            <w:vAlign w:val="center"/>
          </w:tcPr>
          <w:p w14:paraId="5DBC54E3">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浓水</w:t>
            </w:r>
          </w:p>
        </w:tc>
        <w:tc>
          <w:tcPr>
            <w:tcW w:w="2087" w:type="dxa"/>
            <w:vMerge w:val="continue"/>
            <w:vAlign w:val="center"/>
          </w:tcPr>
          <w:p w14:paraId="71971881">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656053C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21572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CD37499">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53A3E91E">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w:t>
            </w:r>
          </w:p>
        </w:tc>
        <w:tc>
          <w:tcPr>
            <w:tcW w:w="1545" w:type="dxa"/>
            <w:tcBorders>
              <w:bottom w:val="single" w:color="auto" w:sz="4" w:space="0"/>
            </w:tcBorders>
            <w:shd w:val="clear" w:color="auto" w:fill="auto"/>
            <w:vAlign w:val="center"/>
          </w:tcPr>
          <w:p w14:paraId="0BC5CF1C">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污水处理站耗材</w:t>
            </w:r>
          </w:p>
        </w:tc>
        <w:tc>
          <w:tcPr>
            <w:tcW w:w="2087" w:type="dxa"/>
            <w:vMerge w:val="continue"/>
            <w:vAlign w:val="center"/>
          </w:tcPr>
          <w:p w14:paraId="57E2A9A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2F2D7A2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026B9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B0F3180">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873" w:type="dxa"/>
            <w:gridSpan w:val="2"/>
            <w:shd w:val="clear" w:color="auto" w:fill="auto"/>
            <w:vAlign w:val="center"/>
          </w:tcPr>
          <w:p w14:paraId="7689970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包装拆解</w:t>
            </w:r>
          </w:p>
        </w:tc>
        <w:tc>
          <w:tcPr>
            <w:tcW w:w="1545" w:type="dxa"/>
            <w:tcBorders>
              <w:bottom w:val="single" w:color="auto" w:sz="4" w:space="0"/>
            </w:tcBorders>
            <w:shd w:val="clear" w:color="auto" w:fill="auto"/>
            <w:vAlign w:val="center"/>
          </w:tcPr>
          <w:p w14:paraId="5419DC81">
            <w:pPr>
              <w:adjustRightInd w:val="0"/>
              <w:snapToGrid w:val="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废包装材料</w:t>
            </w:r>
          </w:p>
        </w:tc>
        <w:tc>
          <w:tcPr>
            <w:tcW w:w="2087" w:type="dxa"/>
            <w:vMerge w:val="continue"/>
            <w:vAlign w:val="center"/>
          </w:tcPr>
          <w:p w14:paraId="025D84A9">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757" w:type="dxa"/>
            <w:vMerge w:val="continue"/>
            <w:vAlign w:val="center"/>
          </w:tcPr>
          <w:p w14:paraId="5CC0DCE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p>
        </w:tc>
      </w:tr>
      <w:tr w14:paraId="02B7D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046830D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声环境</w:t>
            </w:r>
          </w:p>
        </w:tc>
        <w:tc>
          <w:tcPr>
            <w:tcW w:w="1873" w:type="dxa"/>
            <w:gridSpan w:val="2"/>
            <w:vAlign w:val="center"/>
          </w:tcPr>
          <w:p w14:paraId="1F315A6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生产及公辅设备</w:t>
            </w:r>
          </w:p>
        </w:tc>
        <w:tc>
          <w:tcPr>
            <w:tcW w:w="1545" w:type="dxa"/>
            <w:vAlign w:val="center"/>
          </w:tcPr>
          <w:p w14:paraId="5B2D9D6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厂界噪声</w:t>
            </w:r>
          </w:p>
        </w:tc>
        <w:tc>
          <w:tcPr>
            <w:tcW w:w="2087" w:type="dxa"/>
            <w:vAlign w:val="center"/>
          </w:tcPr>
          <w:p w14:paraId="3D24645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厂房隔声、减振措施</w:t>
            </w:r>
          </w:p>
        </w:tc>
        <w:tc>
          <w:tcPr>
            <w:tcW w:w="1757" w:type="dxa"/>
            <w:vAlign w:val="center"/>
          </w:tcPr>
          <w:p w14:paraId="74786CB4">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《工业企业厂界环境噪声排放标准》（GB12348-2008）表1中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类标准限值</w:t>
            </w:r>
          </w:p>
        </w:tc>
      </w:tr>
      <w:tr w14:paraId="63BF0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755D8B7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电磁辐射</w:t>
            </w:r>
          </w:p>
        </w:tc>
        <w:tc>
          <w:tcPr>
            <w:tcW w:w="1873" w:type="dxa"/>
            <w:gridSpan w:val="2"/>
            <w:vAlign w:val="center"/>
          </w:tcPr>
          <w:p w14:paraId="1F840AE4">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545" w:type="dxa"/>
            <w:vAlign w:val="center"/>
          </w:tcPr>
          <w:p w14:paraId="544CAF4F">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2087" w:type="dxa"/>
            <w:vAlign w:val="center"/>
          </w:tcPr>
          <w:p w14:paraId="4C7214C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757" w:type="dxa"/>
            <w:vAlign w:val="center"/>
          </w:tcPr>
          <w:p w14:paraId="36C1211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14:paraId="72E3C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38" w:type="dxa"/>
            <w:tcBorders>
              <w:top w:val="single" w:color="auto" w:sz="4" w:space="0"/>
              <w:left w:val="single" w:color="auto" w:sz="4" w:space="0"/>
              <w:bottom w:val="single" w:color="auto" w:sz="4" w:space="0"/>
            </w:tcBorders>
            <w:vAlign w:val="center"/>
          </w:tcPr>
          <w:p w14:paraId="1A1C826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土壤及地下水污染防治措施</w:t>
            </w:r>
          </w:p>
        </w:tc>
        <w:tc>
          <w:tcPr>
            <w:tcW w:w="7262" w:type="dxa"/>
            <w:gridSpan w:val="5"/>
            <w:vAlign w:val="center"/>
          </w:tcPr>
          <w:p w14:paraId="47D9C15D">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（1）从设计、管理各种工艺设备和物料运输线路上，防止和减少污染物的跑冒滴漏，合理布局，减少污染物泄漏途径；</w:t>
            </w:r>
          </w:p>
          <w:p w14:paraId="33614BD6">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（2）根据需要做好车间、仓库的防渗工作</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34A57463">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项目采取以上措施后，可有效防止废气沉降或经雨水淋溶渗漏至土壤，避免对其产生污染。</w:t>
            </w:r>
          </w:p>
        </w:tc>
      </w:tr>
      <w:tr w14:paraId="53B75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38" w:type="dxa"/>
            <w:tcBorders>
              <w:top w:val="single" w:color="auto" w:sz="4" w:space="0"/>
              <w:left w:val="single" w:color="auto" w:sz="4" w:space="0"/>
              <w:bottom w:val="single" w:color="auto" w:sz="4" w:space="0"/>
            </w:tcBorders>
            <w:vAlign w:val="center"/>
          </w:tcPr>
          <w:p w14:paraId="703D0A5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生态保护措施</w:t>
            </w:r>
          </w:p>
        </w:tc>
        <w:tc>
          <w:tcPr>
            <w:tcW w:w="7262" w:type="dxa"/>
            <w:gridSpan w:val="5"/>
            <w:vAlign w:val="center"/>
          </w:tcPr>
          <w:p w14:paraId="4231BCF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r>
      <w:tr w14:paraId="33280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38" w:type="dxa"/>
            <w:tcBorders>
              <w:top w:val="single" w:color="auto" w:sz="4" w:space="0"/>
              <w:left w:val="single" w:color="auto" w:sz="4" w:space="0"/>
              <w:bottom w:val="single" w:color="auto" w:sz="4" w:space="0"/>
            </w:tcBorders>
            <w:vAlign w:val="center"/>
          </w:tcPr>
          <w:p w14:paraId="1BBA0285">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环境风险</w:t>
            </w:r>
          </w:p>
          <w:p w14:paraId="47F7FA58">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防范措施</w:t>
            </w:r>
          </w:p>
        </w:tc>
        <w:tc>
          <w:tcPr>
            <w:tcW w:w="7262" w:type="dxa"/>
            <w:gridSpan w:val="5"/>
            <w:vAlign w:val="center"/>
          </w:tcPr>
          <w:p w14:paraId="2246C768">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①本项目要进行合理设计和规划，各相关设施的布置应符合相关防火距离的要求，投产前要检查厂区的消防设施，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原料仓库等</w:t>
            </w:r>
            <w:r>
              <w:rPr>
                <w:rFonts w:hint="eastAsia" w:ascii="Times New Roman" w:hAnsi="Times New Roman" w:eastAsia="宋体" w:cs="Times New Roman"/>
                <w:color w:val="000000" w:themeColor="text1"/>
                <w:sz w:val="24"/>
                <w:szCs w:val="24"/>
                <w14:textFill>
                  <w14:solidFill>
                    <w14:schemeClr w14:val="tx1"/>
                  </w14:solidFill>
                </w14:textFill>
              </w:rPr>
              <w:t>应设有较完善的消防系统及火灾报警系统；</w:t>
            </w:r>
          </w:p>
          <w:p w14:paraId="760BBA51">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②严格岗位管理，确保废气处理设施正常运行，加强废气处理设施的运行管理和日常维护，若发现废气处理设施运行异常应立即检修，必要情况下停止生产；</w:t>
            </w:r>
          </w:p>
          <w:p w14:paraId="7C5505C1">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③严格按照“雨污分流、清污分流”的要求建设排水系统；</w:t>
            </w:r>
          </w:p>
          <w:p w14:paraId="3F90DC3D">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④危险废物贮存库、原料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仓库</w:t>
            </w:r>
            <w:r>
              <w:rPr>
                <w:rFonts w:hint="eastAsia" w:ascii="Times New Roman" w:hAnsi="Times New Roman" w:eastAsia="宋体" w:cs="Times New Roman"/>
                <w:color w:val="000000" w:themeColor="text1"/>
                <w:sz w:val="24"/>
                <w:szCs w:val="24"/>
                <w14:textFill>
                  <w14:solidFill>
                    <w14:schemeClr w14:val="tx1"/>
                  </w14:solidFill>
                </w14:textFill>
              </w:rPr>
              <w:t>等有可能发生原辅料泄漏的区域，应储备所需应急物资，将扩散物质固定、回收，避免物质泄漏扩散进入雨水和污水系统，防止进入外界水环境；</w:t>
            </w:r>
          </w:p>
          <w:p w14:paraId="4F28D316">
            <w:pPr>
              <w:adjustRightInd w:val="0"/>
              <w:snapToGrid w:val="0"/>
              <w:jc w:val="left"/>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⑤危险废物暂存间按照《危险废物贮存污染控制标准》（GB18597-2023）中“危险废物贮存设施的选址与设计原则”，确认在厂区的平面位置及防渗设计。</w:t>
            </w:r>
          </w:p>
          <w:p w14:paraId="169F44E9">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⑥依托园区雨水排放口阀门、应急事故池，自备40m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的污水收纳袋，保证发生事故时，事故废水截流在园区内</w:t>
            </w:r>
            <w:r>
              <w:rPr>
                <w:rFonts w:hint="default" w:ascii="Times New Roman" w:hAnsi="Times New Roman" w:eastAsia="宋体" w:cs="Times New Roman"/>
                <w:color w:val="000000" w:themeColor="text1"/>
                <w:sz w:val="24"/>
                <w:szCs w:val="24"/>
                <w14:textFill>
                  <w14:solidFill>
                    <w14:schemeClr w14:val="tx1"/>
                  </w14:solidFill>
                </w14:textFill>
              </w:rPr>
              <w:t>。</w:t>
            </w:r>
          </w:p>
          <w:p w14:paraId="7C76CC1A">
            <w:pPr>
              <w:adjustRightInd w:val="0"/>
              <w:snapToGrid w:val="0"/>
              <w:jc w:val="left"/>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综上，本项目风险可防控。</w:t>
            </w:r>
          </w:p>
        </w:tc>
      </w:tr>
      <w:tr w14:paraId="0A9D8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op w:val="single" w:color="auto" w:sz="4" w:space="0"/>
              <w:left w:val="single" w:color="auto" w:sz="4" w:space="0"/>
              <w:bottom w:val="single" w:color="auto" w:sz="8" w:space="0"/>
            </w:tcBorders>
            <w:vAlign w:val="center"/>
          </w:tcPr>
          <w:p w14:paraId="1F3A670B">
            <w:pPr>
              <w:adjustRightInd w:val="0"/>
              <w:snapToGrid w:val="0"/>
              <w:jc w:val="center"/>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其他环境</w:t>
            </w:r>
          </w:p>
          <w:p w14:paraId="67B49C8A">
            <w:pPr>
              <w:adjustRightInd w:val="0"/>
              <w:snapToGrid w:val="0"/>
              <w:jc w:val="center"/>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管理要求</w:t>
            </w:r>
          </w:p>
        </w:tc>
        <w:tc>
          <w:tcPr>
            <w:tcW w:w="7262" w:type="dxa"/>
            <w:gridSpan w:val="5"/>
            <w:vAlign w:val="center"/>
          </w:tcPr>
          <w:p w14:paraId="60B5BB26">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1、厂区卫生防护距离是以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生产厂房</w:t>
            </w:r>
            <w:r>
              <w:rPr>
                <w:rFonts w:hint="default" w:ascii="Times New Roman" w:hAnsi="Times New Roman" w:eastAsia="宋体" w:cs="Times New Roman"/>
                <w:color w:val="000000" w:themeColor="text1"/>
                <w:sz w:val="24"/>
                <w:szCs w:val="24"/>
                <w14:textFill>
                  <w14:solidFill>
                    <w14:schemeClr w14:val="tx1"/>
                  </w14:solidFill>
                </w14:textFill>
              </w:rPr>
              <w:t>为边界外扩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0米范围。该范围内无居民、学校等环境敏感保护目标，可满足卫生防护距离设置要求，将来在该卫生防护距离范围也不得新建居民、学校、医院等属于环境保护目标的项目。</w:t>
            </w:r>
          </w:p>
          <w:p w14:paraId="337A908D">
            <w:pPr>
              <w:adjustRightInd w:val="0"/>
              <w:snapToGrid w:val="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2、企业对污染治理设施和管理必须与生产经营活动一起纳入企业的日常管理中，要建立岗位责任制，制定操作规程，建立</w:t>
            </w:r>
            <w:r>
              <w:rPr>
                <w:rFonts w:hint="eastAsia" w:ascii="Times New Roman" w:hAnsi="Times New Roman" w:eastAsia="宋体" w:cs="Times New Roman"/>
                <w:color w:val="000000" w:themeColor="text1"/>
                <w:sz w:val="24"/>
                <w:szCs w:val="24"/>
                <w:lang w:eastAsia="zh-CN"/>
                <w14:textFill>
                  <w14:solidFill>
                    <w14:schemeClr w14:val="tx1"/>
                  </w14:solidFill>
                </w14:textFill>
              </w:rPr>
              <w:t>管理台账</w:t>
            </w:r>
            <w:r>
              <w:rPr>
                <w:rFonts w:hint="default" w:ascii="Times New Roman" w:hAnsi="Times New Roman" w:eastAsia="宋体" w:cs="Times New Roman"/>
                <w:color w:val="000000" w:themeColor="text1"/>
                <w:sz w:val="24"/>
                <w:szCs w:val="24"/>
                <w14:textFill>
                  <w14:solidFill>
                    <w14:schemeClr w14:val="tx1"/>
                  </w14:solidFill>
                </w14:textFill>
              </w:rPr>
              <w:t>，并对排污口进行规范化设置。</w:t>
            </w:r>
          </w:p>
        </w:tc>
      </w:tr>
    </w:tbl>
    <w:p w14:paraId="47B171A4">
      <w:p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5A8CD373">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A4292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1474BC15">
            <w:pPr>
              <w:widowControl/>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p>
          <w:p w14:paraId="19407863">
            <w:pPr>
              <w:widowControl/>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p>
          <w:p w14:paraId="7ED256F8">
            <w:pPr>
              <w:widowControl/>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p>
          <w:p w14:paraId="3FFAA8DC">
            <w:pPr>
              <w:widowControl/>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w:t>
            </w:r>
            <w:r>
              <w:rPr>
                <w:rFonts w:hint="eastAsia" w:ascii="宋体" w:hAnsi="宋体" w:eastAsia="宋体" w:cs="宋体"/>
                <w:color w:val="000000" w:themeColor="text1"/>
                <w:sz w:val="24"/>
                <w:szCs w:val="24"/>
                <w:lang w:val="en-US" w:eastAsia="zh-CN"/>
                <w14:textFill>
                  <w14:solidFill>
                    <w14:schemeClr w14:val="tx1"/>
                  </w14:solidFill>
                </w14:textFill>
              </w:rPr>
              <w:t>在做好事故应急池、消防措施的情况下，</w:t>
            </w:r>
            <w:r>
              <w:rPr>
                <w:rFonts w:hint="default" w:ascii="Times New Roman" w:hAnsi="Times New Roman" w:eastAsia="宋体" w:cs="Times New Roman"/>
                <w:color w:val="000000" w:themeColor="text1"/>
                <w:kern w:val="0"/>
                <w:sz w:val="24"/>
                <w:szCs w:val="24"/>
                <w14:textFill>
                  <w14:solidFill>
                    <w14:schemeClr w14:val="tx1"/>
                  </w14:solidFill>
                </w14:textFill>
              </w:rPr>
              <w:t>事故风险水平可</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防控</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2EC923C4">
            <w:pPr>
              <w:widowControl/>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因此，在企业严格落实环保“三同时”措施后，本项目的建设，从环保的角度看是可行的。</w:t>
            </w:r>
          </w:p>
        </w:tc>
      </w:tr>
    </w:tbl>
    <w:p w14:paraId="3E9906B7">
      <w:pPr>
        <w:rPr>
          <w:rFonts w:hint="default" w:ascii="Times New Roman" w:hAnsi="Times New Roman" w:cs="Times New Roman"/>
          <w:color w:val="000000" w:themeColor="text1"/>
          <w14:textFill>
            <w14:solidFill>
              <w14:schemeClr w14:val="tx1"/>
            </w14:solidFill>
          </w14:textFill>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73C449FA">
      <w:pPr>
        <w:pStyle w:val="2"/>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附表</w:t>
      </w:r>
    </w:p>
    <w:p w14:paraId="4DC36A0B">
      <w:pPr>
        <w:jc w:val="center"/>
        <w:rPr>
          <w:rFonts w:hint="default" w:ascii="Times New Roman" w:hAnsi="Times New Roman" w:eastAsia="宋体" w:cs="Times New Roman"/>
          <w:b/>
          <w:snapToGrid w:val="0"/>
          <w:color w:val="000000" w:themeColor="text1"/>
          <w:sz w:val="32"/>
          <w:szCs w:val="32"/>
          <w14:textFill>
            <w14:solidFill>
              <w14:schemeClr w14:val="tx1"/>
            </w14:solidFill>
          </w14:textFill>
        </w:rPr>
      </w:pPr>
      <w:r>
        <w:rPr>
          <w:rFonts w:hint="default" w:ascii="Times New Roman" w:hAnsi="Times New Roman" w:eastAsia="宋体" w:cs="Times New Roman"/>
          <w:b/>
          <w:snapToGrid w:val="0"/>
          <w:color w:val="000000" w:themeColor="text1"/>
          <w:sz w:val="32"/>
          <w:szCs w:val="32"/>
          <w14:textFill>
            <w14:solidFill>
              <w14:schemeClr w14:val="tx1"/>
            </w14:solidFill>
          </w14:textFill>
        </w:rPr>
        <w:t>建设项目污染物排放量汇总表  单位：t/a</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766"/>
        <w:gridCol w:w="1019"/>
      </w:tblGrid>
      <w:tr w14:paraId="50912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14:paraId="100B646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lang w:val="en-US" w:eastAsia="zh-CN"/>
                <w14:textFill>
                  <w14:solidFill>
                    <w14:schemeClr w14:val="tx1"/>
                  </w14:solidFill>
                </w14:textFill>
              </w:rPr>
              <w:t xml:space="preserve">       </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项目</w:t>
            </w:r>
          </w:p>
          <w:p w14:paraId="6D9FB56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分类</w:t>
            </w:r>
          </w:p>
        </w:tc>
        <w:tc>
          <w:tcPr>
            <w:tcW w:w="1701" w:type="dxa"/>
            <w:tcMar>
              <w:left w:w="28" w:type="dxa"/>
              <w:right w:w="28" w:type="dxa"/>
            </w:tcMar>
            <w:vAlign w:val="center"/>
          </w:tcPr>
          <w:p w14:paraId="767F805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污染物名称</w:t>
            </w:r>
          </w:p>
        </w:tc>
        <w:tc>
          <w:tcPr>
            <w:tcW w:w="1701" w:type="dxa"/>
            <w:tcMar>
              <w:left w:w="28" w:type="dxa"/>
              <w:right w:w="28" w:type="dxa"/>
            </w:tcMar>
            <w:vAlign w:val="center"/>
          </w:tcPr>
          <w:p w14:paraId="19BB7B3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现有工程排放量（固体废物产生量）</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①</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end"/>
            </w:r>
          </w:p>
        </w:tc>
        <w:tc>
          <w:tcPr>
            <w:tcW w:w="1276" w:type="dxa"/>
            <w:tcMar>
              <w:left w:w="28" w:type="dxa"/>
              <w:right w:w="28" w:type="dxa"/>
            </w:tcMar>
            <w:vAlign w:val="center"/>
          </w:tcPr>
          <w:p w14:paraId="268D7F5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现有工程许可排放量</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②</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end"/>
            </w:r>
          </w:p>
        </w:tc>
        <w:tc>
          <w:tcPr>
            <w:tcW w:w="1701" w:type="dxa"/>
            <w:tcMar>
              <w:left w:w="28" w:type="dxa"/>
              <w:right w:w="28" w:type="dxa"/>
            </w:tcMar>
            <w:vAlign w:val="center"/>
          </w:tcPr>
          <w:p w14:paraId="294D492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在建工程排放量（固体废物产生量）</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③</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end"/>
            </w:r>
          </w:p>
        </w:tc>
        <w:tc>
          <w:tcPr>
            <w:tcW w:w="1559" w:type="dxa"/>
            <w:tcMar>
              <w:left w:w="28" w:type="dxa"/>
              <w:right w:w="28" w:type="dxa"/>
            </w:tcMar>
            <w:vAlign w:val="center"/>
          </w:tcPr>
          <w:p w14:paraId="59E84DF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本项目排放量（固体废物产生量）</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④</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end"/>
            </w:r>
          </w:p>
        </w:tc>
        <w:tc>
          <w:tcPr>
            <w:tcW w:w="1761" w:type="dxa"/>
            <w:tcMar>
              <w:left w:w="28" w:type="dxa"/>
              <w:right w:w="28" w:type="dxa"/>
            </w:tcMar>
            <w:vAlign w:val="center"/>
          </w:tcPr>
          <w:p w14:paraId="0CEDFED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t>以新带老削减量（新建项目不填）</w:t>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⑤</w:t>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fldChar w:fldCharType="end"/>
            </w:r>
          </w:p>
        </w:tc>
        <w:tc>
          <w:tcPr>
            <w:tcW w:w="1766" w:type="dxa"/>
            <w:tcMar>
              <w:left w:w="28" w:type="dxa"/>
              <w:right w:w="28" w:type="dxa"/>
            </w:tcMar>
            <w:vAlign w:val="center"/>
          </w:tcPr>
          <w:p w14:paraId="3ADF32C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t>本项目建成后全厂排放量（固体废物产生量）</w:t>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⑥</w:t>
            </w:r>
            <w:r>
              <w:rPr>
                <w:rFonts w:hint="default" w:ascii="Times New Roman" w:hAnsi="Times New Roman" w:eastAsia="宋体" w:cs="Times New Roman"/>
                <w:b/>
                <w:bCs/>
                <w:snapToGrid w:val="0"/>
                <w:color w:val="000000" w:themeColor="text1"/>
                <w:spacing w:val="-16"/>
                <w:kern w:val="21"/>
                <w:sz w:val="24"/>
                <w:szCs w:val="24"/>
                <w14:textFill>
                  <w14:solidFill>
                    <w14:schemeClr w14:val="tx1"/>
                  </w14:solidFill>
                </w14:textFill>
              </w:rPr>
              <w:fldChar w:fldCharType="end"/>
            </w:r>
          </w:p>
        </w:tc>
        <w:tc>
          <w:tcPr>
            <w:tcW w:w="1019" w:type="dxa"/>
            <w:tcMar>
              <w:left w:w="28" w:type="dxa"/>
              <w:right w:w="28" w:type="dxa"/>
            </w:tcMar>
            <w:vAlign w:val="center"/>
          </w:tcPr>
          <w:p w14:paraId="46667C6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t>变化量</w:t>
            </w:r>
          </w:p>
          <w:p w14:paraId="5B57401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⑦</w:t>
            </w:r>
            <w:r>
              <w:rPr>
                <w:rFonts w:hint="default" w:ascii="Times New Roman" w:hAnsi="Times New Roman" w:eastAsia="宋体" w:cs="Times New Roman"/>
                <w:b/>
                <w:bCs/>
                <w:snapToGrid w:val="0"/>
                <w:color w:val="000000" w:themeColor="text1"/>
                <w:spacing w:val="-6"/>
                <w:kern w:val="21"/>
                <w:sz w:val="24"/>
                <w:szCs w:val="24"/>
                <w14:textFill>
                  <w14:solidFill>
                    <w14:schemeClr w14:val="tx1"/>
                  </w14:solidFill>
                </w14:textFill>
              </w:rPr>
              <w:fldChar w:fldCharType="end"/>
            </w:r>
          </w:p>
        </w:tc>
      </w:tr>
      <w:tr w14:paraId="085F4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4D83F05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废气</w:t>
            </w: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有组织</w:t>
            </w: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w:t>
            </w:r>
          </w:p>
        </w:tc>
        <w:tc>
          <w:tcPr>
            <w:tcW w:w="1701" w:type="dxa"/>
            <w:vAlign w:val="center"/>
          </w:tcPr>
          <w:p w14:paraId="72C4C4C5">
            <w:pPr>
              <w:contextualSpacing/>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硫酸雾</w:t>
            </w:r>
          </w:p>
        </w:tc>
        <w:tc>
          <w:tcPr>
            <w:tcW w:w="1701" w:type="dxa"/>
            <w:vAlign w:val="center"/>
          </w:tcPr>
          <w:p w14:paraId="17C2079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22BF156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1562731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5EE39B8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0.014</w:t>
            </w:r>
          </w:p>
        </w:tc>
        <w:tc>
          <w:tcPr>
            <w:tcW w:w="1761" w:type="dxa"/>
            <w:vAlign w:val="center"/>
          </w:tcPr>
          <w:p w14:paraId="767BFB5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5D377BC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0.014</w:t>
            </w:r>
          </w:p>
        </w:tc>
        <w:tc>
          <w:tcPr>
            <w:tcW w:w="1019" w:type="dxa"/>
            <w:shd w:val="clear" w:color="auto" w:fill="auto"/>
            <w:vAlign w:val="center"/>
          </w:tcPr>
          <w:p w14:paraId="1430BDD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0.014</w:t>
            </w:r>
          </w:p>
        </w:tc>
      </w:tr>
      <w:tr w14:paraId="029C1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801D45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vAlign w:val="center"/>
          </w:tcPr>
          <w:p w14:paraId="40C4A551">
            <w:pPr>
              <w:contextualSpacing/>
              <w:jc w:val="cente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非甲烷总烃</w:t>
            </w:r>
          </w:p>
        </w:tc>
        <w:tc>
          <w:tcPr>
            <w:tcW w:w="1701" w:type="dxa"/>
            <w:vAlign w:val="center"/>
          </w:tcPr>
          <w:p w14:paraId="34D9372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662B47C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3FE6D7F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5C6EA4F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0.029</w:t>
            </w:r>
          </w:p>
        </w:tc>
        <w:tc>
          <w:tcPr>
            <w:tcW w:w="1761" w:type="dxa"/>
            <w:vAlign w:val="center"/>
          </w:tcPr>
          <w:p w14:paraId="38082A8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211382A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0.029</w:t>
            </w:r>
          </w:p>
        </w:tc>
        <w:tc>
          <w:tcPr>
            <w:tcW w:w="1019" w:type="dxa"/>
            <w:shd w:val="clear" w:color="auto" w:fill="auto"/>
            <w:vAlign w:val="center"/>
          </w:tcPr>
          <w:p w14:paraId="13D063A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0.029</w:t>
            </w:r>
          </w:p>
        </w:tc>
      </w:tr>
      <w:tr w14:paraId="3E69F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D2372F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vAlign w:val="center"/>
          </w:tcPr>
          <w:p w14:paraId="4FC970F7">
            <w:pPr>
              <w:contextualSpacing/>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甲醇</w:t>
            </w:r>
          </w:p>
        </w:tc>
        <w:tc>
          <w:tcPr>
            <w:tcW w:w="1701" w:type="dxa"/>
            <w:vAlign w:val="center"/>
          </w:tcPr>
          <w:p w14:paraId="7C8DD98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vAlign w:val="center"/>
          </w:tcPr>
          <w:p w14:paraId="3A432C9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vAlign w:val="center"/>
          </w:tcPr>
          <w:p w14:paraId="50CD757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0B8AEDF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0.012</w:t>
            </w:r>
          </w:p>
        </w:tc>
        <w:tc>
          <w:tcPr>
            <w:tcW w:w="1761" w:type="dxa"/>
            <w:vAlign w:val="center"/>
          </w:tcPr>
          <w:p w14:paraId="65E5CEA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45A2C09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0.012</w:t>
            </w:r>
          </w:p>
        </w:tc>
        <w:tc>
          <w:tcPr>
            <w:tcW w:w="1019" w:type="dxa"/>
            <w:shd w:val="clear" w:color="auto" w:fill="auto"/>
            <w:vAlign w:val="center"/>
          </w:tcPr>
          <w:p w14:paraId="3E6B9F7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0.012</w:t>
            </w:r>
          </w:p>
        </w:tc>
      </w:tr>
      <w:tr w14:paraId="3081A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6C69C36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废气</w:t>
            </w: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无组织</w:t>
            </w:r>
            <w:r>
              <w:rPr>
                <w:rFonts w:hint="default" w:ascii="Times New Roman" w:hAnsi="Times New Roman" w:eastAsia="宋体" w:cs="Times New Roman"/>
                <w:snapToGrid w:val="0"/>
                <w:color w:val="000000" w:themeColor="text1"/>
                <w:kern w:val="21"/>
                <w:sz w:val="24"/>
                <w:szCs w:val="24"/>
                <w:lang w:eastAsia="zh-CN"/>
                <w14:textFill>
                  <w14:solidFill>
                    <w14:schemeClr w14:val="tx1"/>
                  </w14:solidFill>
                </w14:textFill>
              </w:rPr>
              <w:t>）</w:t>
            </w:r>
          </w:p>
        </w:tc>
        <w:tc>
          <w:tcPr>
            <w:tcW w:w="1701" w:type="dxa"/>
            <w:shd w:val="clear" w:color="auto" w:fill="auto"/>
            <w:vAlign w:val="center"/>
          </w:tcPr>
          <w:p w14:paraId="587C5743">
            <w:pPr>
              <w:contextualSpacing/>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硫酸雾</w:t>
            </w:r>
          </w:p>
        </w:tc>
        <w:tc>
          <w:tcPr>
            <w:tcW w:w="1701" w:type="dxa"/>
            <w:vAlign w:val="center"/>
          </w:tcPr>
          <w:p w14:paraId="17037B7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200366F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49B4E45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12F82F3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0.007</w:t>
            </w:r>
          </w:p>
        </w:tc>
        <w:tc>
          <w:tcPr>
            <w:tcW w:w="1761" w:type="dxa"/>
            <w:vAlign w:val="center"/>
          </w:tcPr>
          <w:p w14:paraId="030CE4C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6F091B5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0.007</w:t>
            </w:r>
          </w:p>
        </w:tc>
        <w:tc>
          <w:tcPr>
            <w:tcW w:w="1019" w:type="dxa"/>
            <w:shd w:val="clear" w:color="auto" w:fill="auto"/>
            <w:vAlign w:val="center"/>
          </w:tcPr>
          <w:p w14:paraId="6A30282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+0.007</w:t>
            </w:r>
          </w:p>
        </w:tc>
      </w:tr>
      <w:tr w14:paraId="6D6C0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866594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shd w:val="clear" w:color="auto" w:fill="auto"/>
            <w:vAlign w:val="center"/>
          </w:tcPr>
          <w:p w14:paraId="45A147BF">
            <w:pPr>
              <w:contextualSpacing/>
              <w:jc w:val="cente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非甲烷总烃</w:t>
            </w:r>
          </w:p>
        </w:tc>
        <w:tc>
          <w:tcPr>
            <w:tcW w:w="1701" w:type="dxa"/>
            <w:shd w:val="clear" w:color="auto" w:fill="auto"/>
            <w:vAlign w:val="center"/>
          </w:tcPr>
          <w:p w14:paraId="52E6726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shd w:val="clear" w:color="auto" w:fill="auto"/>
            <w:vAlign w:val="center"/>
          </w:tcPr>
          <w:p w14:paraId="4FB5FF5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shd w:val="clear" w:color="auto" w:fill="auto"/>
            <w:vAlign w:val="center"/>
          </w:tcPr>
          <w:p w14:paraId="4623540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6949807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0.015</w:t>
            </w:r>
          </w:p>
        </w:tc>
        <w:tc>
          <w:tcPr>
            <w:tcW w:w="1761" w:type="dxa"/>
            <w:vAlign w:val="center"/>
          </w:tcPr>
          <w:p w14:paraId="3558D5E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5A55B4E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0.015</w:t>
            </w:r>
          </w:p>
        </w:tc>
        <w:tc>
          <w:tcPr>
            <w:tcW w:w="1019" w:type="dxa"/>
            <w:shd w:val="clear" w:color="auto" w:fill="auto"/>
            <w:vAlign w:val="center"/>
          </w:tcPr>
          <w:p w14:paraId="7F29C8E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+0.015</w:t>
            </w:r>
          </w:p>
        </w:tc>
      </w:tr>
      <w:tr w14:paraId="598F9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7809DE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shd w:val="clear" w:color="auto" w:fill="auto"/>
            <w:vAlign w:val="center"/>
          </w:tcPr>
          <w:p w14:paraId="7430675C">
            <w:pPr>
              <w:contextualSpacing/>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甲醇</w:t>
            </w:r>
          </w:p>
        </w:tc>
        <w:tc>
          <w:tcPr>
            <w:tcW w:w="1701" w:type="dxa"/>
            <w:vAlign w:val="center"/>
          </w:tcPr>
          <w:p w14:paraId="16075CA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3CEA168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37BECF0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045D9F3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0.006</w:t>
            </w:r>
          </w:p>
        </w:tc>
        <w:tc>
          <w:tcPr>
            <w:tcW w:w="1761" w:type="dxa"/>
            <w:shd w:val="clear" w:color="auto" w:fill="auto"/>
            <w:vAlign w:val="center"/>
          </w:tcPr>
          <w:p w14:paraId="0AF9666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3232482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0.006</w:t>
            </w:r>
          </w:p>
        </w:tc>
        <w:tc>
          <w:tcPr>
            <w:tcW w:w="1019" w:type="dxa"/>
            <w:shd w:val="clear" w:color="auto" w:fill="auto"/>
            <w:vAlign w:val="center"/>
          </w:tcPr>
          <w:p w14:paraId="5A6EBD1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+0.006</w:t>
            </w:r>
          </w:p>
        </w:tc>
      </w:tr>
      <w:tr w14:paraId="00C3C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4B655FD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废水</w:t>
            </w:r>
          </w:p>
        </w:tc>
        <w:tc>
          <w:tcPr>
            <w:tcW w:w="1701" w:type="dxa"/>
            <w:vAlign w:val="center"/>
          </w:tcPr>
          <w:p w14:paraId="6CAED16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COD</w:t>
            </w:r>
          </w:p>
        </w:tc>
        <w:tc>
          <w:tcPr>
            <w:tcW w:w="1701" w:type="dxa"/>
            <w:vAlign w:val="center"/>
          </w:tcPr>
          <w:p w14:paraId="0D2B799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67048F5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6489635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30E4071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0.096</w:t>
            </w:r>
          </w:p>
        </w:tc>
        <w:tc>
          <w:tcPr>
            <w:tcW w:w="1761" w:type="dxa"/>
            <w:shd w:val="clear" w:color="auto" w:fill="auto"/>
            <w:vAlign w:val="center"/>
          </w:tcPr>
          <w:p w14:paraId="5A0B14D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-0.048</w:t>
            </w:r>
          </w:p>
        </w:tc>
        <w:tc>
          <w:tcPr>
            <w:tcW w:w="1766" w:type="dxa"/>
            <w:shd w:val="clear" w:color="auto" w:fill="auto"/>
            <w:vAlign w:val="center"/>
          </w:tcPr>
          <w:p w14:paraId="79AA767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0.144</w:t>
            </w:r>
          </w:p>
        </w:tc>
        <w:tc>
          <w:tcPr>
            <w:tcW w:w="1019" w:type="dxa"/>
            <w:shd w:val="clear" w:color="auto" w:fill="auto"/>
            <w:vAlign w:val="center"/>
          </w:tcPr>
          <w:p w14:paraId="2C24493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0.144</w:t>
            </w:r>
          </w:p>
        </w:tc>
      </w:tr>
      <w:tr w14:paraId="38862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2490E5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shd w:val="clear" w:color="auto" w:fill="auto"/>
            <w:vAlign w:val="center"/>
          </w:tcPr>
          <w:p w14:paraId="3429619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4"/>
                <w:szCs w:val="24"/>
                <w:lang w:val="en-US" w:eastAsia="zh-CN"/>
                <w14:textFill>
                  <w14:solidFill>
                    <w14:schemeClr w14:val="tx1"/>
                  </w14:solidFill>
                </w14:textFill>
              </w:rPr>
              <w:t>SS</w:t>
            </w:r>
          </w:p>
        </w:tc>
        <w:tc>
          <w:tcPr>
            <w:tcW w:w="1701" w:type="dxa"/>
            <w:shd w:val="clear" w:color="auto" w:fill="auto"/>
            <w:vAlign w:val="center"/>
          </w:tcPr>
          <w:p w14:paraId="63A2236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shd w:val="clear" w:color="auto" w:fill="auto"/>
            <w:vAlign w:val="center"/>
          </w:tcPr>
          <w:p w14:paraId="1D0C652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shd w:val="clear" w:color="auto" w:fill="auto"/>
            <w:vAlign w:val="center"/>
          </w:tcPr>
          <w:p w14:paraId="00080C6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56CE2D5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0.048</w:t>
            </w:r>
          </w:p>
        </w:tc>
        <w:tc>
          <w:tcPr>
            <w:tcW w:w="1761" w:type="dxa"/>
            <w:shd w:val="clear" w:color="auto" w:fill="auto"/>
            <w:vAlign w:val="center"/>
          </w:tcPr>
          <w:p w14:paraId="323924D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-0.024</w:t>
            </w:r>
          </w:p>
        </w:tc>
        <w:tc>
          <w:tcPr>
            <w:tcW w:w="1766" w:type="dxa"/>
            <w:shd w:val="clear" w:color="auto" w:fill="auto"/>
            <w:vAlign w:val="center"/>
          </w:tcPr>
          <w:p w14:paraId="0BFC2B4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0.072</w:t>
            </w:r>
          </w:p>
        </w:tc>
        <w:tc>
          <w:tcPr>
            <w:tcW w:w="1019" w:type="dxa"/>
            <w:shd w:val="clear" w:color="auto" w:fill="auto"/>
            <w:vAlign w:val="center"/>
          </w:tcPr>
          <w:p w14:paraId="16A2669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+0.072</w:t>
            </w:r>
          </w:p>
        </w:tc>
      </w:tr>
      <w:tr w14:paraId="7192C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C9E364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vAlign w:val="center"/>
          </w:tcPr>
          <w:p w14:paraId="0EEAFDA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氨氮</w:t>
            </w:r>
          </w:p>
        </w:tc>
        <w:tc>
          <w:tcPr>
            <w:tcW w:w="1701" w:type="dxa"/>
            <w:vAlign w:val="center"/>
          </w:tcPr>
          <w:p w14:paraId="5116487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765CDEB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42633E4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15EA3A7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0.0072</w:t>
            </w:r>
          </w:p>
        </w:tc>
        <w:tc>
          <w:tcPr>
            <w:tcW w:w="1761" w:type="dxa"/>
            <w:shd w:val="clear" w:color="auto" w:fill="auto"/>
            <w:vAlign w:val="center"/>
          </w:tcPr>
          <w:p w14:paraId="7194867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-0.0036</w:t>
            </w:r>
          </w:p>
        </w:tc>
        <w:tc>
          <w:tcPr>
            <w:tcW w:w="1766" w:type="dxa"/>
            <w:shd w:val="clear" w:color="auto" w:fill="auto"/>
            <w:vAlign w:val="center"/>
          </w:tcPr>
          <w:p w14:paraId="3D16BDA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0.0108</w:t>
            </w:r>
          </w:p>
        </w:tc>
        <w:tc>
          <w:tcPr>
            <w:tcW w:w="1019" w:type="dxa"/>
            <w:shd w:val="clear" w:color="auto" w:fill="auto"/>
            <w:vAlign w:val="center"/>
          </w:tcPr>
          <w:p w14:paraId="1B26896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0.0108</w:t>
            </w:r>
          </w:p>
        </w:tc>
      </w:tr>
      <w:tr w14:paraId="66B85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1A804D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vAlign w:val="center"/>
          </w:tcPr>
          <w:p w14:paraId="1BF3E0D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总磷</w:t>
            </w:r>
          </w:p>
        </w:tc>
        <w:tc>
          <w:tcPr>
            <w:tcW w:w="1701" w:type="dxa"/>
            <w:vAlign w:val="center"/>
          </w:tcPr>
          <w:p w14:paraId="022C5AC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75FF8BB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7441CD2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67D492D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0.00048</w:t>
            </w:r>
          </w:p>
        </w:tc>
        <w:tc>
          <w:tcPr>
            <w:tcW w:w="1761" w:type="dxa"/>
            <w:shd w:val="clear" w:color="auto" w:fill="auto"/>
            <w:vAlign w:val="center"/>
          </w:tcPr>
          <w:p w14:paraId="046171E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-0.00024</w:t>
            </w:r>
          </w:p>
        </w:tc>
        <w:tc>
          <w:tcPr>
            <w:tcW w:w="1766" w:type="dxa"/>
            <w:shd w:val="clear" w:color="auto" w:fill="auto"/>
            <w:vAlign w:val="center"/>
          </w:tcPr>
          <w:p w14:paraId="534D653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0.00072</w:t>
            </w:r>
          </w:p>
        </w:tc>
        <w:tc>
          <w:tcPr>
            <w:tcW w:w="1019" w:type="dxa"/>
            <w:shd w:val="clear" w:color="auto" w:fill="auto"/>
            <w:vAlign w:val="center"/>
          </w:tcPr>
          <w:p w14:paraId="04ED19B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0.00072</w:t>
            </w:r>
          </w:p>
        </w:tc>
      </w:tr>
      <w:tr w14:paraId="332B9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06A6DF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vAlign w:val="center"/>
          </w:tcPr>
          <w:p w14:paraId="201621B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总氮</w:t>
            </w:r>
          </w:p>
        </w:tc>
        <w:tc>
          <w:tcPr>
            <w:tcW w:w="1701" w:type="dxa"/>
            <w:vAlign w:val="center"/>
          </w:tcPr>
          <w:p w14:paraId="7929B17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276D58E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7D33703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7D49703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0.0096</w:t>
            </w:r>
          </w:p>
        </w:tc>
        <w:tc>
          <w:tcPr>
            <w:tcW w:w="1761" w:type="dxa"/>
            <w:shd w:val="clear" w:color="auto" w:fill="auto"/>
            <w:vAlign w:val="center"/>
          </w:tcPr>
          <w:p w14:paraId="04AF3D3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-0.0048</w:t>
            </w:r>
          </w:p>
        </w:tc>
        <w:tc>
          <w:tcPr>
            <w:tcW w:w="1766" w:type="dxa"/>
            <w:shd w:val="clear" w:color="auto" w:fill="auto"/>
            <w:vAlign w:val="center"/>
          </w:tcPr>
          <w:p w14:paraId="72EA1BF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0.0144</w:t>
            </w:r>
          </w:p>
        </w:tc>
        <w:tc>
          <w:tcPr>
            <w:tcW w:w="1019" w:type="dxa"/>
            <w:shd w:val="clear" w:color="auto" w:fill="auto"/>
            <w:vAlign w:val="center"/>
          </w:tcPr>
          <w:p w14:paraId="5938041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0.0144</w:t>
            </w:r>
          </w:p>
        </w:tc>
      </w:tr>
      <w:tr w14:paraId="42977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14:paraId="69C6159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lang w:val="en-US" w:eastAsia="zh-CN"/>
                <w14:textFill>
                  <w14:solidFill>
                    <w14:schemeClr w14:val="tx1"/>
                  </w14:solidFill>
                </w14:textFill>
              </w:rPr>
              <w:t>生活垃圾</w:t>
            </w:r>
          </w:p>
        </w:tc>
        <w:tc>
          <w:tcPr>
            <w:tcW w:w="1701" w:type="dxa"/>
            <w:tcBorders>
              <w:bottom w:val="single" w:color="auto" w:sz="4" w:space="0"/>
            </w:tcBorders>
            <w:vAlign w:val="center"/>
          </w:tcPr>
          <w:p w14:paraId="43B0CF1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生活垃圾</w:t>
            </w:r>
          </w:p>
        </w:tc>
        <w:tc>
          <w:tcPr>
            <w:tcW w:w="1701" w:type="dxa"/>
            <w:vAlign w:val="center"/>
          </w:tcPr>
          <w:p w14:paraId="16EFEF9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5AC8F9B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15F993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3062B10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p>
        </w:tc>
        <w:tc>
          <w:tcPr>
            <w:tcW w:w="1761" w:type="dxa"/>
            <w:vAlign w:val="center"/>
          </w:tcPr>
          <w:p w14:paraId="6C3665C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p>
        </w:tc>
        <w:tc>
          <w:tcPr>
            <w:tcW w:w="1766" w:type="dxa"/>
            <w:shd w:val="clear" w:color="auto" w:fill="auto"/>
            <w:vAlign w:val="center"/>
          </w:tcPr>
          <w:p w14:paraId="7D3977C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w:t>
            </w:r>
          </w:p>
        </w:tc>
        <w:tc>
          <w:tcPr>
            <w:tcW w:w="1019" w:type="dxa"/>
            <w:shd w:val="clear" w:color="auto" w:fill="auto"/>
            <w:vAlign w:val="center"/>
          </w:tcPr>
          <w:p w14:paraId="0F476D3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w:t>
            </w:r>
          </w:p>
        </w:tc>
      </w:tr>
      <w:tr w14:paraId="185BB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438FED2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一般工业</w:t>
            </w:r>
          </w:p>
          <w:p w14:paraId="4BD6CA75">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固体废物</w:t>
            </w:r>
          </w:p>
        </w:tc>
        <w:tc>
          <w:tcPr>
            <w:tcW w:w="1701" w:type="dxa"/>
            <w:tcBorders>
              <w:bottom w:val="single" w:color="auto" w:sz="4" w:space="0"/>
            </w:tcBorders>
            <w:shd w:val="clear" w:color="auto" w:fill="auto"/>
            <w:vAlign w:val="center"/>
          </w:tcPr>
          <w:p w14:paraId="5819D9B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废边角料</w:t>
            </w:r>
          </w:p>
        </w:tc>
        <w:tc>
          <w:tcPr>
            <w:tcW w:w="1701" w:type="dxa"/>
            <w:vAlign w:val="center"/>
          </w:tcPr>
          <w:p w14:paraId="32CC5AC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447AA46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7223A1C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2DDBDBF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p>
        </w:tc>
        <w:tc>
          <w:tcPr>
            <w:tcW w:w="1761" w:type="dxa"/>
            <w:vAlign w:val="center"/>
          </w:tcPr>
          <w:p w14:paraId="59373CB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p>
        </w:tc>
        <w:tc>
          <w:tcPr>
            <w:tcW w:w="1766" w:type="dxa"/>
            <w:shd w:val="clear" w:color="auto" w:fill="auto"/>
            <w:vAlign w:val="center"/>
          </w:tcPr>
          <w:p w14:paraId="0369CAC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p>
        </w:tc>
        <w:tc>
          <w:tcPr>
            <w:tcW w:w="1019" w:type="dxa"/>
            <w:shd w:val="clear" w:color="auto" w:fill="auto"/>
            <w:vAlign w:val="center"/>
          </w:tcPr>
          <w:p w14:paraId="70DC06E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p>
        </w:tc>
      </w:tr>
      <w:tr w14:paraId="1D06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34FFEC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bottom w:val="single" w:color="auto" w:sz="4" w:space="0"/>
            </w:tcBorders>
            <w:shd w:val="clear" w:color="auto" w:fill="auto"/>
            <w:vAlign w:val="center"/>
          </w:tcPr>
          <w:p w14:paraId="7746E42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不合格品</w:t>
            </w:r>
          </w:p>
        </w:tc>
        <w:tc>
          <w:tcPr>
            <w:tcW w:w="1701" w:type="dxa"/>
            <w:vAlign w:val="center"/>
          </w:tcPr>
          <w:p w14:paraId="63F627C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vAlign w:val="center"/>
          </w:tcPr>
          <w:p w14:paraId="7DF4740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vAlign w:val="center"/>
          </w:tcPr>
          <w:p w14:paraId="00D84F6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79E1A5C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10.426</w:t>
            </w:r>
          </w:p>
        </w:tc>
        <w:tc>
          <w:tcPr>
            <w:tcW w:w="1761" w:type="dxa"/>
            <w:vAlign w:val="center"/>
          </w:tcPr>
          <w:p w14:paraId="6351EBF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p>
        </w:tc>
        <w:tc>
          <w:tcPr>
            <w:tcW w:w="1766" w:type="dxa"/>
            <w:shd w:val="clear" w:color="auto" w:fill="auto"/>
            <w:vAlign w:val="center"/>
          </w:tcPr>
          <w:p w14:paraId="04485B9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19.426</w:t>
            </w:r>
          </w:p>
        </w:tc>
        <w:tc>
          <w:tcPr>
            <w:tcW w:w="1019" w:type="dxa"/>
            <w:shd w:val="clear" w:color="auto" w:fill="auto"/>
            <w:vAlign w:val="center"/>
          </w:tcPr>
          <w:p w14:paraId="4A9A754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+19.426</w:t>
            </w:r>
          </w:p>
        </w:tc>
      </w:tr>
      <w:tr w14:paraId="56411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849863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bottom w:val="single" w:color="auto" w:sz="4" w:space="0"/>
            </w:tcBorders>
            <w:shd w:val="clear" w:color="auto" w:fill="auto"/>
            <w:vAlign w:val="center"/>
          </w:tcPr>
          <w:p w14:paraId="7778359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纯水制备耗材</w:t>
            </w:r>
          </w:p>
        </w:tc>
        <w:tc>
          <w:tcPr>
            <w:tcW w:w="1701" w:type="dxa"/>
            <w:shd w:val="clear" w:color="auto" w:fill="auto"/>
            <w:vAlign w:val="center"/>
          </w:tcPr>
          <w:p w14:paraId="73532B1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shd w:val="clear" w:color="auto" w:fill="auto"/>
            <w:vAlign w:val="center"/>
          </w:tcPr>
          <w:p w14:paraId="38AE2FE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shd w:val="clear" w:color="auto" w:fill="auto"/>
            <w:vAlign w:val="center"/>
          </w:tcPr>
          <w:p w14:paraId="2BFD1F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1C3A84D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0.2/2a</w:t>
            </w:r>
          </w:p>
        </w:tc>
        <w:tc>
          <w:tcPr>
            <w:tcW w:w="1761" w:type="dxa"/>
            <w:vAlign w:val="center"/>
          </w:tcPr>
          <w:p w14:paraId="10D0932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755BC19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0.2/2a</w:t>
            </w:r>
          </w:p>
        </w:tc>
        <w:tc>
          <w:tcPr>
            <w:tcW w:w="1019" w:type="dxa"/>
            <w:shd w:val="clear" w:color="auto" w:fill="auto"/>
            <w:vAlign w:val="center"/>
          </w:tcPr>
          <w:p w14:paraId="4BA4911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+0.2/2a</w:t>
            </w:r>
          </w:p>
        </w:tc>
      </w:tr>
      <w:tr w14:paraId="2D4CA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tcBorders>
              <w:top w:val="single" w:color="auto" w:sz="4" w:space="0"/>
            </w:tcBorders>
            <w:vAlign w:val="center"/>
          </w:tcPr>
          <w:p w14:paraId="722531F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危险废物</w:t>
            </w:r>
          </w:p>
        </w:tc>
        <w:tc>
          <w:tcPr>
            <w:tcW w:w="1701" w:type="dxa"/>
            <w:tcBorders>
              <w:top w:val="single" w:color="auto" w:sz="4" w:space="0"/>
              <w:bottom w:val="single" w:color="auto" w:sz="4" w:space="0"/>
            </w:tcBorders>
            <w:shd w:val="clear" w:color="auto" w:fill="auto"/>
            <w:vAlign w:val="center"/>
          </w:tcPr>
          <w:p w14:paraId="74EE2BD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废磨削液</w:t>
            </w:r>
          </w:p>
        </w:tc>
        <w:tc>
          <w:tcPr>
            <w:tcW w:w="1701" w:type="dxa"/>
            <w:vAlign w:val="center"/>
          </w:tcPr>
          <w:p w14:paraId="7434253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2A2ECC4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53644E7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30CF249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0.22</w:t>
            </w:r>
          </w:p>
        </w:tc>
        <w:tc>
          <w:tcPr>
            <w:tcW w:w="1761" w:type="dxa"/>
            <w:vAlign w:val="center"/>
          </w:tcPr>
          <w:p w14:paraId="0F2A0F9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-0.22</w:t>
            </w:r>
          </w:p>
        </w:tc>
        <w:tc>
          <w:tcPr>
            <w:tcW w:w="1766" w:type="dxa"/>
            <w:shd w:val="clear" w:color="auto" w:fill="auto"/>
            <w:vAlign w:val="center"/>
          </w:tcPr>
          <w:p w14:paraId="2706107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0.44</w:t>
            </w:r>
          </w:p>
        </w:tc>
        <w:tc>
          <w:tcPr>
            <w:tcW w:w="1019" w:type="dxa"/>
            <w:shd w:val="clear" w:color="auto" w:fill="auto"/>
            <w:vAlign w:val="center"/>
          </w:tcPr>
          <w:p w14:paraId="511566A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+0.44</w:t>
            </w:r>
          </w:p>
        </w:tc>
      </w:tr>
      <w:tr w14:paraId="3F6AB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E6E1BD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7D816C9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含油废屑</w:t>
            </w:r>
          </w:p>
        </w:tc>
        <w:tc>
          <w:tcPr>
            <w:tcW w:w="1701" w:type="dxa"/>
            <w:vAlign w:val="center"/>
          </w:tcPr>
          <w:p w14:paraId="33B6206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vAlign w:val="center"/>
          </w:tcPr>
          <w:p w14:paraId="6D6F235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vAlign w:val="center"/>
          </w:tcPr>
          <w:p w14:paraId="1C15EED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449AF5A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p>
        </w:tc>
        <w:tc>
          <w:tcPr>
            <w:tcW w:w="1761" w:type="dxa"/>
            <w:vAlign w:val="center"/>
          </w:tcPr>
          <w:p w14:paraId="321D1A5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p>
        </w:tc>
        <w:tc>
          <w:tcPr>
            <w:tcW w:w="1766" w:type="dxa"/>
            <w:shd w:val="clear" w:color="auto" w:fill="auto"/>
            <w:vAlign w:val="center"/>
          </w:tcPr>
          <w:p w14:paraId="63631AA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0.02</w:t>
            </w:r>
          </w:p>
        </w:tc>
        <w:tc>
          <w:tcPr>
            <w:tcW w:w="1019" w:type="dxa"/>
            <w:shd w:val="clear" w:color="auto" w:fill="auto"/>
            <w:vAlign w:val="center"/>
          </w:tcPr>
          <w:p w14:paraId="3EBFD6D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+0.02</w:t>
            </w:r>
          </w:p>
        </w:tc>
      </w:tr>
      <w:tr w14:paraId="50EDE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26181E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0B60283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电解除油废液</w:t>
            </w:r>
          </w:p>
        </w:tc>
        <w:tc>
          <w:tcPr>
            <w:tcW w:w="1701" w:type="dxa"/>
            <w:vAlign w:val="center"/>
          </w:tcPr>
          <w:p w14:paraId="31F0EB8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1879E3A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35C0025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681B887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19.8</w:t>
            </w:r>
          </w:p>
        </w:tc>
        <w:tc>
          <w:tcPr>
            <w:tcW w:w="1761" w:type="dxa"/>
            <w:vAlign w:val="center"/>
          </w:tcPr>
          <w:p w14:paraId="3FE2212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079CBC4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19.8</w:t>
            </w:r>
          </w:p>
        </w:tc>
        <w:tc>
          <w:tcPr>
            <w:tcW w:w="1019" w:type="dxa"/>
            <w:shd w:val="clear" w:color="auto" w:fill="auto"/>
            <w:vAlign w:val="center"/>
          </w:tcPr>
          <w:p w14:paraId="6DC9AD9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+19.8</w:t>
            </w:r>
          </w:p>
        </w:tc>
      </w:tr>
      <w:tr w14:paraId="6DF02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72D4B6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048981F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酸洗废液</w:t>
            </w:r>
          </w:p>
        </w:tc>
        <w:tc>
          <w:tcPr>
            <w:tcW w:w="1701" w:type="dxa"/>
            <w:vAlign w:val="center"/>
          </w:tcPr>
          <w:p w14:paraId="7BE746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18AC753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541CF30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0FCD36B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w:t>
            </w:r>
          </w:p>
        </w:tc>
        <w:tc>
          <w:tcPr>
            <w:tcW w:w="1761" w:type="dxa"/>
            <w:vAlign w:val="center"/>
          </w:tcPr>
          <w:p w14:paraId="1F4A67C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12BE224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w:t>
            </w:r>
          </w:p>
        </w:tc>
        <w:tc>
          <w:tcPr>
            <w:tcW w:w="1019" w:type="dxa"/>
            <w:shd w:val="clear" w:color="auto" w:fill="auto"/>
            <w:vAlign w:val="center"/>
          </w:tcPr>
          <w:p w14:paraId="76B2A0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w:t>
            </w:r>
          </w:p>
        </w:tc>
      </w:tr>
      <w:tr w14:paraId="78F70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6153BB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7DBB2EA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铜保护废液</w:t>
            </w:r>
          </w:p>
        </w:tc>
        <w:tc>
          <w:tcPr>
            <w:tcW w:w="1701" w:type="dxa"/>
            <w:vAlign w:val="center"/>
          </w:tcPr>
          <w:p w14:paraId="35E68E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677AB74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3E5024B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3AEE303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17.28</w:t>
            </w:r>
          </w:p>
        </w:tc>
        <w:tc>
          <w:tcPr>
            <w:tcW w:w="1761" w:type="dxa"/>
            <w:vAlign w:val="center"/>
          </w:tcPr>
          <w:p w14:paraId="645E5F9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66A6366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17.28</w:t>
            </w:r>
          </w:p>
        </w:tc>
        <w:tc>
          <w:tcPr>
            <w:tcW w:w="1019" w:type="dxa"/>
            <w:shd w:val="clear" w:color="auto" w:fill="auto"/>
            <w:vAlign w:val="center"/>
          </w:tcPr>
          <w:p w14:paraId="73ACA3D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+17.28</w:t>
            </w:r>
          </w:p>
        </w:tc>
      </w:tr>
      <w:tr w14:paraId="474CA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85AC56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3488A42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含油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抹布</w:t>
            </w:r>
          </w:p>
        </w:tc>
        <w:tc>
          <w:tcPr>
            <w:tcW w:w="1701" w:type="dxa"/>
            <w:vAlign w:val="center"/>
          </w:tcPr>
          <w:p w14:paraId="2EE7245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2F00D28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0197609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7966C11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p>
        </w:tc>
        <w:tc>
          <w:tcPr>
            <w:tcW w:w="1761" w:type="dxa"/>
            <w:vAlign w:val="center"/>
          </w:tcPr>
          <w:p w14:paraId="2684A1E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p>
        </w:tc>
        <w:tc>
          <w:tcPr>
            <w:tcW w:w="1766" w:type="dxa"/>
            <w:shd w:val="clear" w:color="auto" w:fill="auto"/>
            <w:vAlign w:val="center"/>
          </w:tcPr>
          <w:p w14:paraId="455C18B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0.02</w:t>
            </w:r>
          </w:p>
        </w:tc>
        <w:tc>
          <w:tcPr>
            <w:tcW w:w="1019" w:type="dxa"/>
            <w:shd w:val="clear" w:color="auto" w:fill="auto"/>
            <w:vAlign w:val="center"/>
          </w:tcPr>
          <w:p w14:paraId="39DF90F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+0.02</w:t>
            </w:r>
          </w:p>
        </w:tc>
      </w:tr>
      <w:tr w14:paraId="4AEA7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048F896">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64F1756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废活性炭</w:t>
            </w:r>
          </w:p>
        </w:tc>
        <w:tc>
          <w:tcPr>
            <w:tcW w:w="1701" w:type="dxa"/>
            <w:vAlign w:val="center"/>
          </w:tcPr>
          <w:p w14:paraId="355FB64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276" w:type="dxa"/>
            <w:vAlign w:val="center"/>
          </w:tcPr>
          <w:p w14:paraId="750C069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01" w:type="dxa"/>
            <w:vAlign w:val="center"/>
          </w:tcPr>
          <w:p w14:paraId="41C4A2F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559" w:type="dxa"/>
            <w:shd w:val="clear" w:color="auto" w:fill="auto"/>
            <w:vAlign w:val="center"/>
          </w:tcPr>
          <w:p w14:paraId="1272CDF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3.06</w:t>
            </w:r>
          </w:p>
        </w:tc>
        <w:tc>
          <w:tcPr>
            <w:tcW w:w="1761" w:type="dxa"/>
            <w:vAlign w:val="center"/>
          </w:tcPr>
          <w:p w14:paraId="66D1815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w:t>
            </w:r>
          </w:p>
        </w:tc>
        <w:tc>
          <w:tcPr>
            <w:tcW w:w="1766" w:type="dxa"/>
            <w:shd w:val="clear" w:color="auto" w:fill="auto"/>
            <w:vAlign w:val="center"/>
          </w:tcPr>
          <w:p w14:paraId="3DF6CA1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3.06</w:t>
            </w:r>
          </w:p>
        </w:tc>
        <w:tc>
          <w:tcPr>
            <w:tcW w:w="1019" w:type="dxa"/>
            <w:shd w:val="clear" w:color="auto" w:fill="auto"/>
            <w:vAlign w:val="center"/>
          </w:tcPr>
          <w:p w14:paraId="2C83383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+3.06</w:t>
            </w:r>
          </w:p>
        </w:tc>
      </w:tr>
      <w:tr w14:paraId="37387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6349CF6">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030033E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污泥</w:t>
            </w:r>
          </w:p>
        </w:tc>
        <w:tc>
          <w:tcPr>
            <w:tcW w:w="1701" w:type="dxa"/>
            <w:shd w:val="clear" w:color="auto" w:fill="auto"/>
            <w:vAlign w:val="center"/>
          </w:tcPr>
          <w:p w14:paraId="7B75C3C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shd w:val="clear" w:color="auto" w:fill="auto"/>
            <w:vAlign w:val="center"/>
          </w:tcPr>
          <w:p w14:paraId="4BB542A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shd w:val="clear" w:color="auto" w:fill="auto"/>
            <w:vAlign w:val="center"/>
          </w:tcPr>
          <w:p w14:paraId="123BD37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7E6DAAB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p>
        </w:tc>
        <w:tc>
          <w:tcPr>
            <w:tcW w:w="1761" w:type="dxa"/>
            <w:shd w:val="clear" w:color="auto" w:fill="auto"/>
            <w:vAlign w:val="center"/>
          </w:tcPr>
          <w:p w14:paraId="23BECE8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688DA5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p>
        </w:tc>
        <w:tc>
          <w:tcPr>
            <w:tcW w:w="1019" w:type="dxa"/>
            <w:shd w:val="clear" w:color="auto" w:fill="auto"/>
            <w:vAlign w:val="center"/>
          </w:tcPr>
          <w:p w14:paraId="42F1C85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p>
        </w:tc>
      </w:tr>
      <w:tr w14:paraId="2BA12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5F9334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5CE77AF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浓水</w:t>
            </w:r>
          </w:p>
        </w:tc>
        <w:tc>
          <w:tcPr>
            <w:tcW w:w="1701" w:type="dxa"/>
            <w:shd w:val="clear" w:color="auto" w:fill="auto"/>
            <w:vAlign w:val="center"/>
          </w:tcPr>
          <w:p w14:paraId="3E53318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shd w:val="clear" w:color="auto" w:fill="auto"/>
            <w:vAlign w:val="center"/>
          </w:tcPr>
          <w:p w14:paraId="14E2915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shd w:val="clear" w:color="auto" w:fill="auto"/>
            <w:vAlign w:val="center"/>
          </w:tcPr>
          <w:p w14:paraId="46C2AAE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4377FAF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p>
        </w:tc>
        <w:tc>
          <w:tcPr>
            <w:tcW w:w="1761" w:type="dxa"/>
            <w:shd w:val="clear" w:color="auto" w:fill="auto"/>
            <w:vAlign w:val="center"/>
          </w:tcPr>
          <w:p w14:paraId="4035755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25E642F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p>
        </w:tc>
        <w:tc>
          <w:tcPr>
            <w:tcW w:w="1019" w:type="dxa"/>
            <w:shd w:val="clear" w:color="auto" w:fill="auto"/>
            <w:vAlign w:val="center"/>
          </w:tcPr>
          <w:p w14:paraId="7EA3485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p>
        </w:tc>
      </w:tr>
      <w:tr w14:paraId="21DDC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57407A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26AA7E8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污水处理站耗材</w:t>
            </w:r>
          </w:p>
        </w:tc>
        <w:tc>
          <w:tcPr>
            <w:tcW w:w="1701" w:type="dxa"/>
            <w:shd w:val="clear" w:color="auto" w:fill="auto"/>
            <w:vAlign w:val="center"/>
          </w:tcPr>
          <w:p w14:paraId="71DC16A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shd w:val="clear" w:color="auto" w:fill="auto"/>
            <w:vAlign w:val="center"/>
          </w:tcPr>
          <w:p w14:paraId="71D6CB7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shd w:val="clear" w:color="auto" w:fill="auto"/>
            <w:vAlign w:val="center"/>
          </w:tcPr>
          <w:p w14:paraId="2175C7D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31938AE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p>
        </w:tc>
        <w:tc>
          <w:tcPr>
            <w:tcW w:w="1761" w:type="dxa"/>
            <w:shd w:val="clear" w:color="auto" w:fill="auto"/>
            <w:vAlign w:val="center"/>
          </w:tcPr>
          <w:p w14:paraId="2214D82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47B032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p>
        </w:tc>
        <w:tc>
          <w:tcPr>
            <w:tcW w:w="1019" w:type="dxa"/>
            <w:shd w:val="clear" w:color="auto" w:fill="auto"/>
            <w:vAlign w:val="center"/>
          </w:tcPr>
          <w:p w14:paraId="069510F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p>
        </w:tc>
      </w:tr>
      <w:tr w14:paraId="2DE48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73E8565">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p>
        </w:tc>
        <w:tc>
          <w:tcPr>
            <w:tcW w:w="1701" w:type="dxa"/>
            <w:tcBorders>
              <w:top w:val="single" w:color="auto" w:sz="4" w:space="0"/>
              <w:bottom w:val="single" w:color="auto" w:sz="4" w:space="0"/>
            </w:tcBorders>
            <w:shd w:val="clear" w:color="auto" w:fill="auto"/>
            <w:vAlign w:val="center"/>
          </w:tcPr>
          <w:p w14:paraId="7CDE5A7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废包装材料</w:t>
            </w:r>
          </w:p>
        </w:tc>
        <w:tc>
          <w:tcPr>
            <w:tcW w:w="1701" w:type="dxa"/>
            <w:shd w:val="clear" w:color="auto" w:fill="auto"/>
            <w:vAlign w:val="center"/>
          </w:tcPr>
          <w:p w14:paraId="2B4C6E1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276" w:type="dxa"/>
            <w:shd w:val="clear" w:color="auto" w:fill="auto"/>
            <w:vAlign w:val="center"/>
          </w:tcPr>
          <w:p w14:paraId="16E8DA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1" w:type="dxa"/>
            <w:shd w:val="clear" w:color="auto" w:fill="auto"/>
            <w:vAlign w:val="center"/>
          </w:tcPr>
          <w:p w14:paraId="2F318AE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9" w:type="dxa"/>
            <w:shd w:val="clear" w:color="auto" w:fill="auto"/>
            <w:vAlign w:val="center"/>
          </w:tcPr>
          <w:p w14:paraId="1CCAA47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0.15</w:t>
            </w:r>
          </w:p>
        </w:tc>
        <w:tc>
          <w:tcPr>
            <w:tcW w:w="1761" w:type="dxa"/>
            <w:shd w:val="clear" w:color="auto" w:fill="auto"/>
            <w:vAlign w:val="center"/>
          </w:tcPr>
          <w:p w14:paraId="4149802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66" w:type="dxa"/>
            <w:shd w:val="clear" w:color="auto" w:fill="auto"/>
            <w:vAlign w:val="center"/>
          </w:tcPr>
          <w:p w14:paraId="3B1141A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0.16</w:t>
            </w:r>
          </w:p>
        </w:tc>
        <w:tc>
          <w:tcPr>
            <w:tcW w:w="1019" w:type="dxa"/>
            <w:shd w:val="clear" w:color="auto" w:fill="auto"/>
            <w:vAlign w:val="center"/>
          </w:tcPr>
          <w:p w14:paraId="7588F66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+0.16</w:t>
            </w:r>
          </w:p>
        </w:tc>
      </w:tr>
    </w:tbl>
    <w:p w14:paraId="52F2F620">
      <w:pPr>
        <w:pStyle w:val="48"/>
        <w:spacing w:beforeLines="0" w:afterLines="0" w:line="240" w:lineRule="auto"/>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仿宋" w:cs="Times New Roman"/>
          <w:snapToGrid w:val="0"/>
          <w:color w:val="000000" w:themeColor="text1"/>
          <w:kern w:val="21"/>
          <w:szCs w:val="21"/>
          <w14:textFill>
            <w14:solidFill>
              <w14:schemeClr w14:val="tx1"/>
            </w14:solidFill>
          </w14:textFill>
        </w:rPr>
        <w:t>注：</w: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⑦</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仿宋" w:cs="Times New Roman"/>
          <w:snapToGrid w:val="0"/>
          <w:color w:val="000000" w:themeColor="text1"/>
          <w:spacing w:val="-6"/>
          <w:kern w:val="21"/>
          <w:szCs w:val="21"/>
          <w14:textFill>
            <w14:solidFill>
              <w14:schemeClr w14:val="tx1"/>
            </w14:solidFill>
          </w14:textFill>
        </w:rPr>
        <w:fldChar w:fldCharType="end"/>
      </w:r>
    </w:p>
    <w:p w14:paraId="3CDE7618">
      <w:pPr>
        <w:rPr>
          <w:rFonts w:hint="default" w:ascii="Times New Roman" w:hAnsi="Times New Roman" w:eastAsia="宋体" w:cs="Times New Roman"/>
          <w:color w:val="000000" w:themeColor="text1"/>
          <w14:textFill>
            <w14:solidFill>
              <w14:schemeClr w14:val="tx1"/>
            </w14:solidFill>
          </w14:textFill>
        </w:rPr>
        <w:sectPr>
          <w:footerReference r:id="rId4"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7C8A0D1B">
      <w:pPr>
        <w:widowControl/>
        <w:spacing w:line="360" w:lineRule="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附件</w:t>
      </w:r>
    </w:p>
    <w:p w14:paraId="5CE82DE9">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 营业执照</w:t>
      </w:r>
    </w:p>
    <w:p w14:paraId="1775ACDF">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附件2 法人身份证复印件</w:t>
      </w:r>
    </w:p>
    <w:p w14:paraId="1C4D8852">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附件3 投资项目备案表</w:t>
      </w:r>
    </w:p>
    <w:p w14:paraId="7E341B59">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附件4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园区房产证、购买合同</w:t>
      </w:r>
    </w:p>
    <w:p w14:paraId="6E8E4EF4">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附件5 园区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排水证</w:t>
      </w:r>
    </w:p>
    <w:p w14:paraId="4059EF30">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附件6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现状</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监测报告</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、引用说明</w:t>
      </w:r>
    </w:p>
    <w:p w14:paraId="44612442">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附件7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铜保护剂、除油粉MSDS，铜保护剂检测报告</w:t>
      </w:r>
    </w:p>
    <w:p w14:paraId="4665AD15">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附件8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规划环评批文</w:t>
      </w:r>
    </w:p>
    <w:p w14:paraId="58EDAB5D">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附件9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环评</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委托书</w:t>
      </w:r>
    </w:p>
    <w:p w14:paraId="33753A0B">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附件10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建设单位</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承诺书</w:t>
      </w:r>
    </w:p>
    <w:p w14:paraId="2694DD18">
      <w:pPr>
        <w:widowControl/>
        <w:spacing w:line="360" w:lineRule="auto"/>
        <w:ind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附件11 公示承诺</w:t>
      </w:r>
    </w:p>
    <w:p w14:paraId="41BB1B64">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附件12 危废处置承诺书</w:t>
      </w:r>
    </w:p>
    <w:p w14:paraId="6D036F12">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报批承诺书</w:t>
      </w:r>
    </w:p>
    <w:p w14:paraId="6C74E0FA">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工程师现场踏勘照片</w:t>
      </w:r>
    </w:p>
    <w:p w14:paraId="05A655FC">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 环评合同</w:t>
      </w:r>
    </w:p>
    <w:p w14:paraId="53EBCBFD">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附件16 废水检测报告（进出口）</w:t>
      </w:r>
    </w:p>
    <w:p w14:paraId="61640DC4">
      <w:pPr>
        <w:widowControl/>
        <w:spacing w:line="360" w:lineRule="auto"/>
        <w:ind w:firstLine="480" w:firstLineChars="200"/>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附件17 污水处理方案</w:t>
      </w:r>
    </w:p>
    <w:p w14:paraId="5E785F1F">
      <w:pPr>
        <w:widowControl/>
        <w:spacing w:line="360" w:lineRule="auto"/>
        <w:ind w:firstLine="480" w:firstLineChars="200"/>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附件18 现有项目排污许可登记</w:t>
      </w:r>
    </w:p>
    <w:p w14:paraId="294C8A7E">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附件19</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江苏省生态环境分区管控综合查询报告书</w:t>
      </w:r>
    </w:p>
    <w:p w14:paraId="45FF4D1E">
      <w:pPr>
        <w:widowControl/>
        <w:spacing w:line="360" w:lineRule="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附图</w:t>
      </w:r>
    </w:p>
    <w:p w14:paraId="56189C9E">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附图1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建设项目</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地理位置图</w:t>
      </w:r>
    </w:p>
    <w:p w14:paraId="441A1F97">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附图2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建设</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周围环境概况图</w:t>
      </w:r>
    </w:p>
    <w:p w14:paraId="3473F98B">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附图3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园区、车间平面</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布置图</w:t>
      </w:r>
    </w:p>
    <w:p w14:paraId="501BBE7B">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附图4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项目所在地规划图</w:t>
      </w:r>
    </w:p>
    <w:p w14:paraId="084CBC56">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附图5 区域水系及地表水监测断面示意图</w:t>
      </w:r>
    </w:p>
    <w:p w14:paraId="16F9CDA4">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附图6 常州市生态空间保护区域分布图</w:t>
      </w:r>
    </w:p>
    <w:p w14:paraId="1B1B06B7">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附图7 常州市“三线一单”环境管控单元位置关系图</w:t>
      </w:r>
    </w:p>
    <w:p w14:paraId="3BE245CC">
      <w:pPr>
        <w:widowControl/>
        <w:spacing w:line="360" w:lineRule="auto"/>
        <w:ind w:firstLine="480" w:firstLineChars="200"/>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附图</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8 江苏省2023年生态环境分区管控动态更新成果图</w:t>
      </w:r>
    </w:p>
    <w:p w14:paraId="23394F78">
      <w:pPr>
        <w:widowControl/>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附图9 常州市金坛区国土空间总体规划图(2021-2035年)</w:t>
      </w:r>
    </w:p>
    <w:p w14:paraId="57FB17AA">
      <w:pPr>
        <w:pStyle w:val="3"/>
        <w:rPr>
          <w:rFonts w:hint="default"/>
          <w:color w:val="000000" w:themeColor="text1"/>
          <w:lang w:val="en-US" w:eastAsia="zh-CN"/>
          <w14:textFill>
            <w14:solidFill>
              <w14:schemeClr w14:val="tx1"/>
            </w14:solidFill>
          </w14:textFill>
        </w:rPr>
      </w:pPr>
    </w:p>
    <w:p w14:paraId="7E816673">
      <w:pPr>
        <w:rPr>
          <w:rFonts w:hint="default" w:ascii="Times New Roman" w:hAnsi="Times New Roman" w:eastAsia="宋体" w:cs="Times New Roman"/>
          <w:color w:val="000000" w:themeColor="text1"/>
          <w:sz w:val="24"/>
          <w14:textFill>
            <w14:solidFill>
              <w14:schemeClr w14:val="tx1"/>
            </w14:solidFill>
          </w14:textFill>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s²Ó©úÅé">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等线">
    <w:altName w:val="微软雅黑"/>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docPartObj>
        <w:docPartGallery w:val="autotext"/>
      </w:docPartObj>
    </w:sdtPr>
    <w:sdtEndPr>
      <w:rPr>
        <w:rFonts w:ascii="Times New Roman" w:hAnsi="Times New Roman" w:cs="Times New Roman"/>
      </w:rPr>
    </w:sdtEndPr>
    <w:sdtContent>
      <w:p w14:paraId="05A8400A">
        <w:pPr>
          <w:pStyle w:val="1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32F8B">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493DF3E2">
                          <w:pPr>
                            <w:pStyle w:val="16"/>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493DF3E2">
                    <w:pPr>
                      <w:pStyle w:val="16"/>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9E1D5">
    <w:pPr>
      <w:pStyle w:val="1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47CA49">
                          <w:pPr>
                            <w:pStyle w:val="16"/>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047CA49">
                    <w:pPr>
                      <w:pStyle w:val="1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B7FB15DB"/>
    <w:multiLevelType w:val="singleLevel"/>
    <w:tmpl w:val="B7FB15DB"/>
    <w:lvl w:ilvl="0" w:tentative="0">
      <w:start w:val="1"/>
      <w:numFmt w:val="chineseCounting"/>
      <w:suff w:val="nothing"/>
      <w:lvlText w:val="（%1）"/>
      <w:lvlJc w:val="left"/>
      <w:rPr>
        <w:rFonts w:hint="eastAsia"/>
      </w:rPr>
    </w:lvl>
  </w:abstractNum>
  <w:abstractNum w:abstractNumId="2">
    <w:nsid w:val="D51EE498"/>
    <w:multiLevelType w:val="singleLevel"/>
    <w:tmpl w:val="D51EE498"/>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2NTlkZmY3NjgzZDhiNjE5NzA2MWYxMjZlYWQ2YjYifQ=="/>
  </w:docVars>
  <w:rsids>
    <w:rsidRoot w:val="0064669D"/>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44507E"/>
    <w:rsid w:val="01756B92"/>
    <w:rsid w:val="0199168E"/>
    <w:rsid w:val="021505BE"/>
    <w:rsid w:val="02FC4086"/>
    <w:rsid w:val="03011BBD"/>
    <w:rsid w:val="03B92C81"/>
    <w:rsid w:val="044A58F2"/>
    <w:rsid w:val="04FE70D6"/>
    <w:rsid w:val="05943DE1"/>
    <w:rsid w:val="05F73DAF"/>
    <w:rsid w:val="06545B05"/>
    <w:rsid w:val="068846DD"/>
    <w:rsid w:val="068C6FF6"/>
    <w:rsid w:val="06A845C4"/>
    <w:rsid w:val="072F2EF2"/>
    <w:rsid w:val="073D2451"/>
    <w:rsid w:val="07545980"/>
    <w:rsid w:val="07783783"/>
    <w:rsid w:val="07E053D6"/>
    <w:rsid w:val="084559F1"/>
    <w:rsid w:val="084E752E"/>
    <w:rsid w:val="08935065"/>
    <w:rsid w:val="08BD51D7"/>
    <w:rsid w:val="08CE59B7"/>
    <w:rsid w:val="09C828C8"/>
    <w:rsid w:val="09D52E65"/>
    <w:rsid w:val="0A5B1F0B"/>
    <w:rsid w:val="0A5B7B55"/>
    <w:rsid w:val="0A7869C0"/>
    <w:rsid w:val="0B5E3253"/>
    <w:rsid w:val="0BDF795B"/>
    <w:rsid w:val="0C707344"/>
    <w:rsid w:val="0CCD7746"/>
    <w:rsid w:val="0D1C336D"/>
    <w:rsid w:val="0DFF5A76"/>
    <w:rsid w:val="0E833D8E"/>
    <w:rsid w:val="0EAD6536"/>
    <w:rsid w:val="0EB065DA"/>
    <w:rsid w:val="0EE7615C"/>
    <w:rsid w:val="0F282D90"/>
    <w:rsid w:val="0FD5238C"/>
    <w:rsid w:val="104F7402"/>
    <w:rsid w:val="11492204"/>
    <w:rsid w:val="12252FE6"/>
    <w:rsid w:val="125C18E4"/>
    <w:rsid w:val="128C36CC"/>
    <w:rsid w:val="12D17D27"/>
    <w:rsid w:val="12ED5FD8"/>
    <w:rsid w:val="13153AAD"/>
    <w:rsid w:val="134B6FC7"/>
    <w:rsid w:val="14200B1E"/>
    <w:rsid w:val="14605F48"/>
    <w:rsid w:val="14855888"/>
    <w:rsid w:val="14C845F4"/>
    <w:rsid w:val="14ED1815"/>
    <w:rsid w:val="14EE39D3"/>
    <w:rsid w:val="151A266A"/>
    <w:rsid w:val="157B1ECA"/>
    <w:rsid w:val="15BB1BB5"/>
    <w:rsid w:val="162744C6"/>
    <w:rsid w:val="16A649DD"/>
    <w:rsid w:val="17E92EF4"/>
    <w:rsid w:val="18195FFC"/>
    <w:rsid w:val="18955E1D"/>
    <w:rsid w:val="18B52138"/>
    <w:rsid w:val="18CD0838"/>
    <w:rsid w:val="18CF2CF7"/>
    <w:rsid w:val="1B1069E9"/>
    <w:rsid w:val="1B1D6F4F"/>
    <w:rsid w:val="1B7374B2"/>
    <w:rsid w:val="1B9413C8"/>
    <w:rsid w:val="1C781682"/>
    <w:rsid w:val="1D0E4A0A"/>
    <w:rsid w:val="1D8036E2"/>
    <w:rsid w:val="1D827470"/>
    <w:rsid w:val="1D877F9C"/>
    <w:rsid w:val="1DA336FF"/>
    <w:rsid w:val="1DDB7A8A"/>
    <w:rsid w:val="1E637364"/>
    <w:rsid w:val="1E880418"/>
    <w:rsid w:val="1EC8491D"/>
    <w:rsid w:val="1FBA7BCC"/>
    <w:rsid w:val="2061780C"/>
    <w:rsid w:val="20D26408"/>
    <w:rsid w:val="20E33E1A"/>
    <w:rsid w:val="215A2FB8"/>
    <w:rsid w:val="215C0EAE"/>
    <w:rsid w:val="21817EC9"/>
    <w:rsid w:val="21D278E5"/>
    <w:rsid w:val="22236BAE"/>
    <w:rsid w:val="224479E1"/>
    <w:rsid w:val="228757E3"/>
    <w:rsid w:val="22D36C7A"/>
    <w:rsid w:val="23447230"/>
    <w:rsid w:val="236F1F46"/>
    <w:rsid w:val="23BB36B9"/>
    <w:rsid w:val="24485707"/>
    <w:rsid w:val="247B54A6"/>
    <w:rsid w:val="24E057D5"/>
    <w:rsid w:val="254C3A04"/>
    <w:rsid w:val="254C5BF5"/>
    <w:rsid w:val="25ED5509"/>
    <w:rsid w:val="27573264"/>
    <w:rsid w:val="27741360"/>
    <w:rsid w:val="27753F0E"/>
    <w:rsid w:val="286E1EC3"/>
    <w:rsid w:val="28C829AA"/>
    <w:rsid w:val="29014BA1"/>
    <w:rsid w:val="291B0A33"/>
    <w:rsid w:val="29A8469D"/>
    <w:rsid w:val="29C82F74"/>
    <w:rsid w:val="29F313EE"/>
    <w:rsid w:val="2A0816A6"/>
    <w:rsid w:val="2A841838"/>
    <w:rsid w:val="2AD06870"/>
    <w:rsid w:val="2DDC4A02"/>
    <w:rsid w:val="2F3E26B2"/>
    <w:rsid w:val="2FC304A9"/>
    <w:rsid w:val="2FEB7E18"/>
    <w:rsid w:val="2FFF5140"/>
    <w:rsid w:val="304E7F43"/>
    <w:rsid w:val="30C146E9"/>
    <w:rsid w:val="30E25339"/>
    <w:rsid w:val="310339EE"/>
    <w:rsid w:val="31CF2E0C"/>
    <w:rsid w:val="32104CEA"/>
    <w:rsid w:val="32240810"/>
    <w:rsid w:val="325A370E"/>
    <w:rsid w:val="32E81AD2"/>
    <w:rsid w:val="32F616B6"/>
    <w:rsid w:val="32F62DEE"/>
    <w:rsid w:val="332C6F59"/>
    <w:rsid w:val="338840C3"/>
    <w:rsid w:val="33EB299D"/>
    <w:rsid w:val="34C40EC6"/>
    <w:rsid w:val="34FB52AF"/>
    <w:rsid w:val="35A369B1"/>
    <w:rsid w:val="362E756D"/>
    <w:rsid w:val="36ED0835"/>
    <w:rsid w:val="37182B51"/>
    <w:rsid w:val="377817DA"/>
    <w:rsid w:val="37AF10EE"/>
    <w:rsid w:val="37C50C21"/>
    <w:rsid w:val="37F9479C"/>
    <w:rsid w:val="381D00FF"/>
    <w:rsid w:val="382A43A2"/>
    <w:rsid w:val="391517B8"/>
    <w:rsid w:val="399E6734"/>
    <w:rsid w:val="3A19695F"/>
    <w:rsid w:val="3B4F19E2"/>
    <w:rsid w:val="3BAA5C47"/>
    <w:rsid w:val="3BB86BBC"/>
    <w:rsid w:val="3C101F4E"/>
    <w:rsid w:val="3C961175"/>
    <w:rsid w:val="3C994740"/>
    <w:rsid w:val="3CEA4B96"/>
    <w:rsid w:val="3D2A5DFB"/>
    <w:rsid w:val="3D2B2176"/>
    <w:rsid w:val="3D5130CB"/>
    <w:rsid w:val="3D620914"/>
    <w:rsid w:val="3E2A3DFB"/>
    <w:rsid w:val="400F00E4"/>
    <w:rsid w:val="402E3A9F"/>
    <w:rsid w:val="411B16D3"/>
    <w:rsid w:val="41AF3FAB"/>
    <w:rsid w:val="41B50A70"/>
    <w:rsid w:val="43D27843"/>
    <w:rsid w:val="44FA38F5"/>
    <w:rsid w:val="453C0257"/>
    <w:rsid w:val="45FB3725"/>
    <w:rsid w:val="4625341C"/>
    <w:rsid w:val="469316C0"/>
    <w:rsid w:val="46933EA7"/>
    <w:rsid w:val="472314DF"/>
    <w:rsid w:val="472D0DE0"/>
    <w:rsid w:val="47563FF2"/>
    <w:rsid w:val="47956852"/>
    <w:rsid w:val="484F7842"/>
    <w:rsid w:val="486E1F78"/>
    <w:rsid w:val="48B34581"/>
    <w:rsid w:val="49392489"/>
    <w:rsid w:val="495A7246"/>
    <w:rsid w:val="49FA6B8F"/>
    <w:rsid w:val="4AD328B7"/>
    <w:rsid w:val="4B283857"/>
    <w:rsid w:val="4B582341"/>
    <w:rsid w:val="4B751938"/>
    <w:rsid w:val="4CD80BAE"/>
    <w:rsid w:val="4DA449D2"/>
    <w:rsid w:val="4E16502C"/>
    <w:rsid w:val="4E2B70BB"/>
    <w:rsid w:val="4EFA09BD"/>
    <w:rsid w:val="4F4428AE"/>
    <w:rsid w:val="4F6F4D85"/>
    <w:rsid w:val="4FB60BEB"/>
    <w:rsid w:val="4FB60E72"/>
    <w:rsid w:val="4FDF40C0"/>
    <w:rsid w:val="4FDF4E16"/>
    <w:rsid w:val="50C62B60"/>
    <w:rsid w:val="51490F5C"/>
    <w:rsid w:val="514D1952"/>
    <w:rsid w:val="52DD2270"/>
    <w:rsid w:val="53DC6AF7"/>
    <w:rsid w:val="5409745A"/>
    <w:rsid w:val="540E1C2C"/>
    <w:rsid w:val="541C5848"/>
    <w:rsid w:val="548240CD"/>
    <w:rsid w:val="54B44BBF"/>
    <w:rsid w:val="54BA3A4B"/>
    <w:rsid w:val="5517744E"/>
    <w:rsid w:val="55652EB2"/>
    <w:rsid w:val="55A7171D"/>
    <w:rsid w:val="564E3BEC"/>
    <w:rsid w:val="56970298"/>
    <w:rsid w:val="56D62524"/>
    <w:rsid w:val="56F313A0"/>
    <w:rsid w:val="57B44690"/>
    <w:rsid w:val="58D12E0C"/>
    <w:rsid w:val="58D72173"/>
    <w:rsid w:val="598E1687"/>
    <w:rsid w:val="59EF21A0"/>
    <w:rsid w:val="59F32568"/>
    <w:rsid w:val="5A9B1124"/>
    <w:rsid w:val="5B1F66DA"/>
    <w:rsid w:val="5C0351D3"/>
    <w:rsid w:val="5C205D85"/>
    <w:rsid w:val="5CC6230D"/>
    <w:rsid w:val="5CCE7744"/>
    <w:rsid w:val="5CD54DC2"/>
    <w:rsid w:val="5CED33A3"/>
    <w:rsid w:val="5D1F459C"/>
    <w:rsid w:val="5D6647B3"/>
    <w:rsid w:val="5DDB1939"/>
    <w:rsid w:val="5DEE6893"/>
    <w:rsid w:val="5E203CCA"/>
    <w:rsid w:val="5E4201AE"/>
    <w:rsid w:val="5E642C1E"/>
    <w:rsid w:val="5EB62F90"/>
    <w:rsid w:val="5F4B3119"/>
    <w:rsid w:val="5FA76AA8"/>
    <w:rsid w:val="5FB5109C"/>
    <w:rsid w:val="60687CFB"/>
    <w:rsid w:val="60A72DA9"/>
    <w:rsid w:val="619706DF"/>
    <w:rsid w:val="619D2D2E"/>
    <w:rsid w:val="628E681A"/>
    <w:rsid w:val="62931ECE"/>
    <w:rsid w:val="62F80E07"/>
    <w:rsid w:val="631B72A6"/>
    <w:rsid w:val="63FD39FF"/>
    <w:rsid w:val="649E7FF7"/>
    <w:rsid w:val="64F60CD4"/>
    <w:rsid w:val="653C6A9F"/>
    <w:rsid w:val="655A7FDA"/>
    <w:rsid w:val="658135B7"/>
    <w:rsid w:val="658F7C81"/>
    <w:rsid w:val="65A44FC7"/>
    <w:rsid w:val="65C9123C"/>
    <w:rsid w:val="65E30A69"/>
    <w:rsid w:val="66846347"/>
    <w:rsid w:val="66916E81"/>
    <w:rsid w:val="66BE3F88"/>
    <w:rsid w:val="66E20D93"/>
    <w:rsid w:val="66EC1A54"/>
    <w:rsid w:val="67CC61ED"/>
    <w:rsid w:val="68224180"/>
    <w:rsid w:val="68313AE4"/>
    <w:rsid w:val="6845609C"/>
    <w:rsid w:val="68AD13A8"/>
    <w:rsid w:val="68C0088C"/>
    <w:rsid w:val="68EB3D1D"/>
    <w:rsid w:val="6977229C"/>
    <w:rsid w:val="69D4300E"/>
    <w:rsid w:val="69D72B34"/>
    <w:rsid w:val="6B5B1630"/>
    <w:rsid w:val="6B6C5EC5"/>
    <w:rsid w:val="6BD4397B"/>
    <w:rsid w:val="6BDE45F3"/>
    <w:rsid w:val="6C986FE8"/>
    <w:rsid w:val="6CAA1013"/>
    <w:rsid w:val="6D8462DE"/>
    <w:rsid w:val="6E6F30AA"/>
    <w:rsid w:val="6EB13C8E"/>
    <w:rsid w:val="6EB234C5"/>
    <w:rsid w:val="6EDF0EA2"/>
    <w:rsid w:val="6EEB43BB"/>
    <w:rsid w:val="6F226BEF"/>
    <w:rsid w:val="6F480382"/>
    <w:rsid w:val="6FC5561E"/>
    <w:rsid w:val="6FD20CED"/>
    <w:rsid w:val="702B6882"/>
    <w:rsid w:val="707C4CA4"/>
    <w:rsid w:val="71B42661"/>
    <w:rsid w:val="71C52595"/>
    <w:rsid w:val="71E42574"/>
    <w:rsid w:val="71F96A05"/>
    <w:rsid w:val="725776D9"/>
    <w:rsid w:val="728C6B76"/>
    <w:rsid w:val="72952BD1"/>
    <w:rsid w:val="72B62B48"/>
    <w:rsid w:val="73C62426"/>
    <w:rsid w:val="73CC2B0D"/>
    <w:rsid w:val="73F33AAA"/>
    <w:rsid w:val="749B33DD"/>
    <w:rsid w:val="75623A1B"/>
    <w:rsid w:val="763B583E"/>
    <w:rsid w:val="76423EBA"/>
    <w:rsid w:val="77370AB9"/>
    <w:rsid w:val="778B6D26"/>
    <w:rsid w:val="77DB60C4"/>
    <w:rsid w:val="78564544"/>
    <w:rsid w:val="78A03710"/>
    <w:rsid w:val="7931667F"/>
    <w:rsid w:val="79FE0B67"/>
    <w:rsid w:val="7A631BCE"/>
    <w:rsid w:val="7A9A3AAC"/>
    <w:rsid w:val="7AC867E6"/>
    <w:rsid w:val="7C7969EC"/>
    <w:rsid w:val="7CA2353B"/>
    <w:rsid w:val="7E651CD9"/>
    <w:rsid w:val="7F456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jc w:val="center"/>
      <w:outlineLvl w:val="0"/>
    </w:pPr>
    <w:rPr>
      <w:rFonts w:ascii="Times New Roman" w:hAnsi="Times New Roman" w:eastAsia="宋体"/>
      <w:b/>
      <w:bCs/>
      <w:kern w:val="44"/>
      <w:sz w:val="30"/>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List 3"/>
    <w:basedOn w:val="1"/>
    <w:next w:val="1"/>
    <w:qFormat/>
    <w:uiPriority w:val="0"/>
    <w:pPr>
      <w:spacing w:line="240" w:lineRule="auto"/>
      <w:ind w:left="0" w:leftChars="0" w:firstLine="0" w:firstLineChars="0"/>
      <w:jc w:val="center"/>
    </w:pPr>
    <w:rPr>
      <w:sz w:val="21"/>
    </w:rPr>
  </w:style>
  <w:style w:type="paragraph" w:styleId="6">
    <w:name w:val="Note Heading"/>
    <w:basedOn w:val="1"/>
    <w:next w:val="1"/>
    <w:qFormat/>
    <w:uiPriority w:val="0"/>
    <w:pPr>
      <w:adjustRightInd w:val="0"/>
      <w:spacing w:line="360" w:lineRule="auto"/>
      <w:jc w:val="center"/>
    </w:pPr>
    <w:rPr>
      <w:szCs w:val="24"/>
    </w:rPr>
  </w:style>
  <w:style w:type="paragraph" w:styleId="7">
    <w:name w:val="Normal Indent"/>
    <w:basedOn w:val="1"/>
    <w:qFormat/>
    <w:uiPriority w:val="0"/>
    <w:pPr>
      <w:ind w:firstLine="420"/>
    </w:pPr>
    <w:rPr>
      <w:rFonts w:ascii="Calibri" w:hAnsi="Calibri"/>
      <w:szCs w:val="20"/>
    </w:rPr>
  </w:style>
  <w:style w:type="paragraph" w:styleId="8">
    <w:name w:val="caption"/>
    <w:basedOn w:val="1"/>
    <w:next w:val="1"/>
    <w:qFormat/>
    <w:uiPriority w:val="0"/>
    <w:rPr>
      <w:rFonts w:ascii="Arial" w:hAnsi="Arial" w:eastAsia="黑体"/>
      <w:sz w:val="20"/>
      <w:szCs w:val="20"/>
    </w:rPr>
  </w:style>
  <w:style w:type="paragraph" w:styleId="9">
    <w:name w:val="annotation text"/>
    <w:basedOn w:val="1"/>
    <w:semiHidden/>
    <w:unhideWhenUsed/>
    <w:qFormat/>
    <w:uiPriority w:val="99"/>
    <w:pPr>
      <w:jc w:val="left"/>
    </w:pPr>
  </w:style>
  <w:style w:type="paragraph" w:styleId="10">
    <w:name w:val="Body Text"/>
    <w:basedOn w:val="1"/>
    <w:next w:val="11"/>
    <w:link w:val="42"/>
    <w:semiHidden/>
    <w:unhideWhenUsed/>
    <w:qFormat/>
    <w:uiPriority w:val="99"/>
    <w:pPr>
      <w:spacing w:after="120"/>
    </w:pPr>
  </w:style>
  <w:style w:type="paragraph" w:styleId="11">
    <w:name w:val="List Bullet 5"/>
    <w:basedOn w:val="1"/>
    <w:semiHidden/>
    <w:unhideWhenUsed/>
    <w:qFormat/>
    <w:uiPriority w:val="99"/>
    <w:pPr>
      <w:numPr>
        <w:ilvl w:val="0"/>
        <w:numId w:val="1"/>
      </w:numPr>
    </w:pPr>
  </w:style>
  <w:style w:type="paragraph" w:styleId="12">
    <w:name w:val="Body Text Indent"/>
    <w:basedOn w:val="1"/>
    <w:link w:val="40"/>
    <w:semiHidden/>
    <w:unhideWhenUsed/>
    <w:qFormat/>
    <w:uiPriority w:val="99"/>
    <w:pPr>
      <w:spacing w:after="120"/>
      <w:ind w:left="420" w:leftChars="200"/>
    </w:pPr>
  </w:style>
  <w:style w:type="paragraph" w:styleId="13">
    <w:name w:val="Block Text"/>
    <w:basedOn w:val="1"/>
    <w:qFormat/>
    <w:uiPriority w:val="0"/>
    <w:pPr>
      <w:spacing w:after="120"/>
      <w:ind w:left="1440" w:leftChars="700" w:right="1440" w:rightChars="700"/>
    </w:pPr>
    <w:rPr>
      <w:rFonts w:ascii="Calibri" w:hAnsi="Calibri"/>
      <w:szCs w:val="20"/>
    </w:rPr>
  </w:style>
  <w:style w:type="paragraph" w:styleId="14">
    <w:name w:val="Plain Text"/>
    <w:basedOn w:val="1"/>
    <w:qFormat/>
    <w:uiPriority w:val="0"/>
    <w:pPr>
      <w:widowControl w:val="0"/>
      <w:jc w:val="both"/>
    </w:pPr>
    <w:rPr>
      <w:rFonts w:ascii="宋体" w:hAnsi="Courier New"/>
      <w:kern w:val="2"/>
      <w:sz w:val="28"/>
    </w:rPr>
  </w:style>
  <w:style w:type="paragraph" w:styleId="15">
    <w:name w:val="Balloon Text"/>
    <w:basedOn w:val="1"/>
    <w:link w:val="47"/>
    <w:semiHidden/>
    <w:unhideWhenUsed/>
    <w:qFormat/>
    <w:uiPriority w:val="99"/>
    <w:rPr>
      <w:sz w:val="18"/>
      <w:szCs w:val="18"/>
    </w:rPr>
  </w:style>
  <w:style w:type="paragraph" w:styleId="16">
    <w:name w:val="footer"/>
    <w:basedOn w:val="1"/>
    <w:link w:val="46"/>
    <w:unhideWhenUsed/>
    <w:qFormat/>
    <w:uiPriority w:val="99"/>
    <w:pPr>
      <w:tabs>
        <w:tab w:val="center" w:pos="4153"/>
        <w:tab w:val="right" w:pos="8306"/>
      </w:tabs>
      <w:snapToGrid w:val="0"/>
      <w:jc w:val="left"/>
    </w:pPr>
    <w:rPr>
      <w:sz w:val="18"/>
      <w:szCs w:val="18"/>
    </w:rPr>
  </w:style>
  <w:style w:type="paragraph" w:styleId="17">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index heading"/>
    <w:basedOn w:val="1"/>
    <w:next w:val="20"/>
    <w:unhideWhenUsed/>
    <w:qFormat/>
    <w:uiPriority w:val="99"/>
    <w:rPr>
      <w:szCs w:val="20"/>
    </w:rPr>
  </w:style>
  <w:style w:type="paragraph" w:styleId="20">
    <w:name w:val="index 1"/>
    <w:basedOn w:val="1"/>
    <w:next w:val="1"/>
    <w:unhideWhenUsed/>
    <w:qFormat/>
    <w:uiPriority w:val="99"/>
    <w:pPr>
      <w:jc w:val="center"/>
    </w:pPr>
    <w:rPr>
      <w:szCs w:val="20"/>
    </w:rPr>
  </w:style>
  <w:style w:type="paragraph" w:styleId="21">
    <w:name w:val="List"/>
    <w:basedOn w:val="1"/>
    <w:next w:val="1"/>
    <w:qFormat/>
    <w:uiPriority w:val="0"/>
    <w:pPr>
      <w:ind w:left="200" w:hanging="200" w:hangingChars="200"/>
      <w:contextualSpacing/>
    </w:pPr>
  </w:style>
  <w:style w:type="paragraph" w:styleId="22">
    <w:name w:val="Body Text Indent 3"/>
    <w:basedOn w:val="1"/>
    <w:qFormat/>
    <w:uiPriority w:val="0"/>
    <w:pPr>
      <w:spacing w:line="280" w:lineRule="exact"/>
      <w:ind w:left="602" w:hanging="602"/>
    </w:pPr>
    <w:rPr>
      <w:kern w:val="0"/>
      <w:sz w:val="16"/>
      <w:szCs w:val="16"/>
    </w:rPr>
  </w:style>
  <w:style w:type="paragraph" w:styleId="23">
    <w:name w:val="Body Text 2"/>
    <w:basedOn w:val="1"/>
    <w:qFormat/>
    <w:uiPriority w:val="0"/>
    <w:pPr>
      <w:spacing w:after="120" w:line="480" w:lineRule="auto"/>
    </w:pPr>
  </w:style>
  <w:style w:type="paragraph" w:styleId="24">
    <w:name w:val="Normal (Web)"/>
    <w:basedOn w:val="1"/>
    <w:link w:val="50"/>
    <w:unhideWhenUsed/>
    <w:qFormat/>
    <w:uiPriority w:val="0"/>
    <w:pPr>
      <w:widowControl/>
      <w:jc w:val="left"/>
    </w:pPr>
    <w:rPr>
      <w:rFonts w:ascii="宋体" w:hAnsi="宋体" w:eastAsia="宋体"/>
      <w:b/>
      <w:sz w:val="24"/>
    </w:rPr>
  </w:style>
  <w:style w:type="paragraph" w:styleId="25">
    <w:name w:val="Body Text First Indent"/>
    <w:basedOn w:val="10"/>
    <w:next w:val="1"/>
    <w:link w:val="43"/>
    <w:qFormat/>
    <w:uiPriority w:val="0"/>
    <w:pPr>
      <w:ind w:firstLine="420" w:firstLineChars="100"/>
    </w:pPr>
    <w:rPr>
      <w:rFonts w:ascii="Times New Roman" w:hAnsi="Times New Roman" w:eastAsia="宋体" w:cs="Times New Roman"/>
      <w:szCs w:val="20"/>
    </w:rPr>
  </w:style>
  <w:style w:type="paragraph" w:styleId="26">
    <w:name w:val="Body Text First Indent 2"/>
    <w:basedOn w:val="1"/>
    <w:next w:val="1"/>
    <w:link w:val="41"/>
    <w:qFormat/>
    <w:uiPriority w:val="99"/>
    <w:pPr>
      <w:ind w:firstLine="420" w:firstLineChars="200"/>
    </w:pPr>
    <w:rPr>
      <w:rFonts w:ascii="Times New Roman" w:hAnsi="Times New Roman" w:eastAsia="宋体" w:cs="Times New Roman"/>
      <w:szCs w:val="20"/>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Hyperlink"/>
    <w:basedOn w:val="29"/>
    <w:qFormat/>
    <w:uiPriority w:val="99"/>
    <w:rPr>
      <w:color w:val="0000FF"/>
      <w:u w:val="single"/>
    </w:rPr>
  </w:style>
  <w:style w:type="character" w:styleId="32">
    <w:name w:val="annotation reference"/>
    <w:basedOn w:val="29"/>
    <w:qFormat/>
    <w:uiPriority w:val="0"/>
    <w:rPr>
      <w:sz w:val="21"/>
      <w:szCs w:val="21"/>
    </w:rPr>
  </w:style>
  <w:style w:type="paragraph" w:customStyle="1" w:styleId="33">
    <w:name w:val="Default"/>
    <w:basedOn w:val="34"/>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5">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6">
    <w:name w:val="标题2"/>
    <w:basedOn w:val="3"/>
    <w:qFormat/>
    <w:uiPriority w:val="0"/>
    <w:pPr>
      <w:tabs>
        <w:tab w:val="left" w:pos="0"/>
      </w:tabs>
      <w:spacing w:line="440" w:lineRule="exact"/>
      <w:ind w:left="1560"/>
    </w:pPr>
    <w:rPr>
      <w:sz w:val="28"/>
    </w:rPr>
  </w:style>
  <w:style w:type="paragraph" w:customStyle="1" w:styleId="37">
    <w:name w:val="样式3"/>
    <w:basedOn w:val="18"/>
    <w:next w:val="38"/>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38">
    <w:name w:val="目录 53"/>
    <w:basedOn w:val="1"/>
    <w:next w:val="1"/>
    <w:qFormat/>
    <w:uiPriority w:val="0"/>
    <w:pPr>
      <w:ind w:left="840"/>
    </w:pPr>
    <w:rPr>
      <w:rFonts w:cs="宋体"/>
      <w:color w:val="000000"/>
    </w:rPr>
  </w:style>
  <w:style w:type="character" w:customStyle="1" w:styleId="39">
    <w:name w:val="标题 1 字符"/>
    <w:basedOn w:val="29"/>
    <w:link w:val="2"/>
    <w:qFormat/>
    <w:uiPriority w:val="9"/>
    <w:rPr>
      <w:rFonts w:ascii="Times New Roman" w:hAnsi="Times New Roman" w:eastAsia="宋体"/>
      <w:b/>
      <w:bCs/>
      <w:kern w:val="44"/>
      <w:sz w:val="30"/>
      <w:szCs w:val="44"/>
    </w:rPr>
  </w:style>
  <w:style w:type="character" w:customStyle="1" w:styleId="40">
    <w:name w:val="正文文本缩进 字符"/>
    <w:basedOn w:val="29"/>
    <w:link w:val="12"/>
    <w:semiHidden/>
    <w:qFormat/>
    <w:uiPriority w:val="99"/>
  </w:style>
  <w:style w:type="character" w:customStyle="1" w:styleId="41">
    <w:name w:val="正文文本首行缩进 2 字符"/>
    <w:basedOn w:val="40"/>
    <w:link w:val="26"/>
    <w:qFormat/>
    <w:uiPriority w:val="99"/>
    <w:rPr>
      <w:rFonts w:ascii="Times New Roman" w:hAnsi="Times New Roman" w:eastAsia="宋体" w:cs="Times New Roman"/>
      <w:szCs w:val="20"/>
    </w:rPr>
  </w:style>
  <w:style w:type="character" w:customStyle="1" w:styleId="42">
    <w:name w:val="正文文本 字符"/>
    <w:basedOn w:val="29"/>
    <w:link w:val="10"/>
    <w:semiHidden/>
    <w:qFormat/>
    <w:uiPriority w:val="99"/>
  </w:style>
  <w:style w:type="character" w:customStyle="1" w:styleId="43">
    <w:name w:val="正文文本首行缩进 字符"/>
    <w:basedOn w:val="42"/>
    <w:link w:val="25"/>
    <w:qFormat/>
    <w:uiPriority w:val="0"/>
    <w:rPr>
      <w:rFonts w:ascii="Times New Roman" w:hAnsi="Times New Roman" w:eastAsia="宋体" w:cs="Times New Roman"/>
      <w:szCs w:val="20"/>
    </w:rPr>
  </w:style>
  <w:style w:type="paragraph" w:styleId="44">
    <w:name w:val="List Paragraph"/>
    <w:basedOn w:val="1"/>
    <w:qFormat/>
    <w:uiPriority w:val="34"/>
    <w:pPr>
      <w:ind w:firstLine="420" w:firstLineChars="200"/>
    </w:pPr>
  </w:style>
  <w:style w:type="character" w:customStyle="1" w:styleId="45">
    <w:name w:val="页眉 字符"/>
    <w:basedOn w:val="29"/>
    <w:link w:val="17"/>
    <w:qFormat/>
    <w:uiPriority w:val="99"/>
    <w:rPr>
      <w:sz w:val="18"/>
      <w:szCs w:val="18"/>
    </w:rPr>
  </w:style>
  <w:style w:type="character" w:customStyle="1" w:styleId="46">
    <w:name w:val="页脚 字符"/>
    <w:basedOn w:val="29"/>
    <w:link w:val="16"/>
    <w:qFormat/>
    <w:uiPriority w:val="99"/>
    <w:rPr>
      <w:sz w:val="18"/>
      <w:szCs w:val="18"/>
    </w:rPr>
  </w:style>
  <w:style w:type="character" w:customStyle="1" w:styleId="47">
    <w:name w:val="批注框文本 字符"/>
    <w:basedOn w:val="29"/>
    <w:link w:val="15"/>
    <w:semiHidden/>
    <w:qFormat/>
    <w:uiPriority w:val="99"/>
    <w:rPr>
      <w:sz w:val="18"/>
      <w:szCs w:val="18"/>
    </w:rPr>
  </w:style>
  <w:style w:type="paragraph" w:customStyle="1" w:styleId="48">
    <w:name w:val="表格"/>
    <w:basedOn w:val="1"/>
    <w:next w:val="1"/>
    <w:link w:val="49"/>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49">
    <w:name w:val="表格 Char"/>
    <w:link w:val="48"/>
    <w:qFormat/>
    <w:locked/>
    <w:uiPriority w:val="0"/>
    <w:rPr>
      <w:rFonts w:ascii="宋体" w:hAnsi="Times New Roman" w:eastAsia="黑体" w:cs="Times New Roman"/>
      <w:spacing w:val="-10"/>
      <w:kern w:val="0"/>
      <w:sz w:val="24"/>
      <w:szCs w:val="20"/>
    </w:rPr>
  </w:style>
  <w:style w:type="character" w:customStyle="1" w:styleId="50">
    <w:name w:val="普通(网站) 字符"/>
    <w:link w:val="24"/>
    <w:qFormat/>
    <w:locked/>
    <w:uiPriority w:val="0"/>
    <w:rPr>
      <w:rFonts w:ascii="宋体" w:hAnsi="宋体" w:eastAsia="宋体"/>
      <w:b/>
      <w:sz w:val="24"/>
    </w:rPr>
  </w:style>
  <w:style w:type="character" w:customStyle="1" w:styleId="51">
    <w:name w:val="表格文字 Char"/>
    <w:link w:val="52"/>
    <w:qFormat/>
    <w:uiPriority w:val="0"/>
    <w:rPr>
      <w:kern w:val="24"/>
      <w:sz w:val="24"/>
    </w:rPr>
  </w:style>
  <w:style w:type="paragraph" w:customStyle="1" w:styleId="52">
    <w:name w:val="表格文字"/>
    <w:basedOn w:val="14"/>
    <w:link w:val="51"/>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3">
    <w:name w:val="表格内容"/>
    <w:basedOn w:val="21"/>
    <w:qFormat/>
    <w:uiPriority w:val="0"/>
    <w:pPr>
      <w:jc w:val="center"/>
    </w:pPr>
    <w:rPr>
      <w:szCs w:val="21"/>
    </w:rPr>
  </w:style>
  <w:style w:type="paragraph" w:customStyle="1" w:styleId="54">
    <w:name w:val="Table Paragraph"/>
    <w:basedOn w:val="1"/>
    <w:qFormat/>
    <w:uiPriority w:val="1"/>
  </w:style>
  <w:style w:type="paragraph" w:customStyle="1" w:styleId="55">
    <w:name w:val="正文zy"/>
    <w:basedOn w:val="1"/>
    <w:qFormat/>
    <w:uiPriority w:val="0"/>
    <w:pPr>
      <w:snapToGrid w:val="0"/>
      <w:spacing w:line="360" w:lineRule="auto"/>
      <w:ind w:firstLine="480" w:firstLineChars="200"/>
    </w:pPr>
    <w:rPr>
      <w:color w:val="000000"/>
      <w:kern w:val="2"/>
    </w:rPr>
  </w:style>
  <w:style w:type="character" w:customStyle="1" w:styleId="56">
    <w:name w:val="font21"/>
    <w:basedOn w:val="29"/>
    <w:qFormat/>
    <w:uiPriority w:val="0"/>
    <w:rPr>
      <w:rFonts w:hint="eastAsia" w:ascii="宋体" w:hAnsi="宋体" w:eastAsia="宋体" w:cs="宋体"/>
      <w:color w:val="000000"/>
      <w:sz w:val="21"/>
      <w:szCs w:val="21"/>
      <w:u w:val="none"/>
    </w:rPr>
  </w:style>
  <w:style w:type="paragraph" w:customStyle="1" w:styleId="57">
    <w:name w:val="0正文"/>
    <w:basedOn w:val="1"/>
    <w:qFormat/>
    <w:uiPriority w:val="0"/>
    <w:pPr>
      <w:spacing w:line="360" w:lineRule="auto"/>
      <w:ind w:firstLine="200" w:firstLineChars="200"/>
    </w:pPr>
    <w:rPr>
      <w:kern w:val="0"/>
      <w:sz w:val="24"/>
      <w:szCs w:val="22"/>
      <w:lang w:eastAsia="en-US"/>
    </w:rPr>
  </w:style>
  <w:style w:type="paragraph" w:customStyle="1" w:styleId="58">
    <w:name w:val="表"/>
    <w:basedOn w:val="1"/>
    <w:qFormat/>
    <w:uiPriority w:val="0"/>
    <w:pPr>
      <w:keepNext/>
      <w:keepLines/>
      <w:adjustRightInd w:val="0"/>
      <w:spacing w:before="60"/>
      <w:jc w:val="center"/>
    </w:pPr>
    <w:rPr>
      <w:rFonts w:ascii="Calibri" w:hAnsi="Calibri" w:eastAsia="仿宋_GB2312"/>
      <w:kern w:val="21"/>
      <w:sz w:val="24"/>
      <w:szCs w:val="20"/>
    </w:rPr>
  </w:style>
  <w:style w:type="paragraph" w:customStyle="1" w:styleId="59">
    <w:name w:val="表格标题"/>
    <w:basedOn w:val="1"/>
    <w:qFormat/>
    <w:uiPriority w:val="0"/>
    <w:pPr>
      <w:ind w:firstLine="0" w:firstLineChars="0"/>
      <w:jc w:val="center"/>
    </w:pPr>
    <w:rPr>
      <w:b/>
      <w:szCs w:val="24"/>
    </w:rPr>
  </w:style>
  <w:style w:type="paragraph" w:customStyle="1" w:styleId="60">
    <w:name w:val="1正文"/>
    <w:basedOn w:val="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1">
    <w:name w:val="D正文"/>
    <w:basedOn w:val="62"/>
    <w:qFormat/>
    <w:uiPriority w:val="0"/>
    <w:pPr>
      <w:spacing w:line="360" w:lineRule="auto"/>
      <w:ind w:firstLine="480"/>
      <w:jc w:val="both"/>
    </w:pPr>
    <w:rPr>
      <w:rFonts w:hAnsi="宋体"/>
      <w:kern w:val="2"/>
      <w:szCs w:val="24"/>
    </w:rPr>
  </w:style>
  <w:style w:type="paragraph" w:customStyle="1" w:styleId="62">
    <w:name w:val="正文对的"/>
    <w:basedOn w:val="14"/>
    <w:qFormat/>
    <w:uiPriority w:val="0"/>
    <w:pPr>
      <w:spacing w:line="500" w:lineRule="exact"/>
      <w:ind w:firstLine="200" w:firstLineChars="200"/>
    </w:pPr>
    <w:rPr>
      <w:rFonts w:hAnsi="宋体"/>
      <w:kern w:val="2"/>
      <w:sz w:val="24"/>
      <w:szCs w:val="24"/>
    </w:rPr>
  </w:style>
  <w:style w:type="paragraph" w:customStyle="1" w:styleId="63">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4">
    <w:name w:val="正本文字"/>
    <w:basedOn w:val="1"/>
    <w:qFormat/>
    <w:uiPriority w:val="0"/>
    <w:pPr>
      <w:adjustRightInd w:val="0"/>
      <w:snapToGrid w:val="0"/>
      <w:spacing w:line="360" w:lineRule="auto"/>
      <w:ind w:firstLine="200" w:firstLineChars="200"/>
      <w:jc w:val="left"/>
    </w:pPr>
    <w:rPr>
      <w:kern w:val="18"/>
      <w:sz w:val="24"/>
    </w:rPr>
  </w:style>
  <w:style w:type="paragraph" w:customStyle="1" w:styleId="65">
    <w:name w:val="表格普通"/>
    <w:basedOn w:val="1"/>
    <w:qFormat/>
    <w:uiPriority w:val="0"/>
    <w:pPr>
      <w:jc w:val="center"/>
    </w:pPr>
    <w:rPr>
      <w:rFonts w:eastAsia="仿宋_GB2312"/>
    </w:rPr>
  </w:style>
  <w:style w:type="paragraph" w:customStyle="1" w:styleId="66">
    <w:name w:val="111正文"/>
    <w:basedOn w:val="1"/>
    <w:qFormat/>
    <w:uiPriority w:val="0"/>
    <w:pPr>
      <w:tabs>
        <w:tab w:val="left" w:pos="600"/>
      </w:tabs>
      <w:spacing w:line="360" w:lineRule="auto"/>
      <w:ind w:firstLine="200" w:firstLineChars="200"/>
    </w:pPr>
    <w:rPr>
      <w:kern w:val="0"/>
      <w:sz w:val="24"/>
      <w:szCs w:val="22"/>
    </w:rPr>
  </w:style>
  <w:style w:type="paragraph" w:customStyle="1" w:styleId="67">
    <w:name w:val="0000"/>
    <w:basedOn w:val="1"/>
    <w:qFormat/>
    <w:uiPriority w:val="0"/>
    <w:pPr>
      <w:adjustRightInd w:val="0"/>
      <w:snapToGrid w:val="0"/>
    </w:pPr>
    <w:rPr>
      <w:rFonts w:hint="eastAsia"/>
      <w:sz w:val="24"/>
      <w:lang w:val="zh-TW"/>
    </w:rPr>
  </w:style>
  <w:style w:type="paragraph" w:customStyle="1" w:styleId="68">
    <w:name w:val="环正文"/>
    <w:basedOn w:val="1"/>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69">
    <w:name w:val="apple-style-span"/>
    <w:qFormat/>
    <w:uiPriority w:val="0"/>
  </w:style>
  <w:style w:type="paragraph" w:customStyle="1" w:styleId="70">
    <w:name w:val="二级无标题条"/>
    <w:basedOn w:val="1"/>
    <w:qFormat/>
    <w:uiPriority w:val="0"/>
  </w:style>
  <w:style w:type="paragraph" w:customStyle="1" w:styleId="71">
    <w:name w:val="报告表正文"/>
    <w:basedOn w:val="72"/>
    <w:qFormat/>
    <w:uiPriority w:val="0"/>
    <w:pPr>
      <w:ind w:firstLine="200" w:firstLineChars="200"/>
      <w:jc w:val="left"/>
    </w:pPr>
    <w:rPr>
      <w:rFonts w:ascii="Times New Roman" w:hAnsi="Times New Roman"/>
      <w:szCs w:val="24"/>
    </w:rPr>
  </w:style>
  <w:style w:type="paragraph" w:customStyle="1" w:styleId="72">
    <w:name w:val="列表1"/>
    <w:basedOn w:val="1"/>
    <w:qFormat/>
    <w:uiPriority w:val="0"/>
    <w:pPr>
      <w:spacing w:line="400" w:lineRule="exact"/>
      <w:jc w:val="center"/>
    </w:pPr>
    <w:rPr>
      <w:rFonts w:ascii="宋体" w:hAnsi="宋体" w:eastAsia="仿宋_GB2312"/>
      <w:sz w:val="24"/>
      <w:szCs w:val="20"/>
    </w:rPr>
  </w:style>
  <w:style w:type="character" w:customStyle="1" w:styleId="73">
    <w:name w:val="font01"/>
    <w:basedOn w:val="29"/>
    <w:qFormat/>
    <w:uiPriority w:val="0"/>
    <w:rPr>
      <w:rFonts w:hint="eastAsia" w:ascii="宋体" w:hAnsi="宋体" w:eastAsia="宋体" w:cs="宋体"/>
      <w:color w:val="000000"/>
      <w:sz w:val="24"/>
      <w:szCs w:val="24"/>
      <w:u w:val="none"/>
    </w:rPr>
  </w:style>
  <w:style w:type="character" w:customStyle="1" w:styleId="74">
    <w:name w:val="font11"/>
    <w:basedOn w:val="29"/>
    <w:qFormat/>
    <w:uiPriority w:val="0"/>
    <w:rPr>
      <w:rFonts w:hint="default" w:ascii="Times New Roman" w:hAnsi="Times New Roman" w:cs="Times New Roman"/>
      <w:color w:val="000000"/>
      <w:sz w:val="24"/>
      <w:szCs w:val="24"/>
      <w:u w:val="none"/>
    </w:rPr>
  </w:style>
  <w:style w:type="paragraph" w:customStyle="1" w:styleId="75">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76">
    <w:name w:val="表格首行"/>
    <w:basedOn w:val="1"/>
    <w:qFormat/>
    <w:uiPriority w:val="0"/>
    <w:pPr>
      <w:jc w:val="center"/>
    </w:pPr>
    <w:rPr>
      <w:rFonts w:eastAsia="仿宋_GB2312"/>
      <w:b/>
      <w:szCs w:val="21"/>
    </w:rPr>
  </w:style>
  <w:style w:type="paragraph" w:customStyle="1" w:styleId="77">
    <w:name w:val="Z正文"/>
    <w:basedOn w:val="1"/>
    <w:qFormat/>
    <w:uiPriority w:val="0"/>
    <w:pPr>
      <w:spacing w:line="400" w:lineRule="exact"/>
      <w:ind w:firstLine="600" w:firstLineChars="200"/>
    </w:pPr>
    <w:rPr>
      <w:rFonts w:ascii="Times New Roman" w:hAnsi="Times New Roman" w:eastAsia="宋体" w:cs="Times New Roman"/>
      <w:sz w:val="21"/>
      <w:szCs w:val="20"/>
    </w:rPr>
  </w:style>
  <w:style w:type="paragraph" w:customStyle="1" w:styleId="78">
    <w:name w:val="Z表格标题"/>
    <w:basedOn w:val="1"/>
    <w:next w:val="1"/>
    <w:qFormat/>
    <w:uiPriority w:val="0"/>
    <w:pPr>
      <w:spacing w:line="400" w:lineRule="exact"/>
      <w:jc w:val="center"/>
    </w:pPr>
    <w:rPr>
      <w:rFonts w:ascii="Times New Roman" w:hAnsi="Times New Roman" w:eastAsia="宋体"/>
      <w:b/>
    </w:rPr>
  </w:style>
  <w:style w:type="paragraph" w:customStyle="1" w:styleId="79">
    <w:name w:val="Z嵌套表格内容"/>
    <w:basedOn w:val="1"/>
    <w:qFormat/>
    <w:uiPriority w:val="0"/>
    <w:pPr>
      <w:jc w:val="center"/>
    </w:pPr>
    <w:rPr>
      <w:rFonts w:ascii="Times New Roman" w:hAnsi="Times New Roman" w:eastAsia="宋体"/>
      <w:sz w:val="18"/>
    </w:rPr>
  </w:style>
  <w:style w:type="paragraph" w:customStyle="1" w:styleId="80">
    <w:name w:val="表内lcc"/>
    <w:basedOn w:val="81"/>
    <w:qFormat/>
    <w:uiPriority w:val="0"/>
    <w:rPr>
      <w:color w:val="000000"/>
    </w:rPr>
  </w:style>
  <w:style w:type="paragraph" w:customStyle="1" w:styleId="81">
    <w:name w:val="表内字"/>
    <w:basedOn w:val="1"/>
    <w:qFormat/>
    <w:uiPriority w:val="0"/>
    <w:pPr>
      <w:adjustRightInd w:val="0"/>
      <w:jc w:val="center"/>
    </w:pPr>
    <w:rPr>
      <w:iCs/>
      <w:szCs w:val="21"/>
    </w:rPr>
  </w:style>
  <w:style w:type="paragraph" w:customStyle="1" w:styleId="82">
    <w:name w:val="+正文"/>
    <w:basedOn w:val="1"/>
    <w:qFormat/>
    <w:uiPriority w:val="0"/>
    <w:rPr>
      <w:sz w:val="24"/>
      <w:szCs w:val="28"/>
    </w:rPr>
  </w:style>
  <w:style w:type="paragraph" w:customStyle="1" w:styleId="83">
    <w:name w:val="正文4"/>
    <w:basedOn w:val="1"/>
    <w:qFormat/>
    <w:uiPriority w:val="0"/>
    <w:pPr>
      <w:widowControl/>
    </w:pPr>
    <w:rPr>
      <w:rFonts w:cs="Calibri"/>
      <w:szCs w:val="21"/>
    </w:rPr>
  </w:style>
  <w:style w:type="paragraph" w:customStyle="1" w:styleId="84">
    <w:name w:val="Table Text"/>
    <w:basedOn w:val="1"/>
    <w:semiHidden/>
    <w:qFormat/>
    <w:uiPriority w:val="0"/>
    <w:rPr>
      <w:rFonts w:ascii="宋体" w:hAnsi="宋体" w:eastAsia="宋体" w:cs="宋体"/>
      <w:sz w:val="24"/>
      <w:szCs w:val="24"/>
      <w:lang w:val="en-US" w:eastAsia="en-US" w:bidi="ar-SA"/>
    </w:rPr>
  </w:style>
  <w:style w:type="table" w:customStyle="1" w:styleId="85">
    <w:name w:val="Table Normal"/>
    <w:semiHidden/>
    <w:unhideWhenUsed/>
    <w:qFormat/>
    <w:uiPriority w:val="0"/>
    <w:tblPr>
      <w:tblCellMar>
        <w:top w:w="0" w:type="dxa"/>
        <w:left w:w="0" w:type="dxa"/>
        <w:bottom w:w="0" w:type="dxa"/>
        <w:right w:w="0" w:type="dxa"/>
      </w:tblCellMar>
    </w:tblPr>
  </w:style>
  <w:style w:type="paragraph" w:customStyle="1" w:styleId="86">
    <w:name w:val="图表文字"/>
    <w:basedOn w:val="1"/>
    <w:qFormat/>
    <w:uiPriority w:val="0"/>
    <w:pPr>
      <w:jc w:val="center"/>
    </w:pPr>
    <w:rPr>
      <w:rFonts w:ascii="仿宋_GB2312" w:eastAsia="仿宋_GB2312"/>
    </w:rPr>
  </w:style>
  <w:style w:type="paragraph" w:customStyle="1" w:styleId="87">
    <w:name w:val="表格正文"/>
    <w:basedOn w:val="1"/>
    <w:qFormat/>
    <w:uiPriority w:val="0"/>
    <w:pPr>
      <w:jc w:val="center"/>
    </w:pPr>
    <w:rPr>
      <w:rFonts w:ascii="仿宋_GB2312" w:eastAsia="仿宋_GB2312"/>
    </w:rPr>
  </w:style>
  <w:style w:type="table" w:customStyle="1" w:styleId="88">
    <w:name w:val="maoli1"/>
    <w:basedOn w:val="27"/>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89">
    <w:name w:val="font61"/>
    <w:basedOn w:val="29"/>
    <w:qFormat/>
    <w:uiPriority w:val="0"/>
    <w:rPr>
      <w:rFonts w:hint="eastAsia" w:ascii="宋体" w:hAnsi="宋体" w:eastAsia="宋体" w:cs="宋体"/>
      <w:color w:val="000000"/>
      <w:sz w:val="22"/>
      <w:szCs w:val="22"/>
      <w:u w:val="none"/>
    </w:rPr>
  </w:style>
  <w:style w:type="character" w:customStyle="1" w:styleId="90">
    <w:name w:val="font31"/>
    <w:basedOn w:val="29"/>
    <w:qFormat/>
    <w:uiPriority w:val="0"/>
    <w:rPr>
      <w:rFonts w:hint="eastAsia" w:ascii="宋体" w:hAnsi="宋体" w:eastAsia="宋体" w:cs="宋体"/>
      <w:color w:val="000000"/>
      <w:sz w:val="20"/>
      <w:szCs w:val="20"/>
      <w:u w:val="none"/>
    </w:rPr>
  </w:style>
  <w:style w:type="paragraph" w:customStyle="1" w:styleId="91">
    <w:name w:val=":("/>
    <w:autoRedefine/>
    <w:qFormat/>
    <w:uiPriority w:val="0"/>
    <w:pPr>
      <w:widowControl w:val="0"/>
      <w:adjustRightInd w:val="0"/>
      <w:spacing w:line="312" w:lineRule="atLeast"/>
      <w:jc w:val="both"/>
      <w:textAlignment w:val="baseline"/>
    </w:pPr>
    <w:rPr>
      <w:rFonts w:ascii="Times New Roman" w:hAnsi="Times New Roman" w:eastAsia="·s²Ó©úÅé" w:cs="Times New Roman"/>
      <w:sz w:val="21"/>
      <w:lang w:val="en-US" w:eastAsia="zh-CN" w:bidi="ar-SA"/>
    </w:rPr>
  </w:style>
  <w:style w:type="paragraph" w:customStyle="1" w:styleId="92">
    <w:name w:val="表内表"/>
    <w:basedOn w:val="1"/>
    <w:autoRedefine/>
    <w:qFormat/>
    <w:uiPriority w:val="0"/>
    <w:pPr>
      <w:snapToGrid/>
      <w:spacing w:line="240" w:lineRule="atLeast"/>
      <w:ind w:firstLine="0" w:firstLineChars="0"/>
      <w:jc w:val="center"/>
    </w:pPr>
    <w:rPr>
      <w:bCs/>
      <w:sz w:val="21"/>
      <w:szCs w:val="21"/>
    </w:rPr>
  </w:style>
  <w:style w:type="character" w:customStyle="1" w:styleId="93">
    <w:name w:val="font22"/>
    <w:basedOn w:val="29"/>
    <w:autoRedefine/>
    <w:qFormat/>
    <w:uiPriority w:val="0"/>
    <w:rPr>
      <w:rFonts w:hint="default" w:ascii="Times New Roman" w:hAnsi="Times New Roman" w:cs="Times New Roman"/>
      <w:color w:val="000000"/>
      <w:sz w:val="21"/>
      <w:szCs w:val="21"/>
      <w:u w:val="none"/>
    </w:rPr>
  </w:style>
  <w:style w:type="paragraph" w:customStyle="1" w:styleId="94">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character" w:customStyle="1" w:styleId="95">
    <w:name w:val="font51"/>
    <w:basedOn w:val="29"/>
    <w:qFormat/>
    <w:uiPriority w:val="0"/>
    <w:rPr>
      <w:rFonts w:hint="default" w:ascii="Times New Roman" w:hAnsi="Times New Roman" w:cs="Times New Roman"/>
      <w:color w:val="000000"/>
      <w:sz w:val="18"/>
      <w:szCs w:val="18"/>
      <w:u w:val="none"/>
      <w:vertAlign w:val="subscript"/>
    </w:rPr>
  </w:style>
  <w:style w:type="paragraph" w:customStyle="1" w:styleId="96">
    <w:name w:val=" Char Char7 Char Char"/>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124</Pages>
  <Words>19430</Words>
  <Characters>20333</Characters>
  <Lines>370</Lines>
  <Paragraphs>104</Paragraphs>
  <TotalTime>0</TotalTime>
  <ScaleCrop>false</ScaleCrop>
  <LinksUpToDate>false</LinksUpToDate>
  <CharactersWithSpaces>20371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2023-12-25T01:42:00Z</cp:lastPrinted>
  <dcterms:modified xsi:type="dcterms:W3CDTF">2026-02-11T02:12:10Z</dcterms:modified>
  <cp:revision>2180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996395A71C734057AC5B2E520CE6967C_13</vt:lpwstr>
  </property>
  <property fmtid="{D5CDD505-2E9C-101B-9397-08002B2CF9AE}" pid="4" name="KSOTemplateDocerSaveRecord">
    <vt:lpwstr>eyJoZGlkIjoiYWZhMzA0MTE2MGQ3ODcwOTgyMWY3NzY0ZDhkYzQxODciLCJ1c2VySWQiOiIzODk2NzQyOTcifQ==</vt:lpwstr>
  </property>
</Properties>
</file>